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218440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286"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44"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Pursuant to Section 13 or 15(d)</w:t>
      </w:r>
    </w:p>
    <w:p>
      <w:pPr>
        <w:jc w:val="center"/>
        <w:ind w:right="-3"/>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69"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Date of report (date of earliest event reported): August 27, 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225425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08" w:lineRule="exact"/>
        <w:rPr>
          <w:sz w:val="24"/>
          <w:szCs w:val="24"/>
          <w:color w:val="auto"/>
        </w:rPr>
      </w:pPr>
    </w:p>
    <w:p>
      <w:pPr>
        <w:jc w:val="center"/>
        <w:ind w:right="-3"/>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219075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10" w:lineRule="exact"/>
        <w:rPr>
          <w:sz w:val="24"/>
          <w:szCs w:val="24"/>
          <w:color w:val="auto"/>
        </w:rPr>
      </w:pPr>
    </w:p>
    <w:p>
      <w:pPr>
        <w:ind w:left="1504"/>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90" w:lineRule="exact"/>
        <w:rPr>
          <w:sz w:val="24"/>
          <w:szCs w:val="24"/>
          <w:color w:val="auto"/>
        </w:rPr>
      </w:pPr>
    </w:p>
    <w:p>
      <w:pPr>
        <w:jc w:val="center"/>
        <w:ind w:right="2100"/>
        <w:spacing w:after="0"/>
        <w:rPr>
          <w:sz w:val="20"/>
          <w:szCs w:val="20"/>
          <w:color w:val="auto"/>
        </w:rPr>
      </w:pPr>
      <w:r>
        <w:rPr>
          <w:rFonts w:ascii="Arial" w:cs="Arial" w:eastAsia="Arial" w:hAnsi="Arial"/>
          <w:sz w:val="16"/>
          <w:szCs w:val="16"/>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90"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1" w:lineRule="exact"/>
        <w:rPr>
          <w:sz w:val="24"/>
          <w:szCs w:val="24"/>
          <w:color w:val="auto"/>
        </w:rPr>
      </w:pPr>
    </w:p>
    <w:p>
      <w:pPr>
        <w:sectPr>
          <w:pgSz w:w="11900" w:h="16838" w:orient="portrait"/>
          <w:cols w:equalWidth="0" w:num="3">
            <w:col w:w="4504" w:space="720"/>
            <w:col w:w="2880" w:space="720"/>
            <w:col w:w="2200"/>
          </w:cols>
          <w:pgMar w:left="436" w:top="368" w:right="439" w:bottom="1440" w:gutter="0" w:footer="0" w:header="0"/>
          <w:type w:val="continuous"/>
        </w:sectPr>
      </w:pPr>
    </w:p>
    <w:p>
      <w:pPr>
        <w:spacing w:after="0" w:line="12" w:lineRule="exact"/>
        <w:rPr>
          <w:sz w:val="24"/>
          <w:szCs w:val="24"/>
          <w:color w:val="auto"/>
        </w:rPr>
      </w:pPr>
    </w:p>
    <w:p>
      <w:pPr>
        <w:jc w:val="center"/>
        <w:ind w:right="776"/>
        <w:spacing w:after="0"/>
        <w:rPr>
          <w:sz w:val="20"/>
          <w:szCs w:val="20"/>
          <w:color w:val="auto"/>
        </w:rPr>
      </w:pPr>
      <w:r>
        <w:rPr>
          <w:rFonts w:ascii="Arial" w:cs="Arial" w:eastAsia="Arial" w:hAnsi="Arial"/>
          <w:sz w:val="13"/>
          <w:szCs w:val="13"/>
          <w:b w:val="1"/>
          <w:bCs w:val="1"/>
          <w:color w:val="auto"/>
        </w:rPr>
        <w:t>(State or other jurisdiction</w:t>
      </w:r>
    </w:p>
    <w:p>
      <w:pPr>
        <w:jc w:val="center"/>
        <w:ind w:right="776"/>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jc w:val="center"/>
        <w:ind w:right="194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jc w:val="center"/>
        <w:ind w:right="1940"/>
        <w:spacing w:after="0"/>
        <w:rPr>
          <w:sz w:val="20"/>
          <w:szCs w:val="20"/>
          <w:color w:val="auto"/>
        </w:rPr>
      </w:pPr>
      <w:r>
        <w:rPr>
          <w:rFonts w:ascii="Arial" w:cs="Arial" w:eastAsia="Arial" w:hAnsi="Arial"/>
          <w:sz w:val="14"/>
          <w:szCs w:val="14"/>
          <w:b w:val="1"/>
          <w:bCs w:val="1"/>
          <w:color w:val="auto"/>
        </w:rPr>
        <w:t>File No.)</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189" w:lineRule="exact"/>
        <w:rPr>
          <w:sz w:val="24"/>
          <w:szCs w:val="24"/>
          <w:color w:val="auto"/>
        </w:rPr>
      </w:pPr>
    </w:p>
    <w:p>
      <w:pPr>
        <w:sectPr>
          <w:pgSz w:w="11900" w:h="16838" w:orient="portrait"/>
          <w:cols w:equalWidth="0" w:num="3">
            <w:col w:w="4504" w:space="720"/>
            <w:col w:w="2740" w:space="720"/>
            <w:col w:w="2340"/>
          </w:cols>
          <w:pgMar w:left="436" w:top="368" w:right="439" w:bottom="1440" w:gutter="0" w:footer="0" w:header="0"/>
          <w:type w:val="continuous"/>
        </w:sectPr>
      </w:pPr>
    </w:p>
    <w:p>
      <w:pPr>
        <w:jc w:val="center"/>
        <w:ind w:right="16"/>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ind w:right="16"/>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65"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(302) 295-4840</w:t>
      </w:r>
    </w:p>
    <w:p>
      <w:pPr>
        <w:spacing w:after="0" w:line="21" w:lineRule="exact"/>
        <w:rPr>
          <w:sz w:val="24"/>
          <w:szCs w:val="24"/>
          <w:color w:val="auto"/>
        </w:rPr>
      </w:pPr>
    </w:p>
    <w:p>
      <w:pPr>
        <w:jc w:val="center"/>
        <w:ind w:right="16"/>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78"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16"/>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225425</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type w:val="continuous"/>
        </w:sectPr>
      </w:pPr>
    </w:p>
    <w:p>
      <w:pPr>
        <w:spacing w:after="0" w:line="200" w:lineRule="exact"/>
        <w:rPr>
          <w:sz w:val="24"/>
          <w:szCs w:val="24"/>
          <w:color w:val="auto"/>
        </w:rPr>
      </w:pPr>
    </w:p>
    <w:p>
      <w:pPr>
        <w:spacing w:after="0" w:line="356" w:lineRule="exact"/>
        <w:rPr>
          <w:sz w:val="24"/>
          <w:szCs w:val="24"/>
          <w:color w:val="auto"/>
        </w:rPr>
      </w:pPr>
    </w:p>
    <w:p>
      <w:pPr>
        <w:ind w:left="4" w:right="4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12" w:lineRule="exact"/>
        <w:rPr>
          <w:sz w:val="24"/>
          <w:szCs w:val="24"/>
          <w:color w:val="auto"/>
        </w:rPr>
      </w:pPr>
    </w:p>
    <w:p>
      <w:pPr>
        <w:ind w:left="4"/>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18" w:lineRule="exact"/>
        <w:rPr>
          <w:sz w:val="24"/>
          <w:szCs w:val="24"/>
          <w:color w:val="auto"/>
        </w:rPr>
      </w:pPr>
    </w:p>
    <w:tbl>
      <w:tblPr>
        <w:tblLayout w:type="fixed"/>
        <w:tblInd w:w="4"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56" w:lineRule="exact"/>
        <w:rPr>
          <w:sz w:val="24"/>
          <w:szCs w:val="24"/>
          <w:color w:val="auto"/>
        </w:rPr>
      </w:pPr>
    </w:p>
    <w:p>
      <w:pPr>
        <w:ind w:left="4" w:right="30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24" w:lineRule="exact"/>
        <w:rPr>
          <w:sz w:val="24"/>
          <w:szCs w:val="24"/>
          <w:color w:val="auto"/>
        </w:rPr>
      </w:pPr>
    </w:p>
    <w:p>
      <w:pPr>
        <w:ind w:left="4"/>
        <w:spacing w:after="0" w:line="207" w:lineRule="exact"/>
        <w:rPr>
          <w:sz w:val="20"/>
          <w:szCs w:val="20"/>
          <w:color w:val="auto"/>
        </w:rPr>
      </w:pPr>
      <w:r>
        <w:rPr>
          <w:rFonts w:ascii="Arial" w:cs="Arial" w:eastAsia="Arial" w:hAnsi="Arial"/>
          <w:sz w:val="18"/>
          <w:szCs w:val="18"/>
          <w:color w:val="auto"/>
        </w:rPr>
        <w:t xml:space="preserve">Emerging growth company </w:t>
      </w:r>
      <w:r>
        <w:rPr>
          <w:rFonts w:ascii="MS PGothic" w:cs="MS PGothic" w:eastAsia="MS PGothic" w:hAnsi="MS PGothic"/>
          <w:sz w:val="18"/>
          <w:szCs w:val="18"/>
          <w:color w:val="auto"/>
        </w:rPr>
        <w:t>☐</w:t>
      </w:r>
    </w:p>
    <w:p>
      <w:pPr>
        <w:spacing w:after="0" w:line="244" w:lineRule="exact"/>
        <w:rPr>
          <w:sz w:val="24"/>
          <w:szCs w:val="24"/>
          <w:color w:val="auto"/>
        </w:rPr>
      </w:pPr>
    </w:p>
    <w:p>
      <w:pPr>
        <w:ind w:left="4"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type w:val="continuous"/>
        </w:sectPr>
      </w:pPr>
    </w:p>
    <w:bookmarkStart w:id="1" w:name="page2"/>
    <w:bookmarkEnd w:id="1"/>
    <w:p>
      <w:pPr>
        <w:ind w:left="4"/>
        <w:spacing w:after="0"/>
        <w:tabs>
          <w:tab w:leader="none" w:pos="1184"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left="4" w:right="20"/>
        <w:spacing w:after="0" w:line="311" w:lineRule="auto"/>
        <w:rPr>
          <w:sz w:val="20"/>
          <w:szCs w:val="20"/>
          <w:color w:val="auto"/>
        </w:rPr>
      </w:pPr>
      <w:r>
        <w:rPr>
          <w:rFonts w:ascii="Arial" w:cs="Arial" w:eastAsia="Arial" w:hAnsi="Arial"/>
          <w:sz w:val="16"/>
          <w:szCs w:val="16"/>
          <w:color w:val="auto"/>
        </w:rPr>
        <w:t>In connection with filing of certain registration statements, Marvell Technology, Inc. (the “Company”) is filing (x) the unaudited condensed consolidated financial statements of Inphi Corporation (“Inphi”) as of and for the three months ended March 31, 2021 and (y) unaudited pro forma condensed combined statements of operations for the year ended January 30, 2021 and the six months ended July 31, 2021 relating to the Inphi acquisition.</w:t>
      </w:r>
    </w:p>
    <w:p>
      <w:pPr>
        <w:spacing w:after="0" w:line="293" w:lineRule="exact"/>
        <w:rPr>
          <w:sz w:val="20"/>
          <w:szCs w:val="20"/>
          <w:color w:val="auto"/>
        </w:rPr>
      </w:pPr>
    </w:p>
    <w:p>
      <w:pPr>
        <w:ind w:left="4"/>
        <w:spacing w:after="0"/>
        <w:tabs>
          <w:tab w:leader="none" w:pos="1184"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17"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(d) Exhibits.</w:t>
      </w:r>
    </w:p>
    <w:p>
      <w:pPr>
        <w:spacing w:after="0" w:line="235" w:lineRule="exact"/>
        <w:rPr>
          <w:sz w:val="20"/>
          <w:szCs w:val="20"/>
          <w:color w:val="auto"/>
        </w:rPr>
      </w:pPr>
    </w:p>
    <w:tbl>
      <w:tblPr>
        <w:tblLayout w:type="fixed"/>
        <w:tblInd w:w="4" w:type="dxa"/>
        <w:tblCellMar>
          <w:top w:w="0" w:type="dxa"/>
          <w:left w:w="0" w:type="dxa"/>
          <w:bottom w:w="0" w:type="dxa"/>
          <w:right w:w="0" w:type="dxa"/>
        </w:tblCellMar>
      </w:tblPr>
      <w:tr>
        <w:trPr>
          <w:trHeight w:val="161"/>
        </w:trPr>
        <w:tc>
          <w:tcPr>
            <w:tcW w:w="500" w:type="dxa"/>
            <w:vAlign w:val="bottom"/>
          </w:tcPr>
          <w:p>
            <w:pPr>
              <w:ind w:left="20"/>
              <w:spacing w:after="0"/>
              <w:rPr>
                <w:sz w:val="20"/>
                <w:szCs w:val="20"/>
                <w:color w:val="auto"/>
              </w:rPr>
            </w:pPr>
            <w:r>
              <w:rPr>
                <w:rFonts w:ascii="Arial" w:cs="Arial" w:eastAsia="Arial" w:hAnsi="Arial"/>
                <w:sz w:val="14"/>
                <w:szCs w:val="14"/>
                <w:b w:val="1"/>
                <w:bCs w:val="1"/>
                <w:color w:val="auto"/>
                <w:w w:val="98"/>
              </w:rPr>
              <w:t>Exhibit</w:t>
            </w:r>
          </w:p>
        </w:tc>
        <w:tc>
          <w:tcPr>
            <w:tcW w:w="540" w:type="dxa"/>
            <w:vAlign w:val="bottom"/>
          </w:tcPr>
          <w:p>
            <w:pPr>
              <w:spacing w:after="0"/>
              <w:rPr>
                <w:sz w:val="14"/>
                <w:szCs w:val="14"/>
                <w:color w:val="auto"/>
              </w:rPr>
            </w:pPr>
          </w:p>
        </w:tc>
        <w:tc>
          <w:tcPr>
            <w:tcW w:w="3460" w:type="dxa"/>
            <w:vAlign w:val="bottom"/>
          </w:tcPr>
          <w:p>
            <w:pPr>
              <w:spacing w:after="0"/>
              <w:rPr>
                <w:sz w:val="14"/>
                <w:szCs w:val="14"/>
                <w:color w:val="auto"/>
              </w:rPr>
            </w:pPr>
          </w:p>
        </w:tc>
        <w:tc>
          <w:tcPr>
            <w:tcW w:w="6520" w:type="dxa"/>
            <w:vAlign w:val="bottom"/>
            <w:gridSpan w:val="3"/>
            <w:vMerge w:val="restart"/>
          </w:tcPr>
          <w:p>
            <w:pPr>
              <w:ind w:left="1160"/>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171"/>
        </w:trPr>
        <w:tc>
          <w:tcPr>
            <w:tcW w:w="5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0"/>
              </w:rPr>
              <w:t>Number</w:t>
            </w:r>
          </w:p>
        </w:tc>
        <w:tc>
          <w:tcPr>
            <w:tcW w:w="540" w:type="dxa"/>
            <w:vAlign w:val="bottom"/>
          </w:tcPr>
          <w:p>
            <w:pPr>
              <w:spacing w:after="0"/>
              <w:rPr>
                <w:sz w:val="14"/>
                <w:szCs w:val="14"/>
                <w:color w:val="auto"/>
              </w:rPr>
            </w:pPr>
          </w:p>
        </w:tc>
        <w:tc>
          <w:tcPr>
            <w:tcW w:w="3460" w:type="dxa"/>
            <w:vAlign w:val="bottom"/>
            <w:tcBorders>
              <w:bottom w:val="single" w:sz="8" w:color="auto"/>
            </w:tcBorders>
          </w:tcPr>
          <w:p>
            <w:pPr>
              <w:spacing w:after="0"/>
              <w:rPr>
                <w:sz w:val="14"/>
                <w:szCs w:val="14"/>
                <w:color w:val="auto"/>
              </w:rPr>
            </w:pPr>
          </w:p>
        </w:tc>
        <w:tc>
          <w:tcPr>
            <w:tcW w:w="6520" w:type="dxa"/>
            <w:vAlign w:val="bottom"/>
            <w:tcBorders>
              <w:bottom w:val="single" w:sz="8" w:color="auto"/>
            </w:tcBorders>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3"/>
        </w:trPr>
        <w:tc>
          <w:tcPr>
            <w:tcW w:w="500" w:type="dxa"/>
            <w:vAlign w:val="bottom"/>
          </w:tcPr>
          <w:p>
            <w:pPr>
              <w:spacing w:after="0"/>
              <w:rPr>
                <w:sz w:val="20"/>
                <w:szCs w:val="20"/>
                <w:color w:val="auto"/>
              </w:rPr>
            </w:pPr>
            <w:r>
              <w:rPr>
                <w:rFonts w:ascii="Arial" w:cs="Arial" w:eastAsia="Arial" w:hAnsi="Arial"/>
                <w:sz w:val="18"/>
                <w:szCs w:val="18"/>
                <w:color w:val="auto"/>
              </w:rPr>
              <w:t>99.1</w:t>
            </w:r>
          </w:p>
        </w:tc>
        <w:tc>
          <w:tcPr>
            <w:tcW w:w="540" w:type="dxa"/>
            <w:vAlign w:val="bottom"/>
          </w:tcPr>
          <w:p>
            <w:pPr>
              <w:spacing w:after="0"/>
              <w:rPr>
                <w:sz w:val="22"/>
                <w:szCs w:val="22"/>
                <w:color w:val="auto"/>
              </w:rPr>
            </w:pPr>
          </w:p>
        </w:tc>
        <w:tc>
          <w:tcPr>
            <w:tcW w:w="8460" w:type="dxa"/>
            <w:vAlign w:val="bottom"/>
            <w:tcBorders>
              <w:bottom w:val="single" w:sz="8" w:color="0000EE"/>
            </w:tcBorders>
            <w:gridSpan w:val="2"/>
          </w:tcPr>
          <w:p>
            <w:pPr>
              <w:spacing w:after="0"/>
              <w:rPr>
                <w:rFonts w:ascii="Arial" w:cs="Arial" w:eastAsia="Arial" w:hAnsi="Arial"/>
                <w:sz w:val="18"/>
                <w:szCs w:val="18"/>
                <w:color w:val="0000EE"/>
                <w:w w:val="89"/>
              </w:rPr>
            </w:pPr>
            <w:hyperlink w:anchor="page4">
              <w:r>
                <w:rPr>
                  <w:rFonts w:ascii="Arial" w:cs="Arial" w:eastAsia="Arial" w:hAnsi="Arial"/>
                  <w:sz w:val="18"/>
                  <w:szCs w:val="18"/>
                  <w:color w:val="0000EE"/>
                  <w:w w:val="89"/>
                </w:rPr>
                <w:t>Unaudited condensed consolidated financial statements of Inphi as of and for the three months ended March 31, 2021</w:t>
              </w:r>
            </w:hyperlink>
          </w:p>
        </w:tc>
        <w:tc>
          <w:tcPr>
            <w:tcW w:w="152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304"/>
        </w:trPr>
        <w:tc>
          <w:tcPr>
            <w:tcW w:w="500" w:type="dxa"/>
            <w:vAlign w:val="bottom"/>
          </w:tcPr>
          <w:p>
            <w:pPr>
              <w:spacing w:after="0"/>
              <w:rPr>
                <w:sz w:val="20"/>
                <w:szCs w:val="20"/>
                <w:color w:val="auto"/>
              </w:rPr>
            </w:pPr>
            <w:r>
              <w:rPr>
                <w:rFonts w:ascii="Arial" w:cs="Arial" w:eastAsia="Arial" w:hAnsi="Arial"/>
                <w:sz w:val="18"/>
                <w:szCs w:val="18"/>
                <w:color w:val="auto"/>
              </w:rPr>
              <w:t>99.2</w:t>
            </w:r>
          </w:p>
        </w:tc>
        <w:tc>
          <w:tcPr>
            <w:tcW w:w="540" w:type="dxa"/>
            <w:vAlign w:val="bottom"/>
          </w:tcPr>
          <w:p>
            <w:pPr>
              <w:spacing w:after="0"/>
              <w:rPr>
                <w:sz w:val="24"/>
                <w:szCs w:val="24"/>
                <w:color w:val="auto"/>
              </w:rPr>
            </w:pPr>
          </w:p>
        </w:tc>
        <w:tc>
          <w:tcPr>
            <w:tcW w:w="9360" w:type="dxa"/>
            <w:vAlign w:val="bottom"/>
            <w:tcBorders>
              <w:bottom w:val="single" w:sz="8" w:color="0000EE"/>
            </w:tcBorders>
            <w:gridSpan w:val="3"/>
          </w:tcPr>
          <w:p>
            <w:pPr>
              <w:spacing w:after="0"/>
              <w:rPr>
                <w:rFonts w:ascii="Arial" w:cs="Arial" w:eastAsia="Arial" w:hAnsi="Arial"/>
                <w:sz w:val="18"/>
                <w:szCs w:val="18"/>
                <w:color w:val="0000EE"/>
                <w:w w:val="89"/>
              </w:rPr>
            </w:pPr>
            <w:hyperlink w:anchor="page27">
              <w:r>
                <w:rPr>
                  <w:rFonts w:ascii="Arial" w:cs="Arial" w:eastAsia="Arial" w:hAnsi="Arial"/>
                  <w:sz w:val="18"/>
                  <w:szCs w:val="18"/>
                  <w:color w:val="0000EE"/>
                  <w:w w:val="89"/>
                </w:rPr>
                <w:t>Unaudited pro forma condensed combined statements of operations for the year ended January 30, 2021 and the six months ended</w:t>
              </w:r>
            </w:hyperlink>
          </w:p>
        </w:tc>
        <w:tc>
          <w:tcPr>
            <w:tcW w:w="6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9980" w:type="dxa"/>
            <w:vAlign w:val="bottom"/>
            <w:gridSpan w:val="4"/>
          </w:tcPr>
          <w:p>
            <w:pPr>
              <w:spacing w:after="0" w:line="196" w:lineRule="exact"/>
              <w:rPr>
                <w:rFonts w:ascii="Arial" w:cs="Arial" w:eastAsia="Arial" w:hAnsi="Arial"/>
                <w:sz w:val="18"/>
                <w:szCs w:val="18"/>
                <w:color w:val="0000EE"/>
              </w:rPr>
            </w:pPr>
            <w:hyperlink w:anchor="page27">
              <w:r>
                <w:rPr>
                  <w:rFonts w:ascii="Arial" w:cs="Arial" w:eastAsia="Arial" w:hAnsi="Arial"/>
                  <w:sz w:val="18"/>
                  <w:szCs w:val="18"/>
                  <w:color w:val="0000EE"/>
                </w:rPr>
                <w:t>July 31, 2021 relating to the acquisition of Inphi</w:t>
              </w:r>
            </w:hyperlink>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3460" w:type="dxa"/>
            <w:vAlign w:val="bottom"/>
            <w:shd w:val="clear" w:color="auto" w:fill="0000EE"/>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21" w:lineRule="exact"/>
        <w:rPr>
          <w:sz w:val="20"/>
          <w:szCs w:val="20"/>
          <w:color w:val="auto"/>
        </w:rPr>
      </w:pPr>
    </w:p>
    <w:p>
      <w:pPr>
        <w:ind w:left="5464" w:right="4100" w:hanging="5464"/>
        <w:spacing w:after="0" w:line="449" w:lineRule="auto"/>
        <w:tabs>
          <w:tab w:leader="none" w:pos="104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cover page from this Current Report on Form 8-K, formatted in Inline XBRL 2</w:t>
      </w:r>
    </w:p>
    <w:p>
      <w:pPr>
        <w:sectPr>
          <w:pgSz w:w="11900" w:h="16838" w:orient="portrait"/>
          <w:cols w:equalWidth="0" w:num="1">
            <w:col w:w="11024"/>
          </w:cols>
          <w:pgMar w:left="436" w:top="297" w:right="439" w:bottom="1440" w:gutter="0" w:footer="0" w:header="0"/>
        </w:sectPr>
      </w:pPr>
    </w:p>
    <w:bookmarkStart w:id="2" w:name="page3"/>
    <w:bookmarkEnd w:id="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SIGNATURES</w:t>
      </w:r>
    </w:p>
    <w:p>
      <w:pPr>
        <w:spacing w:after="0" w:line="229" w:lineRule="exact"/>
        <w:rPr>
          <w:sz w:val="20"/>
          <w:szCs w:val="20"/>
          <w:color w:val="auto"/>
        </w:rPr>
      </w:pPr>
    </w:p>
    <w:p>
      <w:pPr>
        <w:ind w:right="760"/>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93"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680" w:type="dxa"/>
            <w:vAlign w:val="bottom"/>
          </w:tcPr>
          <w:p>
            <w:pPr>
              <w:spacing w:after="0"/>
              <w:rPr>
                <w:sz w:val="20"/>
                <w:szCs w:val="20"/>
                <w:color w:val="auto"/>
              </w:rPr>
            </w:pPr>
            <w:r>
              <w:rPr>
                <w:rFonts w:ascii="Arial" w:cs="Arial" w:eastAsia="Arial" w:hAnsi="Arial"/>
                <w:sz w:val="18"/>
                <w:szCs w:val="18"/>
                <w:color w:val="auto"/>
              </w:rPr>
              <w:t>Dated: August 27, 2021</w:t>
            </w:r>
          </w:p>
        </w:tc>
        <w:tc>
          <w:tcPr>
            <w:tcW w:w="7340" w:type="dxa"/>
            <w:vAlign w:val="bottom"/>
            <w:gridSpan w:val="2"/>
          </w:tcPr>
          <w:p>
            <w:pPr>
              <w:ind w:left="1940"/>
              <w:spacing w:after="0"/>
              <w:rPr>
                <w:sz w:val="20"/>
                <w:szCs w:val="20"/>
                <w:color w:val="auto"/>
              </w:rPr>
            </w:pPr>
            <w:r>
              <w:rPr>
                <w:rFonts w:ascii="Arial" w:cs="Arial" w:eastAsia="Arial" w:hAnsi="Arial"/>
                <w:sz w:val="18"/>
                <w:szCs w:val="18"/>
                <w:b w:val="1"/>
                <w:bCs w:val="1"/>
                <w:color w:val="auto"/>
              </w:rPr>
              <w:t>MARVELL TECHNOLOGY, INC.</w:t>
            </w:r>
          </w:p>
        </w:tc>
      </w:tr>
      <w:tr>
        <w:trPr>
          <w:trHeight w:val="432"/>
        </w:trPr>
        <w:tc>
          <w:tcPr>
            <w:tcW w:w="3680" w:type="dxa"/>
            <w:vAlign w:val="bottom"/>
          </w:tcPr>
          <w:p>
            <w:pPr>
              <w:spacing w:after="0"/>
              <w:rPr>
                <w:sz w:val="24"/>
                <w:szCs w:val="24"/>
                <w:color w:val="auto"/>
              </w:rPr>
            </w:pPr>
          </w:p>
        </w:tc>
        <w:tc>
          <w:tcPr>
            <w:tcW w:w="7340" w:type="dxa"/>
            <w:vAlign w:val="bottom"/>
            <w:gridSpan w:val="2"/>
          </w:tcPr>
          <w:p>
            <w:pPr>
              <w:ind w:left="1940"/>
              <w:spacing w:after="0"/>
              <w:rPr>
                <w:sz w:val="20"/>
                <w:szCs w:val="20"/>
                <w:color w:val="auto"/>
              </w:rPr>
            </w:pPr>
            <w:r>
              <w:rPr>
                <w:rFonts w:ascii="Arial" w:cs="Arial" w:eastAsia="Arial" w:hAnsi="Arial"/>
                <w:sz w:val="18"/>
                <w:szCs w:val="18"/>
                <w:color w:val="auto"/>
              </w:rPr>
              <w:t>By:  /s/ Jean Hu</w:t>
            </w:r>
          </w:p>
        </w:tc>
      </w:tr>
      <w:tr>
        <w:trPr>
          <w:trHeight w:val="209"/>
        </w:trPr>
        <w:tc>
          <w:tcPr>
            <w:tcW w:w="3680" w:type="dxa"/>
            <w:vAlign w:val="bottom"/>
          </w:tcPr>
          <w:p>
            <w:pPr>
              <w:spacing w:after="0"/>
              <w:rPr>
                <w:sz w:val="18"/>
                <w:szCs w:val="18"/>
                <w:color w:val="auto"/>
              </w:rPr>
            </w:pPr>
          </w:p>
        </w:tc>
        <w:tc>
          <w:tcPr>
            <w:tcW w:w="2380" w:type="dxa"/>
            <w:vAlign w:val="bottom"/>
          </w:tcPr>
          <w:p>
            <w:pPr>
              <w:spacing w:after="0"/>
              <w:rPr>
                <w:sz w:val="18"/>
                <w:szCs w:val="18"/>
                <w:color w:val="auto"/>
              </w:rPr>
            </w:pPr>
          </w:p>
        </w:tc>
        <w:tc>
          <w:tcPr>
            <w:tcW w:w="496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Name:  Jean Hu</w:t>
            </w:r>
          </w:p>
        </w:tc>
      </w:tr>
      <w:tr>
        <w:trPr>
          <w:trHeight w:val="230"/>
        </w:trPr>
        <w:tc>
          <w:tcPr>
            <w:tcW w:w="3680" w:type="dxa"/>
            <w:vAlign w:val="bottom"/>
          </w:tcPr>
          <w:p>
            <w:pPr>
              <w:spacing w:after="0"/>
              <w:rPr>
                <w:sz w:val="20"/>
                <w:szCs w:val="20"/>
                <w:color w:val="auto"/>
              </w:rPr>
            </w:pPr>
          </w:p>
        </w:tc>
        <w:tc>
          <w:tcPr>
            <w:tcW w:w="2380" w:type="dxa"/>
            <w:vAlign w:val="bottom"/>
          </w:tcPr>
          <w:p>
            <w:pPr>
              <w:spacing w:after="0"/>
              <w:rPr>
                <w:sz w:val="20"/>
                <w:szCs w:val="20"/>
                <w:color w:val="auto"/>
              </w:rPr>
            </w:pPr>
          </w:p>
        </w:tc>
        <w:tc>
          <w:tcPr>
            <w:tcW w:w="4960" w:type="dxa"/>
            <w:vAlign w:val="bottom"/>
          </w:tcPr>
          <w:p>
            <w:pPr>
              <w:spacing w:after="0"/>
              <w:rPr>
                <w:sz w:val="20"/>
                <w:szCs w:val="20"/>
                <w:color w:val="auto"/>
              </w:rPr>
            </w:pPr>
            <w:r>
              <w:rPr>
                <w:rFonts w:ascii="Arial" w:cs="Arial" w:eastAsia="Arial" w:hAnsi="Arial"/>
                <w:sz w:val="18"/>
                <w:szCs w:val="18"/>
                <w:color w:val="auto"/>
              </w:rPr>
              <w:t>Title:   Chief Financial Officer</w:t>
            </w:r>
          </w:p>
        </w:tc>
      </w:tr>
    </w:tbl>
    <w:p>
      <w:pPr>
        <w:sectPr>
          <w:pgSz w:w="11900" w:h="16838" w:orient="portrait"/>
          <w:cols w:equalWidth="0" w:num="1">
            <w:col w:w="11020"/>
          </w:cols>
          <w:pgMar w:left="440" w:top="297" w:right="43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180340</wp:posOffset>
            </wp:positionV>
            <wp:extent cx="699516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377190</wp:posOffset>
            </wp:positionV>
            <wp:extent cx="6995160" cy="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color w:val="auto"/>
        </w:rPr>
        <w:t>INPHI CORPORATION</w:t>
      </w:r>
    </w:p>
    <w:p>
      <w:pPr>
        <w:spacing w:after="0" w:line="27"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color w:val="auto"/>
        </w:rPr>
        <w:t>CONSOLIDATED FINANCIAL STATEMENTS</w:t>
      </w:r>
    </w:p>
    <w:p>
      <w:pPr>
        <w:spacing w:after="0" w:line="9" w:lineRule="exact"/>
        <w:rPr>
          <w:sz w:val="20"/>
          <w:szCs w:val="20"/>
          <w:color w:val="auto"/>
        </w:rPr>
      </w:pPr>
    </w:p>
    <w:p>
      <w:pPr>
        <w:jc w:val="center"/>
        <w:ind w:right="1020"/>
        <w:spacing w:after="0"/>
        <w:rPr>
          <w:sz w:val="20"/>
          <w:szCs w:val="20"/>
          <w:color w:val="auto"/>
        </w:rPr>
      </w:pPr>
      <w:r>
        <w:rPr>
          <w:rFonts w:ascii="Arial" w:cs="Arial" w:eastAsia="Arial" w:hAnsi="Arial"/>
          <w:sz w:val="17"/>
          <w:szCs w:val="17"/>
          <w:b w:val="1"/>
          <w:bCs w:val="1"/>
          <w:color w:val="auto"/>
        </w:rPr>
        <w:t>For the quarterly period ended March 31, 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175895</wp:posOffset>
            </wp:positionV>
            <wp:extent cx="6995160" cy="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373380</wp:posOffset>
            </wp:positionV>
            <wp:extent cx="6995160"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0020"/>
          </w:cols>
          <w:pgMar w:left="1440" w:top="121" w:right="439" w:bottom="1440" w:gutter="0" w:footer="0" w:header="0"/>
        </w:sectPr>
      </w:pPr>
    </w:p>
    <w:bookmarkStart w:id="4" w:name="page5"/>
    <w:bookmarkEnd w:id="4"/>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INPHI CORPORATION</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CONSOLIDATED CONDENSED FINANCIAL STATEMENTS</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FOR THE THREE MONTHS ENDED MARCH 31, 2021</w:t>
      </w:r>
    </w:p>
    <w:p>
      <w:pPr>
        <w:spacing w:after="0" w:line="20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TABLE OF CONTENTS</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920" w:type="dxa"/>
            <w:vAlign w:val="bottom"/>
          </w:tcPr>
          <w:p>
            <w:pPr>
              <w:spacing w:after="0"/>
              <w:rPr>
                <w:sz w:val="14"/>
                <w:szCs w:val="14"/>
                <w:color w:val="auto"/>
              </w:rPr>
            </w:pPr>
          </w:p>
        </w:tc>
        <w:tc>
          <w:tcPr>
            <w:tcW w:w="104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216"/>
        </w:trPr>
        <w:tc>
          <w:tcPr>
            <w:tcW w:w="9920" w:type="dxa"/>
            <w:vAlign w:val="bottom"/>
          </w:tcPr>
          <w:p>
            <w:pPr>
              <w:spacing w:after="0"/>
              <w:rPr>
                <w:sz w:val="20"/>
                <w:szCs w:val="20"/>
                <w:color w:val="auto"/>
              </w:rPr>
            </w:pPr>
            <w:r>
              <w:rPr>
                <w:rFonts w:ascii="Arial" w:cs="Arial" w:eastAsia="Arial" w:hAnsi="Arial"/>
                <w:sz w:val="18"/>
                <w:szCs w:val="18"/>
                <w:color w:val="auto"/>
              </w:rPr>
              <w:t>Unaudited Condensed Consolidated Balance Sheets at March 31, 2021 and December 31, 2020</w:t>
            </w:r>
          </w:p>
        </w:tc>
        <w:tc>
          <w:tcPr>
            <w:tcW w:w="104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16"/>
        </w:trPr>
        <w:tc>
          <w:tcPr>
            <w:tcW w:w="9920" w:type="dxa"/>
            <w:vAlign w:val="bottom"/>
          </w:tcPr>
          <w:p>
            <w:pPr>
              <w:spacing w:after="0"/>
              <w:rPr>
                <w:sz w:val="20"/>
                <w:szCs w:val="20"/>
                <w:color w:val="auto"/>
              </w:rPr>
            </w:pPr>
            <w:r>
              <w:rPr>
                <w:rFonts w:ascii="Arial" w:cs="Arial" w:eastAsia="Arial" w:hAnsi="Arial"/>
                <w:sz w:val="18"/>
                <w:szCs w:val="18"/>
                <w:color w:val="auto"/>
              </w:rPr>
              <w:t>Unaudited Condensed Consolidated Statements of Operations for the Three Months Ended March 31, 2021 and 2020</w:t>
            </w:r>
          </w:p>
        </w:tc>
        <w:tc>
          <w:tcPr>
            <w:tcW w:w="104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16"/>
        </w:trPr>
        <w:tc>
          <w:tcPr>
            <w:tcW w:w="9920" w:type="dxa"/>
            <w:vAlign w:val="bottom"/>
          </w:tcPr>
          <w:p>
            <w:pPr>
              <w:spacing w:after="0"/>
              <w:rPr>
                <w:sz w:val="20"/>
                <w:szCs w:val="20"/>
                <w:color w:val="auto"/>
              </w:rPr>
            </w:pPr>
            <w:r>
              <w:rPr>
                <w:rFonts w:ascii="Arial" w:cs="Arial" w:eastAsia="Arial" w:hAnsi="Arial"/>
                <w:sz w:val="18"/>
                <w:szCs w:val="18"/>
                <w:color w:val="auto"/>
                <w:w w:val="97"/>
              </w:rPr>
              <w:t>Unaudited Condensed Consolidated Statements of Comprehensive Loss for the Three Months Ended March 31, 2021 and 2020</w:t>
            </w:r>
          </w:p>
        </w:tc>
        <w:tc>
          <w:tcPr>
            <w:tcW w:w="1040" w:type="dxa"/>
            <w:vAlign w:val="bottom"/>
          </w:tcPr>
          <w:p>
            <w:pPr>
              <w:jc w:val="right"/>
              <w:spacing w:after="0"/>
              <w:rPr>
                <w:sz w:val="20"/>
                <w:szCs w:val="20"/>
                <w:color w:val="auto"/>
              </w:rPr>
            </w:pPr>
            <w:r>
              <w:rPr>
                <w:rFonts w:ascii="Arial" w:cs="Arial" w:eastAsia="Arial" w:hAnsi="Arial"/>
                <w:sz w:val="18"/>
                <w:szCs w:val="18"/>
                <w:color w:val="auto"/>
              </w:rPr>
              <w:t>4</w:t>
            </w:r>
          </w:p>
        </w:tc>
      </w:tr>
      <w:tr>
        <w:trPr>
          <w:trHeight w:val="216"/>
        </w:trPr>
        <w:tc>
          <w:tcPr>
            <w:tcW w:w="9920" w:type="dxa"/>
            <w:vAlign w:val="bottom"/>
          </w:tcPr>
          <w:p>
            <w:pPr>
              <w:spacing w:after="0"/>
              <w:rPr>
                <w:sz w:val="20"/>
                <w:szCs w:val="20"/>
                <w:color w:val="auto"/>
              </w:rPr>
            </w:pPr>
            <w:r>
              <w:rPr>
                <w:rFonts w:ascii="Arial" w:cs="Arial" w:eastAsia="Arial" w:hAnsi="Arial"/>
                <w:sz w:val="18"/>
                <w:szCs w:val="18"/>
                <w:color w:val="auto"/>
                <w:w w:val="97"/>
              </w:rPr>
              <w:t>Unaudited Condensed Consolidated Statements of Stockholders’ Equity for the Three Months Ended March 31, 2021 and 2020</w:t>
            </w:r>
          </w:p>
        </w:tc>
        <w:tc>
          <w:tcPr>
            <w:tcW w:w="104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16"/>
        </w:trPr>
        <w:tc>
          <w:tcPr>
            <w:tcW w:w="9920" w:type="dxa"/>
            <w:vAlign w:val="bottom"/>
          </w:tcPr>
          <w:p>
            <w:pPr>
              <w:spacing w:after="0"/>
              <w:rPr>
                <w:sz w:val="20"/>
                <w:szCs w:val="20"/>
                <w:color w:val="auto"/>
              </w:rPr>
            </w:pPr>
            <w:r>
              <w:rPr>
                <w:rFonts w:ascii="Arial" w:cs="Arial" w:eastAsia="Arial" w:hAnsi="Arial"/>
                <w:sz w:val="18"/>
                <w:szCs w:val="18"/>
                <w:color w:val="auto"/>
              </w:rPr>
              <w:t>Unaudited Condensed Consolidated Statements of Cash Flows for the Three Months Ended March 31, 2021 and 2020</w:t>
            </w:r>
          </w:p>
        </w:tc>
        <w:tc>
          <w:tcPr>
            <w:tcW w:w="104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230"/>
        </w:trPr>
        <w:tc>
          <w:tcPr>
            <w:tcW w:w="9920" w:type="dxa"/>
            <w:vAlign w:val="bottom"/>
          </w:tcPr>
          <w:p>
            <w:pPr>
              <w:spacing w:after="0"/>
              <w:rPr>
                <w:sz w:val="20"/>
                <w:szCs w:val="20"/>
                <w:color w:val="auto"/>
              </w:rPr>
            </w:pPr>
            <w:r>
              <w:rPr>
                <w:rFonts w:ascii="Arial" w:cs="Arial" w:eastAsia="Arial" w:hAnsi="Arial"/>
                <w:sz w:val="18"/>
                <w:szCs w:val="18"/>
                <w:color w:val="auto"/>
              </w:rPr>
              <w:t>Notes to Unaudited Condensed Consolidated Financial Statements</w:t>
            </w:r>
          </w:p>
        </w:tc>
        <w:tc>
          <w:tcPr>
            <w:tcW w:w="104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729"/>
        </w:trPr>
        <w:tc>
          <w:tcPr>
            <w:tcW w:w="9920" w:type="dxa"/>
            <w:vAlign w:val="bottom"/>
          </w:tcPr>
          <w:p>
            <w:pPr>
              <w:ind w:left="5460"/>
              <w:spacing w:after="0"/>
              <w:rPr>
                <w:sz w:val="20"/>
                <w:szCs w:val="20"/>
                <w:color w:val="auto"/>
              </w:rPr>
            </w:pPr>
            <w:r>
              <w:rPr>
                <w:rFonts w:ascii="Arial" w:cs="Arial" w:eastAsia="Arial" w:hAnsi="Arial"/>
                <w:sz w:val="18"/>
                <w:szCs w:val="18"/>
                <w:color w:val="auto"/>
              </w:rPr>
              <w:t>1</w:t>
            </w:r>
          </w:p>
        </w:tc>
        <w:tc>
          <w:tcPr>
            <w:tcW w:w="1040" w:type="dxa"/>
            <w:vAlign w:val="bottom"/>
          </w:tcPr>
          <w:p>
            <w:pPr>
              <w:spacing w:after="0"/>
              <w:rPr>
                <w:sz w:val="24"/>
                <w:szCs w:val="24"/>
                <w:color w:val="auto"/>
              </w:rPr>
            </w:pPr>
          </w:p>
        </w:tc>
      </w:tr>
    </w:tbl>
    <w:p>
      <w:pPr>
        <w:sectPr>
          <w:pgSz w:w="11900" w:h="16838" w:orient="portrait"/>
          <w:cols w:equalWidth="0" w:num="1">
            <w:col w:w="10960"/>
          </w:cols>
          <w:pgMar w:left="440" w:top="270" w:right="499" w:bottom="1440" w:gutter="0" w:footer="0" w:header="0"/>
        </w:sectPr>
      </w:pPr>
    </w:p>
    <w:bookmarkStart w:id="5" w:name="page6"/>
    <w:bookmarkEnd w:id="5"/>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INPHI CORPORATION</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 except share and per share amounts)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699516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pacing w:after="0" w:line="2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4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06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rPr>
              <w:t>March 31,</w:t>
            </w:r>
          </w:p>
        </w:tc>
        <w:tc>
          <w:tcPr>
            <w:tcW w:w="960" w:type="dxa"/>
            <w:vAlign w:val="bottom"/>
            <w:gridSpan w:val="3"/>
          </w:tcPr>
          <w:p>
            <w:pPr>
              <w:spacing w:after="0"/>
              <w:rPr>
                <w:sz w:val="20"/>
                <w:szCs w:val="20"/>
                <w:color w:val="auto"/>
              </w:rPr>
            </w:pPr>
            <w:r>
              <w:rPr>
                <w:rFonts w:ascii="Arial" w:cs="Arial" w:eastAsia="Arial" w:hAnsi="Arial"/>
                <w:sz w:val="14"/>
                <w:szCs w:val="14"/>
                <w:b w:val="1"/>
                <w:bCs w:val="1"/>
                <w:color w:val="auto"/>
              </w:rPr>
              <w:t>December 31,</w:t>
            </w:r>
          </w:p>
        </w:tc>
      </w:tr>
      <w:tr>
        <w:trPr>
          <w:trHeight w:val="171"/>
        </w:trPr>
        <w:tc>
          <w:tcPr>
            <w:tcW w:w="8460" w:type="dxa"/>
            <w:vAlign w:val="bottom"/>
            <w:tcBorders>
              <w:bottom w:val="single" w:sz="8" w:color="CCEEFF"/>
            </w:tcBorders>
          </w:tcPr>
          <w:p>
            <w:pPr>
              <w:spacing w:after="0"/>
              <w:rPr>
                <w:sz w:val="14"/>
                <w:szCs w:val="14"/>
                <w:color w:val="auto"/>
              </w:rPr>
            </w:pPr>
          </w:p>
        </w:tc>
        <w:tc>
          <w:tcPr>
            <w:tcW w:w="5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2021</w:t>
            </w:r>
          </w:p>
        </w:tc>
        <w:tc>
          <w:tcPr>
            <w:tcW w:w="3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4"/>
                <w:szCs w:val="14"/>
                <w:color w:val="auto"/>
              </w:rPr>
            </w:pPr>
          </w:p>
        </w:tc>
      </w:tr>
      <w:tr>
        <w:trPr>
          <w:trHeight w:val="196"/>
        </w:trPr>
        <w:tc>
          <w:tcPr>
            <w:tcW w:w="84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16"/>
        </w:trPr>
        <w:tc>
          <w:tcPr>
            <w:tcW w:w="8460" w:type="dxa"/>
            <w:vAlign w:val="bottom"/>
          </w:tcPr>
          <w:p>
            <w:pPr>
              <w:spacing w:after="0"/>
              <w:rPr>
                <w:sz w:val="20"/>
                <w:szCs w:val="20"/>
                <w:color w:val="auto"/>
              </w:rPr>
            </w:pPr>
            <w:r>
              <w:rPr>
                <w:rFonts w:ascii="Arial" w:cs="Arial" w:eastAsia="Arial" w:hAnsi="Arial"/>
                <w:sz w:val="18"/>
                <w:szCs w:val="18"/>
                <w:color w:val="auto"/>
              </w:rPr>
              <w:t>Current assets:</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84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Cash and cash equivalents</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75,367</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103,529</w:t>
            </w:r>
          </w:p>
        </w:tc>
      </w:tr>
      <w:tr>
        <w:trPr>
          <w:trHeight w:val="202"/>
        </w:trPr>
        <w:tc>
          <w:tcPr>
            <w:tcW w:w="8460" w:type="dxa"/>
            <w:vAlign w:val="bottom"/>
          </w:tcPr>
          <w:p>
            <w:pPr>
              <w:ind w:left="360"/>
              <w:spacing w:after="0" w:line="201" w:lineRule="exact"/>
              <w:rPr>
                <w:sz w:val="20"/>
                <w:szCs w:val="20"/>
                <w:color w:val="auto"/>
              </w:rPr>
            </w:pPr>
            <w:r>
              <w:rPr>
                <w:rFonts w:ascii="Arial" w:cs="Arial" w:eastAsia="Arial" w:hAnsi="Arial"/>
                <w:sz w:val="18"/>
                <w:szCs w:val="18"/>
                <w:color w:val="auto"/>
                <w:w w:val="98"/>
              </w:rPr>
              <w:t>Investments in marketable securities (amortized cost of $17,380 and $62,881 as of March 31, 2021 and</w:t>
            </w:r>
          </w:p>
        </w:tc>
        <w:tc>
          <w:tcPr>
            <w:tcW w:w="5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30"/>
        </w:trPr>
        <w:tc>
          <w:tcPr>
            <w:tcW w:w="8460" w:type="dxa"/>
            <w:vAlign w:val="bottom"/>
          </w:tcPr>
          <w:p>
            <w:pPr>
              <w:ind w:left="540"/>
              <w:spacing w:after="0"/>
              <w:rPr>
                <w:sz w:val="20"/>
                <w:szCs w:val="20"/>
                <w:color w:val="auto"/>
              </w:rPr>
            </w:pPr>
            <w:r>
              <w:rPr>
                <w:rFonts w:ascii="Arial" w:cs="Arial" w:eastAsia="Arial" w:hAnsi="Arial"/>
                <w:sz w:val="18"/>
                <w:szCs w:val="18"/>
                <w:color w:val="auto"/>
              </w:rPr>
              <w:t>December 31, 2020, respectively)</w:t>
            </w:r>
          </w:p>
        </w:tc>
        <w:tc>
          <w:tcPr>
            <w:tcW w:w="5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17,596</w:t>
            </w:r>
          </w:p>
        </w:tc>
        <w:tc>
          <w:tcPr>
            <w:tcW w:w="120" w:type="dxa"/>
            <w:vAlign w:val="bottom"/>
          </w:tcPr>
          <w:p>
            <w:pPr>
              <w:spacing w:after="0"/>
              <w:rPr>
                <w:sz w:val="20"/>
                <w:szCs w:val="20"/>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63,389</w:t>
            </w:r>
          </w:p>
        </w:tc>
      </w:tr>
      <w:tr>
        <w:trPr>
          <w:trHeight w:val="216"/>
        </w:trPr>
        <w:tc>
          <w:tcPr>
            <w:tcW w:w="84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receivable, net</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121,807</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111,436</w:t>
            </w:r>
          </w:p>
        </w:tc>
      </w:tr>
      <w:tr>
        <w:trPr>
          <w:trHeight w:val="216"/>
        </w:trPr>
        <w:tc>
          <w:tcPr>
            <w:tcW w:w="8460" w:type="dxa"/>
            <w:vAlign w:val="bottom"/>
          </w:tcPr>
          <w:p>
            <w:pPr>
              <w:ind w:left="360"/>
              <w:spacing w:after="0"/>
              <w:rPr>
                <w:sz w:val="20"/>
                <w:szCs w:val="20"/>
                <w:color w:val="auto"/>
              </w:rPr>
            </w:pPr>
            <w:r>
              <w:rPr>
                <w:rFonts w:ascii="Arial" w:cs="Arial" w:eastAsia="Arial" w:hAnsi="Arial"/>
                <w:sz w:val="18"/>
                <w:szCs w:val="18"/>
                <w:color w:val="auto"/>
              </w:rPr>
              <w:t>Inventories</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w w:val="95"/>
              </w:rPr>
              <w:t>110,979</w:t>
            </w:r>
          </w:p>
        </w:tc>
        <w:tc>
          <w:tcPr>
            <w:tcW w:w="12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111,403</w:t>
            </w:r>
          </w:p>
        </w:tc>
      </w:tr>
      <w:tr>
        <w:trPr>
          <w:trHeight w:val="216"/>
        </w:trPr>
        <w:tc>
          <w:tcPr>
            <w:tcW w:w="84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Prepaid expenses and other current assets</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10,871</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10,137</w:t>
            </w:r>
          </w:p>
        </w:tc>
      </w:tr>
      <w:tr>
        <w:trPr>
          <w:trHeight w:val="223"/>
        </w:trPr>
        <w:tc>
          <w:tcPr>
            <w:tcW w:w="8460" w:type="dxa"/>
            <w:vAlign w:val="bottom"/>
          </w:tcPr>
          <w:p>
            <w:pPr>
              <w:ind w:left="720"/>
              <w:spacing w:after="0"/>
              <w:rPr>
                <w:sz w:val="20"/>
                <w:szCs w:val="20"/>
                <w:color w:val="auto"/>
              </w:rPr>
            </w:pPr>
            <w:r>
              <w:rPr>
                <w:rFonts w:ascii="Arial" w:cs="Arial" w:eastAsia="Arial" w:hAnsi="Arial"/>
                <w:sz w:val="18"/>
                <w:szCs w:val="18"/>
                <w:color w:val="auto"/>
              </w:rPr>
              <w:t>Total current assets</w:t>
            </w:r>
          </w:p>
        </w:tc>
        <w:tc>
          <w:tcPr>
            <w:tcW w:w="5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5"/>
              </w:rPr>
              <w:t>336,620</w:t>
            </w:r>
          </w:p>
        </w:tc>
        <w:tc>
          <w:tcPr>
            <w:tcW w:w="3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399,894</w:t>
            </w:r>
          </w:p>
        </w:tc>
        <w:tc>
          <w:tcPr>
            <w:tcW w:w="120" w:type="dxa"/>
            <w:vAlign w:val="bottom"/>
          </w:tcPr>
          <w:p>
            <w:pPr>
              <w:spacing w:after="0"/>
              <w:rPr>
                <w:sz w:val="19"/>
                <w:szCs w:val="19"/>
                <w:color w:val="auto"/>
              </w:rPr>
            </w:pPr>
          </w:p>
        </w:tc>
      </w:tr>
      <w:tr>
        <w:trPr>
          <w:trHeight w:val="216"/>
        </w:trPr>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132,351</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133,556</w:t>
            </w:r>
          </w:p>
        </w:tc>
      </w:tr>
      <w:tr>
        <w:trPr>
          <w:trHeight w:val="216"/>
        </w:trPr>
        <w:tc>
          <w:tcPr>
            <w:tcW w:w="8460" w:type="dxa"/>
            <w:vAlign w:val="bottom"/>
          </w:tcPr>
          <w:p>
            <w:pPr>
              <w:spacing w:after="0"/>
              <w:rPr>
                <w:sz w:val="20"/>
                <w:szCs w:val="20"/>
                <w:color w:val="auto"/>
              </w:rPr>
            </w:pPr>
            <w:r>
              <w:rPr>
                <w:rFonts w:ascii="Arial" w:cs="Arial" w:eastAsia="Arial" w:hAnsi="Arial"/>
                <w:sz w:val="18"/>
                <w:szCs w:val="18"/>
                <w:color w:val="auto"/>
              </w:rPr>
              <w:t>Goodwill</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w w:val="95"/>
              </w:rPr>
              <w:t>181,688</w:t>
            </w:r>
          </w:p>
        </w:tc>
        <w:tc>
          <w:tcPr>
            <w:tcW w:w="12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181,688</w:t>
            </w:r>
          </w:p>
        </w:tc>
      </w:tr>
      <w:tr>
        <w:trPr>
          <w:trHeight w:val="216"/>
        </w:trPr>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Intangible assets, net</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210,385</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231,633</w:t>
            </w:r>
          </w:p>
        </w:tc>
      </w:tr>
      <w:tr>
        <w:trPr>
          <w:trHeight w:val="216"/>
        </w:trPr>
        <w:tc>
          <w:tcPr>
            <w:tcW w:w="8460" w:type="dxa"/>
            <w:vAlign w:val="bottom"/>
          </w:tcPr>
          <w:p>
            <w:pPr>
              <w:spacing w:after="0"/>
              <w:rPr>
                <w:sz w:val="20"/>
                <w:szCs w:val="20"/>
                <w:color w:val="auto"/>
              </w:rPr>
            </w:pPr>
            <w:r>
              <w:rPr>
                <w:rFonts w:ascii="Arial" w:cs="Arial" w:eastAsia="Arial" w:hAnsi="Arial"/>
                <w:sz w:val="18"/>
                <w:szCs w:val="18"/>
                <w:color w:val="auto"/>
              </w:rPr>
              <w:t>Right of use assets, net</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29,723</w:t>
            </w:r>
          </w:p>
        </w:tc>
        <w:tc>
          <w:tcPr>
            <w:tcW w:w="12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30,855</w:t>
            </w:r>
          </w:p>
        </w:tc>
      </w:tr>
      <w:tr>
        <w:trPr>
          <w:trHeight w:val="216"/>
        </w:trPr>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Other assets, net</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33,916</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30,610</w:t>
            </w:r>
          </w:p>
        </w:tc>
      </w:tr>
      <w:tr>
        <w:trPr>
          <w:trHeight w:val="223"/>
        </w:trPr>
        <w:tc>
          <w:tcPr>
            <w:tcW w:w="8460" w:type="dxa"/>
            <w:vAlign w:val="bottom"/>
          </w:tcPr>
          <w:p>
            <w:pPr>
              <w:ind w:left="720"/>
              <w:spacing w:after="0"/>
              <w:rPr>
                <w:sz w:val="20"/>
                <w:szCs w:val="20"/>
                <w:color w:val="auto"/>
              </w:rPr>
            </w:pPr>
            <w:r>
              <w:rPr>
                <w:rFonts w:ascii="Arial" w:cs="Arial" w:eastAsia="Arial" w:hAnsi="Arial"/>
                <w:sz w:val="18"/>
                <w:szCs w:val="18"/>
                <w:color w:val="auto"/>
              </w:rPr>
              <w:t>Total assets</w:t>
            </w:r>
          </w:p>
        </w:tc>
        <w:tc>
          <w:tcPr>
            <w:tcW w:w="5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924,683</w:t>
            </w:r>
          </w:p>
        </w:tc>
        <w:tc>
          <w:tcPr>
            <w:tcW w:w="32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1,008,236</w:t>
            </w:r>
          </w:p>
        </w:tc>
        <w:tc>
          <w:tcPr>
            <w:tcW w:w="120" w:type="dxa"/>
            <w:vAlign w:val="bottom"/>
          </w:tcPr>
          <w:p>
            <w:pPr>
              <w:spacing w:after="0"/>
              <w:rPr>
                <w:sz w:val="19"/>
                <w:szCs w:val="19"/>
                <w:color w:val="auto"/>
              </w:rPr>
            </w:pPr>
          </w:p>
        </w:tc>
      </w:tr>
      <w:tr>
        <w:trPr>
          <w:trHeight w:val="20"/>
        </w:trPr>
        <w:tc>
          <w:tcPr>
            <w:tcW w:w="84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r>
        <w:trPr>
          <w:trHeight w:val="210"/>
        </w:trPr>
        <w:tc>
          <w:tcPr>
            <w:tcW w:w="84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Stockholders’ Equity</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8460" w:type="dxa"/>
            <w:vAlign w:val="bottom"/>
          </w:tcPr>
          <w:p>
            <w:pPr>
              <w:spacing w:after="0"/>
              <w:rPr>
                <w:sz w:val="20"/>
                <w:szCs w:val="20"/>
                <w:color w:val="auto"/>
              </w:rPr>
            </w:pPr>
            <w:r>
              <w:rPr>
                <w:rFonts w:ascii="Arial" w:cs="Arial" w:eastAsia="Arial" w:hAnsi="Arial"/>
                <w:sz w:val="18"/>
                <w:szCs w:val="18"/>
                <w:color w:val="auto"/>
              </w:rPr>
              <w:t>Current liabilities:</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84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32,145</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36,387</w:t>
            </w:r>
          </w:p>
        </w:tc>
      </w:tr>
      <w:tr>
        <w:trPr>
          <w:trHeight w:val="216"/>
        </w:trPr>
        <w:tc>
          <w:tcPr>
            <w:tcW w:w="8460" w:type="dxa"/>
            <w:vAlign w:val="bottom"/>
          </w:tcPr>
          <w:p>
            <w:pPr>
              <w:ind w:left="360"/>
              <w:spacing w:after="0"/>
              <w:rPr>
                <w:sz w:val="20"/>
                <w:szCs w:val="20"/>
                <w:color w:val="auto"/>
              </w:rPr>
            </w:pPr>
            <w:r>
              <w:rPr>
                <w:rFonts w:ascii="Arial" w:cs="Arial" w:eastAsia="Arial" w:hAnsi="Arial"/>
                <w:sz w:val="18"/>
                <w:szCs w:val="18"/>
                <w:color w:val="auto"/>
              </w:rPr>
              <w:t>Deferred revenue</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4,928</w:t>
            </w:r>
          </w:p>
        </w:tc>
        <w:tc>
          <w:tcPr>
            <w:tcW w:w="12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3,281</w:t>
            </w:r>
          </w:p>
        </w:tc>
      </w:tr>
      <w:tr>
        <w:trPr>
          <w:trHeight w:val="216"/>
        </w:trPr>
        <w:tc>
          <w:tcPr>
            <w:tcW w:w="84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employee expenses</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14,676</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35,627</w:t>
            </w:r>
          </w:p>
        </w:tc>
      </w:tr>
      <w:tr>
        <w:trPr>
          <w:trHeight w:val="216"/>
        </w:trPr>
        <w:tc>
          <w:tcPr>
            <w:tcW w:w="8460" w:type="dxa"/>
            <w:vAlign w:val="bottom"/>
          </w:tcPr>
          <w:p>
            <w:pPr>
              <w:ind w:left="360"/>
              <w:spacing w:after="0"/>
              <w:rPr>
                <w:sz w:val="20"/>
                <w:szCs w:val="20"/>
                <w:color w:val="auto"/>
              </w:rPr>
            </w:pPr>
            <w:r>
              <w:rPr>
                <w:rFonts w:ascii="Arial" w:cs="Arial" w:eastAsia="Arial" w:hAnsi="Arial"/>
                <w:sz w:val="18"/>
                <w:szCs w:val="18"/>
                <w:color w:val="auto"/>
              </w:rPr>
              <w:t>Other accrued expenses</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10,253</w:t>
            </w:r>
          </w:p>
        </w:tc>
        <w:tc>
          <w:tcPr>
            <w:tcW w:w="12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11,288</w:t>
            </w:r>
          </w:p>
        </w:tc>
      </w:tr>
      <w:tr>
        <w:trPr>
          <w:trHeight w:val="216"/>
        </w:trPr>
        <w:tc>
          <w:tcPr>
            <w:tcW w:w="84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Convertible debt</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22,325</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58,004</w:t>
            </w:r>
          </w:p>
        </w:tc>
      </w:tr>
      <w:tr>
        <w:trPr>
          <w:trHeight w:val="216"/>
        </w:trPr>
        <w:tc>
          <w:tcPr>
            <w:tcW w:w="8460" w:type="dxa"/>
            <w:vAlign w:val="bottom"/>
          </w:tcPr>
          <w:p>
            <w:pPr>
              <w:ind w:left="360"/>
              <w:spacing w:after="0"/>
              <w:rPr>
                <w:sz w:val="20"/>
                <w:szCs w:val="20"/>
                <w:color w:val="auto"/>
              </w:rPr>
            </w:pPr>
            <w:r>
              <w:rPr>
                <w:rFonts w:ascii="Arial" w:cs="Arial" w:eastAsia="Arial" w:hAnsi="Arial"/>
                <w:sz w:val="18"/>
                <w:szCs w:val="18"/>
                <w:color w:val="auto"/>
              </w:rPr>
              <w:t>Other current liabilities</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32,473</w:t>
            </w:r>
          </w:p>
        </w:tc>
        <w:tc>
          <w:tcPr>
            <w:tcW w:w="12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45,930</w:t>
            </w:r>
          </w:p>
        </w:tc>
      </w:tr>
      <w:tr>
        <w:trPr>
          <w:trHeight w:val="27"/>
        </w:trPr>
        <w:tc>
          <w:tcPr>
            <w:tcW w:w="8460" w:type="dxa"/>
            <w:vAlign w:val="bottom"/>
          </w:tcPr>
          <w:p>
            <w:pPr>
              <w:spacing w:after="0"/>
              <w:rPr>
                <w:sz w:val="2"/>
                <w:szCs w:val="2"/>
                <w:color w:val="auto"/>
              </w:rPr>
            </w:pPr>
          </w:p>
        </w:tc>
        <w:tc>
          <w:tcPr>
            <w:tcW w:w="5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r>
      <w:tr>
        <w:trPr>
          <w:trHeight w:val="216"/>
        </w:trPr>
        <w:tc>
          <w:tcPr>
            <w:tcW w:w="84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Total current liabilities</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116,800</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190,517</w:t>
            </w:r>
          </w:p>
        </w:tc>
      </w:tr>
      <w:tr>
        <w:trPr>
          <w:trHeight w:val="216"/>
        </w:trPr>
        <w:tc>
          <w:tcPr>
            <w:tcW w:w="8460" w:type="dxa"/>
            <w:vAlign w:val="bottom"/>
          </w:tcPr>
          <w:p>
            <w:pPr>
              <w:spacing w:after="0"/>
              <w:rPr>
                <w:sz w:val="20"/>
                <w:szCs w:val="20"/>
                <w:color w:val="auto"/>
              </w:rPr>
            </w:pPr>
            <w:r>
              <w:rPr>
                <w:rFonts w:ascii="Arial" w:cs="Arial" w:eastAsia="Arial" w:hAnsi="Arial"/>
                <w:sz w:val="18"/>
                <w:szCs w:val="18"/>
                <w:color w:val="auto"/>
              </w:rPr>
              <w:t>Convertible debt</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w w:val="95"/>
              </w:rPr>
              <w:t>410,785</w:t>
            </w:r>
          </w:p>
        </w:tc>
        <w:tc>
          <w:tcPr>
            <w:tcW w:w="12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405,689</w:t>
            </w:r>
          </w:p>
        </w:tc>
      </w:tr>
      <w:tr>
        <w:trPr>
          <w:trHeight w:val="216"/>
        </w:trPr>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52,555</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58,320</w:t>
            </w:r>
          </w:p>
        </w:tc>
      </w:tr>
      <w:tr>
        <w:trPr>
          <w:trHeight w:val="230"/>
        </w:trPr>
        <w:tc>
          <w:tcPr>
            <w:tcW w:w="8460" w:type="dxa"/>
            <w:vAlign w:val="bottom"/>
          </w:tcPr>
          <w:p>
            <w:pPr>
              <w:ind w:left="720"/>
              <w:spacing w:after="0"/>
              <w:rPr>
                <w:sz w:val="20"/>
                <w:szCs w:val="20"/>
                <w:color w:val="auto"/>
              </w:rPr>
            </w:pPr>
            <w:r>
              <w:rPr>
                <w:rFonts w:ascii="Arial" w:cs="Arial" w:eastAsia="Arial" w:hAnsi="Arial"/>
                <w:sz w:val="18"/>
                <w:szCs w:val="18"/>
                <w:color w:val="auto"/>
              </w:rPr>
              <w:t>Total liabilities</w:t>
            </w:r>
          </w:p>
        </w:tc>
        <w:tc>
          <w:tcPr>
            <w:tcW w:w="5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580,140</w:t>
            </w:r>
          </w:p>
        </w:tc>
        <w:tc>
          <w:tcPr>
            <w:tcW w:w="320" w:type="dxa"/>
            <w:vAlign w:val="bottom"/>
          </w:tcPr>
          <w:p>
            <w:pPr>
              <w:spacing w:after="0"/>
              <w:rPr>
                <w:sz w:val="20"/>
                <w:szCs w:val="20"/>
                <w:color w:val="auto"/>
              </w:rPr>
            </w:pPr>
          </w:p>
        </w:tc>
        <w:tc>
          <w:tcPr>
            <w:tcW w:w="12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654,526</w:t>
            </w:r>
          </w:p>
        </w:tc>
        <w:tc>
          <w:tcPr>
            <w:tcW w:w="120" w:type="dxa"/>
            <w:vAlign w:val="bottom"/>
          </w:tcPr>
          <w:p>
            <w:pPr>
              <w:spacing w:after="0"/>
              <w:rPr>
                <w:sz w:val="20"/>
                <w:szCs w:val="20"/>
                <w:color w:val="auto"/>
              </w:rPr>
            </w:pPr>
          </w:p>
        </w:tc>
      </w:tr>
      <w:tr>
        <w:trPr>
          <w:trHeight w:val="216"/>
        </w:trPr>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Commitments and contingencies (Note 17)</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8460" w:type="dxa"/>
            <w:vAlign w:val="bottom"/>
          </w:tcPr>
          <w:p>
            <w:pPr>
              <w:spacing w:after="0"/>
              <w:rPr>
                <w:sz w:val="20"/>
                <w:szCs w:val="20"/>
                <w:color w:val="auto"/>
              </w:rPr>
            </w:pPr>
            <w:r>
              <w:rPr>
                <w:rFonts w:ascii="Arial" w:cs="Arial" w:eastAsia="Arial" w:hAnsi="Arial"/>
                <w:sz w:val="18"/>
                <w:szCs w:val="18"/>
                <w:color w:val="auto"/>
              </w:rPr>
              <w:t>Stockholders’ equity:</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84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Preferred stock, $0.001 par value; 10,000,000 shares authorized; no shares issued</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02"/>
        </w:trPr>
        <w:tc>
          <w:tcPr>
            <w:tcW w:w="8460" w:type="dxa"/>
            <w:vAlign w:val="bottom"/>
          </w:tcPr>
          <w:p>
            <w:pPr>
              <w:ind w:left="360"/>
              <w:spacing w:after="0" w:line="201" w:lineRule="exact"/>
              <w:rPr>
                <w:sz w:val="20"/>
                <w:szCs w:val="20"/>
                <w:color w:val="auto"/>
              </w:rPr>
            </w:pPr>
            <w:r>
              <w:rPr>
                <w:rFonts w:ascii="Arial" w:cs="Arial" w:eastAsia="Arial" w:hAnsi="Arial"/>
                <w:sz w:val="18"/>
                <w:szCs w:val="18"/>
                <w:color w:val="auto"/>
                <w:w w:val="95"/>
              </w:rPr>
              <w:t>Common stock, $0.001 par value; 500,000,000 shares authorized; 54,507,972 and 53,381,854 issued and</w:t>
            </w:r>
          </w:p>
        </w:tc>
        <w:tc>
          <w:tcPr>
            <w:tcW w:w="5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30"/>
        </w:trPr>
        <w:tc>
          <w:tcPr>
            <w:tcW w:w="8460" w:type="dxa"/>
            <w:vAlign w:val="bottom"/>
          </w:tcPr>
          <w:p>
            <w:pPr>
              <w:ind w:left="540"/>
              <w:spacing w:after="0"/>
              <w:rPr>
                <w:sz w:val="20"/>
                <w:szCs w:val="20"/>
                <w:color w:val="auto"/>
              </w:rPr>
            </w:pPr>
            <w:r>
              <w:rPr>
                <w:rFonts w:ascii="Arial" w:cs="Arial" w:eastAsia="Arial" w:hAnsi="Arial"/>
                <w:sz w:val="18"/>
                <w:szCs w:val="18"/>
                <w:color w:val="auto"/>
              </w:rPr>
              <w:t>outstanding at March 31, 2021 and December 31, 2020, respectively</w:t>
            </w:r>
          </w:p>
        </w:tc>
        <w:tc>
          <w:tcPr>
            <w:tcW w:w="5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55</w:t>
            </w:r>
          </w:p>
        </w:tc>
        <w:tc>
          <w:tcPr>
            <w:tcW w:w="120" w:type="dxa"/>
            <w:vAlign w:val="bottom"/>
          </w:tcPr>
          <w:p>
            <w:pPr>
              <w:spacing w:after="0"/>
              <w:rPr>
                <w:sz w:val="20"/>
                <w:szCs w:val="20"/>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53</w:t>
            </w:r>
          </w:p>
        </w:tc>
      </w:tr>
      <w:tr>
        <w:trPr>
          <w:trHeight w:val="216"/>
        </w:trPr>
        <w:tc>
          <w:tcPr>
            <w:tcW w:w="84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Additional paid-in capital</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652,465</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654,883</w:t>
            </w:r>
          </w:p>
        </w:tc>
      </w:tr>
      <w:tr>
        <w:trPr>
          <w:trHeight w:val="216"/>
        </w:trPr>
        <w:tc>
          <w:tcPr>
            <w:tcW w:w="8460" w:type="dxa"/>
            <w:vAlign w:val="bottom"/>
          </w:tcPr>
          <w:p>
            <w:pPr>
              <w:ind w:left="360"/>
              <w:spacing w:after="0"/>
              <w:rPr>
                <w:sz w:val="20"/>
                <w:szCs w:val="20"/>
                <w:color w:val="auto"/>
              </w:rPr>
            </w:pPr>
            <w:r>
              <w:rPr>
                <w:rFonts w:ascii="Arial" w:cs="Arial" w:eastAsia="Arial" w:hAnsi="Arial"/>
                <w:sz w:val="18"/>
                <w:szCs w:val="18"/>
                <w:color w:val="auto"/>
              </w:rPr>
              <w:t>Accumulated deficit</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w w:val="88"/>
              </w:rPr>
              <w:t>(309,011)</w:t>
            </w:r>
          </w:p>
        </w:tc>
        <w:tc>
          <w:tcPr>
            <w:tcW w:w="120" w:type="dxa"/>
            <w:vAlign w:val="bottom"/>
          </w:tcPr>
          <w:p>
            <w:pPr>
              <w:spacing w:after="0"/>
              <w:rPr>
                <w:sz w:val="18"/>
                <w:szCs w:val="18"/>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w w:val="98"/>
              </w:rPr>
              <w:t>(302,551)</w:t>
            </w:r>
          </w:p>
        </w:tc>
      </w:tr>
      <w:tr>
        <w:trPr>
          <w:trHeight w:val="216"/>
        </w:trPr>
        <w:tc>
          <w:tcPr>
            <w:tcW w:w="84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Accumulated other comprehensive income</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1,034</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1,325</w:t>
            </w:r>
          </w:p>
        </w:tc>
      </w:tr>
      <w:tr>
        <w:trPr>
          <w:trHeight w:val="230"/>
        </w:trPr>
        <w:tc>
          <w:tcPr>
            <w:tcW w:w="8460" w:type="dxa"/>
            <w:vAlign w:val="bottom"/>
          </w:tcPr>
          <w:p>
            <w:pPr>
              <w:ind w:left="720"/>
              <w:spacing w:after="0"/>
              <w:rPr>
                <w:sz w:val="20"/>
                <w:szCs w:val="20"/>
                <w:color w:val="auto"/>
              </w:rPr>
            </w:pPr>
            <w:r>
              <w:rPr>
                <w:rFonts w:ascii="Arial" w:cs="Arial" w:eastAsia="Arial" w:hAnsi="Arial"/>
                <w:sz w:val="18"/>
                <w:szCs w:val="18"/>
                <w:color w:val="auto"/>
              </w:rPr>
              <w:t>Total stockholders’ equity</w:t>
            </w:r>
          </w:p>
        </w:tc>
        <w:tc>
          <w:tcPr>
            <w:tcW w:w="5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344,543</w:t>
            </w:r>
          </w:p>
        </w:tc>
        <w:tc>
          <w:tcPr>
            <w:tcW w:w="320" w:type="dxa"/>
            <w:vAlign w:val="bottom"/>
          </w:tcPr>
          <w:p>
            <w:pPr>
              <w:spacing w:after="0"/>
              <w:rPr>
                <w:sz w:val="20"/>
                <w:szCs w:val="20"/>
                <w:color w:val="auto"/>
              </w:rPr>
            </w:pPr>
          </w:p>
        </w:tc>
        <w:tc>
          <w:tcPr>
            <w:tcW w:w="12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353,710</w:t>
            </w:r>
          </w:p>
        </w:tc>
        <w:tc>
          <w:tcPr>
            <w:tcW w:w="120" w:type="dxa"/>
            <w:vAlign w:val="bottom"/>
          </w:tcPr>
          <w:p>
            <w:pPr>
              <w:spacing w:after="0"/>
              <w:rPr>
                <w:sz w:val="20"/>
                <w:szCs w:val="20"/>
                <w:color w:val="auto"/>
              </w:rPr>
            </w:pPr>
          </w:p>
        </w:tc>
      </w:tr>
      <w:tr>
        <w:trPr>
          <w:trHeight w:val="216"/>
        </w:trPr>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Total liabilities and stockholders’ equity</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924,683</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7"/>
              </w:rPr>
              <w:t>1,008,236</w:t>
            </w:r>
          </w:p>
        </w:tc>
      </w:tr>
      <w:tr>
        <w:trPr>
          <w:trHeight w:val="20"/>
        </w:trPr>
        <w:tc>
          <w:tcPr>
            <w:tcW w:w="84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215"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The accompanying notes are an integral part of these unaudited condensed consolidated financial statements.</w:t>
      </w:r>
    </w:p>
    <w:p>
      <w:pPr>
        <w:spacing w:after="0" w:line="158"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20"/>
          </w:cols>
          <w:pgMar w:left="440" w:top="270" w:right="439" w:bottom="1440" w:gutter="0" w:footer="0" w:header="0"/>
        </w:sectPr>
      </w:pPr>
    </w:p>
    <w:bookmarkStart w:id="6" w:name="page7"/>
    <w:bookmarkEnd w:id="6"/>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INPHI CORPORATION</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UNAUDITED CONDENSED CONSOLIDATED STATEMENTS OF OPERATIONS</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 except share and per share amounts)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699516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pacing w:after="0" w:line="27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8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340" w:type="dxa"/>
            <w:vAlign w:val="bottom"/>
            <w:gridSpan w:val="6"/>
          </w:tcPr>
          <w:p>
            <w:pPr>
              <w:jc w:val="right"/>
              <w:ind w:right="300"/>
              <w:spacing w:after="0"/>
              <w:rPr>
                <w:sz w:val="20"/>
                <w:szCs w:val="20"/>
                <w:color w:val="auto"/>
              </w:rPr>
            </w:pPr>
            <w:r>
              <w:rPr>
                <w:rFonts w:ascii="Arial" w:cs="Arial" w:eastAsia="Arial" w:hAnsi="Arial"/>
                <w:sz w:val="14"/>
                <w:szCs w:val="14"/>
                <w:b w:val="1"/>
                <w:bCs w:val="1"/>
                <w:color w:val="auto"/>
                <w:w w:val="97"/>
              </w:rPr>
              <w:t>Three Months Ended March 31,</w:t>
            </w:r>
          </w:p>
        </w:tc>
        <w:tc>
          <w:tcPr>
            <w:tcW w:w="0" w:type="dxa"/>
            <w:vAlign w:val="bottom"/>
          </w:tcPr>
          <w:p>
            <w:pPr>
              <w:spacing w:after="0"/>
              <w:rPr>
                <w:sz w:val="1"/>
                <w:szCs w:val="1"/>
                <w:color w:val="auto"/>
              </w:rPr>
            </w:pPr>
          </w:p>
        </w:tc>
      </w:tr>
      <w:tr>
        <w:trPr>
          <w:trHeight w:val="142"/>
        </w:trPr>
        <w:tc>
          <w:tcPr>
            <w:tcW w:w="8580" w:type="dxa"/>
            <w:vAlign w:val="bottom"/>
            <w:tcBorders>
              <w:bottom w:val="single" w:sz="8" w:color="CCEEFF"/>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800" w:type="dxa"/>
            <w:vAlign w:val="bottom"/>
            <w:tcBorders>
              <w:top w:val="single" w:sz="8" w:color="auto"/>
              <w:bottom w:val="single" w:sz="8" w:color="auto"/>
            </w:tcBorders>
          </w:tcPr>
          <w:p>
            <w:pPr>
              <w:jc w:val="right"/>
              <w:ind w:right="212"/>
              <w:spacing w:after="0" w:line="142" w:lineRule="exact"/>
              <w:rPr>
                <w:sz w:val="20"/>
                <w:szCs w:val="20"/>
                <w:color w:val="auto"/>
              </w:rPr>
            </w:pPr>
            <w:r>
              <w:rPr>
                <w:rFonts w:ascii="Arial" w:cs="Arial" w:eastAsia="Arial" w:hAnsi="Arial"/>
                <w:sz w:val="14"/>
                <w:szCs w:val="14"/>
                <w:b w:val="1"/>
                <w:bCs w:val="1"/>
                <w:color w:val="auto"/>
              </w:rPr>
              <w:t>2021</w:t>
            </w:r>
          </w:p>
        </w:tc>
        <w:tc>
          <w:tcPr>
            <w:tcW w:w="300" w:type="dxa"/>
            <w:vAlign w:val="bottom"/>
            <w:tcBorders>
              <w:top w:val="single" w:sz="8" w:color="auto"/>
              <w:bottom w:val="single" w:sz="8" w:color="CCEEFF"/>
            </w:tcBorders>
          </w:tcPr>
          <w:p>
            <w:pPr>
              <w:spacing w:after="0"/>
              <w:rPr>
                <w:sz w:val="12"/>
                <w:szCs w:val="12"/>
                <w:color w:val="auto"/>
              </w:rPr>
            </w:pPr>
          </w:p>
        </w:tc>
        <w:tc>
          <w:tcPr>
            <w:tcW w:w="220" w:type="dxa"/>
            <w:vAlign w:val="bottom"/>
            <w:tcBorders>
              <w:top w:val="single" w:sz="8" w:color="auto"/>
              <w:bottom w:val="single" w:sz="8" w:color="CCEEFF"/>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800" w:type="dxa"/>
            <w:vAlign w:val="bottom"/>
            <w:tcBorders>
              <w:top w:val="single" w:sz="8" w:color="auto"/>
              <w:bottom w:val="single" w:sz="8" w:color="auto"/>
            </w:tcBorders>
          </w:tcPr>
          <w:p>
            <w:pPr>
              <w:jc w:val="right"/>
              <w:ind w:right="211"/>
              <w:spacing w:after="0" w:line="142" w:lineRule="exact"/>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858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177,417</w:t>
            </w:r>
          </w:p>
        </w:tc>
        <w:tc>
          <w:tcPr>
            <w:tcW w:w="3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139,430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580" w:type="dxa"/>
            <w:vAlign w:val="bottom"/>
          </w:tcPr>
          <w:p>
            <w:pPr>
              <w:spacing w:after="0"/>
              <w:rPr>
                <w:sz w:val="20"/>
                <w:szCs w:val="20"/>
                <w:color w:val="auto"/>
              </w:rPr>
            </w:pPr>
            <w:r>
              <w:rPr>
                <w:rFonts w:ascii="Arial" w:cs="Arial" w:eastAsia="Arial" w:hAnsi="Arial"/>
                <w:sz w:val="18"/>
                <w:szCs w:val="18"/>
                <w:color w:val="auto"/>
              </w:rPr>
              <w:t>Cost of revenue</w:t>
            </w:r>
          </w:p>
        </w:tc>
        <w:tc>
          <w:tcPr>
            <w:tcW w:w="100" w:type="dxa"/>
            <w:vAlign w:val="bottom"/>
          </w:tcPr>
          <w:p>
            <w:pPr>
              <w:spacing w:after="0"/>
              <w:rPr>
                <w:sz w:val="18"/>
                <w:szCs w:val="18"/>
                <w:color w:val="auto"/>
              </w:rPr>
            </w:pPr>
          </w:p>
        </w:tc>
        <w:tc>
          <w:tcPr>
            <w:tcW w:w="1100" w:type="dxa"/>
            <w:vAlign w:val="bottom"/>
            <w:gridSpan w:val="2"/>
          </w:tcPr>
          <w:p>
            <w:pPr>
              <w:jc w:val="right"/>
              <w:ind w:right="300"/>
              <w:spacing w:after="0"/>
              <w:rPr>
                <w:sz w:val="20"/>
                <w:szCs w:val="20"/>
                <w:color w:val="auto"/>
              </w:rPr>
            </w:pPr>
            <w:r>
              <w:rPr>
                <w:rFonts w:ascii="Arial" w:cs="Arial" w:eastAsia="Arial" w:hAnsi="Arial"/>
                <w:sz w:val="18"/>
                <w:szCs w:val="18"/>
                <w:color w:val="auto"/>
              </w:rPr>
              <w:t>79,884</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65,733</w:t>
            </w:r>
          </w:p>
        </w:tc>
        <w:tc>
          <w:tcPr>
            <w:tcW w:w="0" w:type="dxa"/>
            <w:vAlign w:val="bottom"/>
          </w:tcPr>
          <w:p>
            <w:pPr>
              <w:spacing w:after="0"/>
              <w:rPr>
                <w:sz w:val="1"/>
                <w:szCs w:val="1"/>
                <w:color w:val="auto"/>
              </w:rPr>
            </w:pPr>
          </w:p>
        </w:tc>
      </w:tr>
      <w:tr>
        <w:trPr>
          <w:trHeight w:val="27"/>
        </w:trPr>
        <w:tc>
          <w:tcPr>
            <w:tcW w:w="85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858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97,533</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73,697</w:t>
            </w:r>
          </w:p>
        </w:tc>
        <w:tc>
          <w:tcPr>
            <w:tcW w:w="0" w:type="dxa"/>
            <w:vAlign w:val="bottom"/>
          </w:tcPr>
          <w:p>
            <w:pPr>
              <w:spacing w:after="0"/>
              <w:rPr>
                <w:sz w:val="1"/>
                <w:szCs w:val="1"/>
                <w:color w:val="auto"/>
              </w:rPr>
            </w:pPr>
          </w:p>
        </w:tc>
      </w:tr>
      <w:tr>
        <w:trPr>
          <w:trHeight w:val="223"/>
        </w:trPr>
        <w:tc>
          <w:tcPr>
            <w:tcW w:w="8580" w:type="dxa"/>
            <w:vAlign w:val="bottom"/>
          </w:tcPr>
          <w:p>
            <w:pPr>
              <w:spacing w:after="0"/>
              <w:rPr>
                <w:sz w:val="20"/>
                <w:szCs w:val="20"/>
                <w:color w:val="auto"/>
              </w:rPr>
            </w:pPr>
            <w:r>
              <w:rPr>
                <w:rFonts w:ascii="Arial" w:cs="Arial" w:eastAsia="Arial" w:hAnsi="Arial"/>
                <w:sz w:val="18"/>
                <w:szCs w:val="18"/>
                <w:color w:val="auto"/>
              </w:rPr>
              <w:t>Operating expenses:</w:t>
            </w:r>
          </w:p>
        </w:tc>
        <w:tc>
          <w:tcPr>
            <w:tcW w:w="100" w:type="dxa"/>
            <w:vAlign w:val="bottom"/>
            <w:tcBorders>
              <w:top w:val="single" w:sz="8" w:color="auto"/>
            </w:tcBorders>
          </w:tcPr>
          <w:p>
            <w:pPr>
              <w:spacing w:after="0"/>
              <w:rPr>
                <w:sz w:val="19"/>
                <w:szCs w:val="19"/>
                <w:color w:val="auto"/>
              </w:rPr>
            </w:pPr>
          </w:p>
        </w:tc>
        <w:tc>
          <w:tcPr>
            <w:tcW w:w="800" w:type="dxa"/>
            <w:vAlign w:val="bottom"/>
            <w:tcBorders>
              <w:top w:val="single" w:sz="8" w:color="auto"/>
            </w:tcBorders>
          </w:tcPr>
          <w:p>
            <w:pPr>
              <w:spacing w:after="0"/>
              <w:rPr>
                <w:sz w:val="19"/>
                <w:szCs w:val="19"/>
                <w:color w:val="auto"/>
              </w:rPr>
            </w:pPr>
          </w:p>
        </w:tc>
        <w:tc>
          <w:tcPr>
            <w:tcW w:w="3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80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85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70,566</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62,693</w:t>
            </w:r>
          </w:p>
        </w:tc>
        <w:tc>
          <w:tcPr>
            <w:tcW w:w="0" w:type="dxa"/>
            <w:vAlign w:val="bottom"/>
          </w:tcPr>
          <w:p>
            <w:pPr>
              <w:spacing w:after="0"/>
              <w:rPr>
                <w:sz w:val="1"/>
                <w:szCs w:val="1"/>
                <w:color w:val="auto"/>
              </w:rPr>
            </w:pPr>
          </w:p>
        </w:tc>
      </w:tr>
      <w:tr>
        <w:trPr>
          <w:trHeight w:val="216"/>
        </w:trPr>
        <w:tc>
          <w:tcPr>
            <w:tcW w:w="8580" w:type="dxa"/>
            <w:vAlign w:val="bottom"/>
          </w:tcPr>
          <w:p>
            <w:pPr>
              <w:ind w:left="360"/>
              <w:spacing w:after="0"/>
              <w:rPr>
                <w:sz w:val="20"/>
                <w:szCs w:val="20"/>
                <w:color w:val="auto"/>
              </w:rPr>
            </w:pPr>
            <w:r>
              <w:rPr>
                <w:rFonts w:ascii="Arial" w:cs="Arial" w:eastAsia="Arial" w:hAnsi="Arial"/>
                <w:sz w:val="18"/>
                <w:szCs w:val="18"/>
                <w:color w:val="auto"/>
              </w:rPr>
              <w:t>Sales and marketing</w:t>
            </w:r>
          </w:p>
        </w:tc>
        <w:tc>
          <w:tcPr>
            <w:tcW w:w="100" w:type="dxa"/>
            <w:vAlign w:val="bottom"/>
          </w:tcPr>
          <w:p>
            <w:pPr>
              <w:spacing w:after="0"/>
              <w:rPr>
                <w:sz w:val="18"/>
                <w:szCs w:val="18"/>
                <w:color w:val="auto"/>
              </w:rPr>
            </w:pPr>
          </w:p>
        </w:tc>
        <w:tc>
          <w:tcPr>
            <w:tcW w:w="1100" w:type="dxa"/>
            <w:vAlign w:val="bottom"/>
            <w:gridSpan w:val="2"/>
          </w:tcPr>
          <w:p>
            <w:pPr>
              <w:jc w:val="right"/>
              <w:ind w:right="300"/>
              <w:spacing w:after="0"/>
              <w:rPr>
                <w:sz w:val="20"/>
                <w:szCs w:val="20"/>
                <w:color w:val="auto"/>
              </w:rPr>
            </w:pPr>
            <w:r>
              <w:rPr>
                <w:rFonts w:ascii="Arial" w:cs="Arial" w:eastAsia="Arial" w:hAnsi="Arial"/>
                <w:sz w:val="18"/>
                <w:szCs w:val="18"/>
                <w:color w:val="auto"/>
              </w:rPr>
              <w:t>16,621</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14,909</w:t>
            </w:r>
          </w:p>
        </w:tc>
        <w:tc>
          <w:tcPr>
            <w:tcW w:w="0" w:type="dxa"/>
            <w:vAlign w:val="bottom"/>
          </w:tcPr>
          <w:p>
            <w:pPr>
              <w:spacing w:after="0"/>
              <w:rPr>
                <w:sz w:val="1"/>
                <w:szCs w:val="1"/>
                <w:color w:val="auto"/>
              </w:rPr>
            </w:pPr>
          </w:p>
        </w:tc>
      </w:tr>
      <w:tr>
        <w:trPr>
          <w:trHeight w:val="216"/>
        </w:trPr>
        <w:tc>
          <w:tcPr>
            <w:tcW w:w="85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General and administrative</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10,906</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12,392</w:t>
            </w:r>
          </w:p>
        </w:tc>
        <w:tc>
          <w:tcPr>
            <w:tcW w:w="0" w:type="dxa"/>
            <w:vAlign w:val="bottom"/>
          </w:tcPr>
          <w:p>
            <w:pPr>
              <w:spacing w:after="0"/>
              <w:rPr>
                <w:sz w:val="1"/>
                <w:szCs w:val="1"/>
                <w:color w:val="auto"/>
              </w:rPr>
            </w:pPr>
          </w:p>
        </w:tc>
      </w:tr>
      <w:tr>
        <w:trPr>
          <w:trHeight w:val="230"/>
        </w:trPr>
        <w:tc>
          <w:tcPr>
            <w:tcW w:w="8580" w:type="dxa"/>
            <w:vAlign w:val="bottom"/>
          </w:tcPr>
          <w:p>
            <w:pPr>
              <w:ind w:left="720"/>
              <w:spacing w:after="0"/>
              <w:rPr>
                <w:sz w:val="20"/>
                <w:szCs w:val="20"/>
                <w:color w:val="auto"/>
              </w:rPr>
            </w:pPr>
            <w:r>
              <w:rPr>
                <w:rFonts w:ascii="Arial" w:cs="Arial" w:eastAsia="Arial" w:hAnsi="Arial"/>
                <w:sz w:val="18"/>
                <w:szCs w:val="18"/>
                <w:color w:val="auto"/>
              </w:rPr>
              <w:t>Total operating expenses</w:t>
            </w:r>
          </w:p>
        </w:tc>
        <w:tc>
          <w:tcPr>
            <w:tcW w:w="100" w:type="dxa"/>
            <w:vAlign w:val="bottom"/>
            <w:tcBorders>
              <w:top w:val="single" w:sz="8" w:color="auto"/>
              <w:bottom w:val="single" w:sz="8" w:color="auto"/>
            </w:tcBorders>
          </w:tcPr>
          <w:p>
            <w:pPr>
              <w:spacing w:after="0"/>
              <w:rPr>
                <w:sz w:val="20"/>
                <w:szCs w:val="20"/>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98,093</w:t>
            </w:r>
          </w:p>
        </w:tc>
        <w:tc>
          <w:tcPr>
            <w:tcW w:w="3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89,994</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8580" w:type="dxa"/>
            <w:vAlign w:val="bottom"/>
            <w:shd w:val="clear" w:color="auto" w:fill="CCEEFF"/>
          </w:tcPr>
          <w:p>
            <w:pPr>
              <w:spacing w:after="0"/>
              <w:rPr>
                <w:sz w:val="20"/>
                <w:szCs w:val="20"/>
                <w:color w:val="auto"/>
              </w:rPr>
            </w:pPr>
            <w:r>
              <w:rPr>
                <w:rFonts w:ascii="Arial" w:cs="Arial" w:eastAsia="Arial" w:hAnsi="Arial"/>
                <w:sz w:val="18"/>
                <w:szCs w:val="18"/>
                <w:color w:val="auto"/>
              </w:rPr>
              <w:t>Loss from operations</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(560)</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(16,297)</w:t>
            </w:r>
          </w:p>
        </w:tc>
        <w:tc>
          <w:tcPr>
            <w:tcW w:w="0" w:type="dxa"/>
            <w:vAlign w:val="bottom"/>
          </w:tcPr>
          <w:p>
            <w:pPr>
              <w:spacing w:after="0"/>
              <w:rPr>
                <w:sz w:val="1"/>
                <w:szCs w:val="1"/>
                <w:color w:val="auto"/>
              </w:rPr>
            </w:pPr>
          </w:p>
        </w:tc>
      </w:tr>
      <w:tr>
        <w:trPr>
          <w:trHeight w:val="216"/>
        </w:trPr>
        <w:tc>
          <w:tcPr>
            <w:tcW w:w="8580" w:type="dxa"/>
            <w:vAlign w:val="bottom"/>
          </w:tcPr>
          <w:p>
            <w:pPr>
              <w:spacing w:after="0"/>
              <w:rPr>
                <w:sz w:val="20"/>
                <w:szCs w:val="20"/>
                <w:color w:val="auto"/>
              </w:rPr>
            </w:pPr>
            <w:r>
              <w:rPr>
                <w:rFonts w:ascii="Arial" w:cs="Arial" w:eastAsia="Arial" w:hAnsi="Arial"/>
                <w:sz w:val="18"/>
                <w:szCs w:val="18"/>
                <w:color w:val="auto"/>
              </w:rPr>
              <w:t>Interest expense</w:t>
            </w:r>
          </w:p>
        </w:tc>
        <w:tc>
          <w:tcPr>
            <w:tcW w:w="100" w:type="dxa"/>
            <w:vAlign w:val="bottom"/>
          </w:tcPr>
          <w:p>
            <w:pPr>
              <w:spacing w:after="0"/>
              <w:rPr>
                <w:sz w:val="18"/>
                <w:szCs w:val="18"/>
                <w:color w:val="auto"/>
              </w:rPr>
            </w:pPr>
          </w:p>
        </w:tc>
        <w:tc>
          <w:tcPr>
            <w:tcW w:w="1100" w:type="dxa"/>
            <w:vAlign w:val="bottom"/>
            <w:gridSpan w:val="2"/>
          </w:tcPr>
          <w:p>
            <w:pPr>
              <w:jc w:val="right"/>
              <w:ind w:right="240"/>
              <w:spacing w:after="0"/>
              <w:rPr>
                <w:sz w:val="20"/>
                <w:szCs w:val="20"/>
                <w:color w:val="auto"/>
              </w:rPr>
            </w:pPr>
            <w:r>
              <w:rPr>
                <w:rFonts w:ascii="Arial" w:cs="Arial" w:eastAsia="Arial" w:hAnsi="Arial"/>
                <w:sz w:val="18"/>
                <w:szCs w:val="18"/>
                <w:color w:val="auto"/>
              </w:rPr>
              <w:t>(7,560)</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(8,900)</w:t>
            </w:r>
          </w:p>
        </w:tc>
        <w:tc>
          <w:tcPr>
            <w:tcW w:w="0" w:type="dxa"/>
            <w:vAlign w:val="bottom"/>
          </w:tcPr>
          <w:p>
            <w:pPr>
              <w:spacing w:after="0"/>
              <w:rPr>
                <w:sz w:val="1"/>
                <w:szCs w:val="1"/>
                <w:color w:val="auto"/>
              </w:rPr>
            </w:pPr>
          </w:p>
        </w:tc>
      </w:tr>
      <w:tr>
        <w:trPr>
          <w:trHeight w:val="216"/>
        </w:trPr>
        <w:tc>
          <w:tcPr>
            <w:tcW w:w="8580" w:type="dxa"/>
            <w:vAlign w:val="bottom"/>
            <w:shd w:val="clear" w:color="auto" w:fill="CCEEFF"/>
          </w:tcPr>
          <w:p>
            <w:pPr>
              <w:spacing w:after="0"/>
              <w:rPr>
                <w:sz w:val="20"/>
                <w:szCs w:val="20"/>
                <w:color w:val="auto"/>
              </w:rPr>
            </w:pPr>
            <w:r>
              <w:rPr>
                <w:rFonts w:ascii="Arial" w:cs="Arial" w:eastAsia="Arial" w:hAnsi="Arial"/>
                <w:sz w:val="18"/>
                <w:szCs w:val="18"/>
                <w:color w:val="auto"/>
              </w:rPr>
              <w:t>Loss on early extinguishment of debt</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(1,076)</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580" w:type="dxa"/>
            <w:vAlign w:val="bottom"/>
          </w:tcPr>
          <w:p>
            <w:pPr>
              <w:spacing w:after="0"/>
              <w:rPr>
                <w:sz w:val="20"/>
                <w:szCs w:val="20"/>
                <w:color w:val="auto"/>
              </w:rPr>
            </w:pPr>
            <w:r>
              <w:rPr>
                <w:rFonts w:ascii="Arial" w:cs="Arial" w:eastAsia="Arial" w:hAnsi="Arial"/>
                <w:sz w:val="18"/>
                <w:szCs w:val="18"/>
                <w:color w:val="auto"/>
              </w:rPr>
              <w:t>Other income, net</w:t>
            </w:r>
          </w:p>
        </w:tc>
        <w:tc>
          <w:tcPr>
            <w:tcW w:w="100" w:type="dxa"/>
            <w:vAlign w:val="bottom"/>
          </w:tcPr>
          <w:p>
            <w:pPr>
              <w:spacing w:after="0"/>
              <w:rPr>
                <w:sz w:val="18"/>
                <w:szCs w:val="18"/>
                <w:color w:val="auto"/>
              </w:rPr>
            </w:pPr>
          </w:p>
        </w:tc>
        <w:tc>
          <w:tcPr>
            <w:tcW w:w="1100" w:type="dxa"/>
            <w:vAlign w:val="bottom"/>
            <w:gridSpan w:val="2"/>
          </w:tcPr>
          <w:p>
            <w:pPr>
              <w:jc w:val="right"/>
              <w:ind w:right="300"/>
              <w:spacing w:after="0"/>
              <w:rPr>
                <w:sz w:val="20"/>
                <w:szCs w:val="20"/>
                <w:color w:val="auto"/>
              </w:rPr>
            </w:pPr>
            <w:r>
              <w:rPr>
                <w:rFonts w:ascii="Arial" w:cs="Arial" w:eastAsia="Arial" w:hAnsi="Arial"/>
                <w:sz w:val="18"/>
                <w:szCs w:val="18"/>
                <w:color w:val="auto"/>
              </w:rPr>
              <w:t>4,031</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4,956</w:t>
            </w:r>
          </w:p>
        </w:tc>
        <w:tc>
          <w:tcPr>
            <w:tcW w:w="0" w:type="dxa"/>
            <w:vAlign w:val="bottom"/>
          </w:tcPr>
          <w:p>
            <w:pPr>
              <w:spacing w:after="0"/>
              <w:rPr>
                <w:sz w:val="1"/>
                <w:szCs w:val="1"/>
                <w:color w:val="auto"/>
              </w:rPr>
            </w:pPr>
          </w:p>
        </w:tc>
      </w:tr>
      <w:tr>
        <w:trPr>
          <w:trHeight w:val="27"/>
        </w:trPr>
        <w:tc>
          <w:tcPr>
            <w:tcW w:w="85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8580" w:type="dxa"/>
            <w:vAlign w:val="bottom"/>
            <w:shd w:val="clear" w:color="auto" w:fill="CCEEFF"/>
          </w:tcPr>
          <w:p>
            <w:pPr>
              <w:spacing w:after="0"/>
              <w:rPr>
                <w:sz w:val="20"/>
                <w:szCs w:val="20"/>
                <w:color w:val="auto"/>
              </w:rPr>
            </w:pPr>
            <w:r>
              <w:rPr>
                <w:rFonts w:ascii="Arial" w:cs="Arial" w:eastAsia="Arial" w:hAnsi="Arial"/>
                <w:sz w:val="18"/>
                <w:szCs w:val="18"/>
                <w:color w:val="auto"/>
              </w:rPr>
              <w:t>Loss before income taxes</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(5,165)</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(20,241)</w:t>
            </w:r>
          </w:p>
        </w:tc>
        <w:tc>
          <w:tcPr>
            <w:tcW w:w="0" w:type="dxa"/>
            <w:vAlign w:val="bottom"/>
          </w:tcPr>
          <w:p>
            <w:pPr>
              <w:spacing w:after="0"/>
              <w:rPr>
                <w:sz w:val="1"/>
                <w:szCs w:val="1"/>
                <w:color w:val="auto"/>
              </w:rPr>
            </w:pPr>
          </w:p>
        </w:tc>
      </w:tr>
      <w:tr>
        <w:trPr>
          <w:trHeight w:val="216"/>
        </w:trPr>
        <w:tc>
          <w:tcPr>
            <w:tcW w:w="858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100" w:type="dxa"/>
            <w:vAlign w:val="bottom"/>
          </w:tcPr>
          <w:p>
            <w:pPr>
              <w:spacing w:after="0"/>
              <w:rPr>
                <w:sz w:val="18"/>
                <w:szCs w:val="18"/>
                <w:color w:val="auto"/>
              </w:rPr>
            </w:pPr>
          </w:p>
        </w:tc>
        <w:tc>
          <w:tcPr>
            <w:tcW w:w="1100" w:type="dxa"/>
            <w:vAlign w:val="bottom"/>
            <w:gridSpan w:val="2"/>
          </w:tcPr>
          <w:p>
            <w:pPr>
              <w:jc w:val="right"/>
              <w:ind w:right="300"/>
              <w:spacing w:after="0"/>
              <w:rPr>
                <w:sz w:val="20"/>
                <w:szCs w:val="20"/>
                <w:color w:val="auto"/>
              </w:rPr>
            </w:pPr>
            <w:r>
              <w:rPr>
                <w:rFonts w:ascii="Arial" w:cs="Arial" w:eastAsia="Arial" w:hAnsi="Arial"/>
                <w:sz w:val="18"/>
                <w:szCs w:val="18"/>
                <w:color w:val="auto"/>
              </w:rPr>
              <w:t>1,295</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27"/>
        </w:trPr>
        <w:tc>
          <w:tcPr>
            <w:tcW w:w="85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8580" w:type="dxa"/>
            <w:vAlign w:val="bottom"/>
            <w:shd w:val="clear" w:color="auto" w:fill="CCEEFF"/>
          </w:tcPr>
          <w:p>
            <w:pPr>
              <w:ind w:left="720"/>
              <w:spacing w:after="0"/>
              <w:rPr>
                <w:sz w:val="20"/>
                <w:szCs w:val="20"/>
                <w:color w:val="auto"/>
              </w:rPr>
            </w:pPr>
            <w:r>
              <w:rPr>
                <w:rFonts w:ascii="Arial" w:cs="Arial" w:eastAsia="Arial" w:hAnsi="Arial"/>
                <w:sz w:val="18"/>
                <w:szCs w:val="18"/>
                <w:color w:val="auto"/>
              </w:rPr>
              <w:t>Net loss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(6,460)</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(20,286)</w:t>
            </w:r>
          </w:p>
        </w:tc>
        <w:tc>
          <w:tcPr>
            <w:tcW w:w="0" w:type="dxa"/>
            <w:vAlign w:val="bottom"/>
          </w:tcPr>
          <w:p>
            <w:pPr>
              <w:spacing w:after="0"/>
              <w:rPr>
                <w:sz w:val="1"/>
                <w:szCs w:val="1"/>
                <w:color w:val="auto"/>
              </w:rPr>
            </w:pPr>
          </w:p>
        </w:tc>
      </w:tr>
      <w:tr>
        <w:trPr>
          <w:trHeight w:val="20"/>
        </w:trPr>
        <w:tc>
          <w:tcPr>
            <w:tcW w:w="8580" w:type="dxa"/>
            <w:vAlign w:val="bottom"/>
            <w:vMerge w:val="restart"/>
          </w:tcPr>
          <w:p>
            <w:pPr>
              <w:spacing w:after="0"/>
              <w:rPr>
                <w:sz w:val="20"/>
                <w:szCs w:val="20"/>
                <w:color w:val="auto"/>
              </w:rPr>
            </w:pPr>
            <w:r>
              <w:rPr>
                <w:rFonts w:ascii="Arial" w:cs="Arial" w:eastAsia="Arial" w:hAnsi="Arial"/>
                <w:sz w:val="18"/>
                <w:szCs w:val="18"/>
                <w:color w:val="auto"/>
              </w:rPr>
              <w:t>Earnings per share:</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858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580" w:type="dxa"/>
            <w:vAlign w:val="bottom"/>
            <w:shd w:val="clear" w:color="auto" w:fill="CCEEFF"/>
          </w:tcPr>
          <w:p>
            <w:pPr>
              <w:ind w:left="720"/>
              <w:spacing w:after="0"/>
              <w:rPr>
                <w:sz w:val="20"/>
                <w:szCs w:val="20"/>
                <w:color w:val="auto"/>
              </w:rPr>
            </w:pPr>
            <w:r>
              <w:rPr>
                <w:rFonts w:ascii="Arial" w:cs="Arial" w:eastAsia="Arial" w:hAnsi="Arial"/>
                <w:sz w:val="18"/>
                <w:szCs w:val="18"/>
                <w:color w:val="auto"/>
              </w:rPr>
              <w:t>Basic</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(0.12)</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(0.44)</w:t>
            </w:r>
          </w:p>
        </w:tc>
        <w:tc>
          <w:tcPr>
            <w:tcW w:w="0" w:type="dxa"/>
            <w:vAlign w:val="bottom"/>
          </w:tcPr>
          <w:p>
            <w:pPr>
              <w:spacing w:after="0"/>
              <w:rPr>
                <w:sz w:val="1"/>
                <w:szCs w:val="1"/>
                <w:color w:val="auto"/>
              </w:rPr>
            </w:pPr>
          </w:p>
        </w:tc>
      </w:tr>
      <w:tr>
        <w:trPr>
          <w:trHeight w:val="216"/>
        </w:trPr>
        <w:tc>
          <w:tcPr>
            <w:tcW w:w="8580" w:type="dxa"/>
            <w:vAlign w:val="bottom"/>
          </w:tcPr>
          <w:p>
            <w:pPr>
              <w:ind w:left="720"/>
              <w:spacing w:after="0"/>
              <w:rPr>
                <w:sz w:val="20"/>
                <w:szCs w:val="20"/>
                <w:color w:val="auto"/>
              </w:rPr>
            </w:pPr>
            <w:r>
              <w:rPr>
                <w:rFonts w:ascii="Arial" w:cs="Arial" w:eastAsia="Arial" w:hAnsi="Arial"/>
                <w:sz w:val="18"/>
                <w:szCs w:val="18"/>
                <w:color w:val="auto"/>
              </w:rPr>
              <w:t>Diluted</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240"/>
              <w:spacing w:after="0"/>
              <w:rPr>
                <w:sz w:val="20"/>
                <w:szCs w:val="20"/>
                <w:color w:val="auto"/>
              </w:rPr>
            </w:pPr>
            <w:r>
              <w:rPr>
                <w:rFonts w:ascii="Arial" w:cs="Arial" w:eastAsia="Arial" w:hAnsi="Arial"/>
                <w:sz w:val="18"/>
                <w:szCs w:val="18"/>
                <w:color w:val="auto"/>
              </w:rPr>
              <w:t>(0.12)</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(0.44)</w:t>
            </w:r>
          </w:p>
        </w:tc>
        <w:tc>
          <w:tcPr>
            <w:tcW w:w="0" w:type="dxa"/>
            <w:vAlign w:val="bottom"/>
          </w:tcPr>
          <w:p>
            <w:pPr>
              <w:spacing w:after="0"/>
              <w:rPr>
                <w:sz w:val="1"/>
                <w:szCs w:val="1"/>
                <w:color w:val="auto"/>
              </w:rPr>
            </w:pPr>
          </w:p>
        </w:tc>
      </w:tr>
      <w:tr>
        <w:trPr>
          <w:trHeight w:val="216"/>
        </w:trPr>
        <w:tc>
          <w:tcPr>
            <w:tcW w:w="8580" w:type="dxa"/>
            <w:vAlign w:val="bottom"/>
            <w:shd w:val="clear" w:color="auto" w:fill="CCEEFF"/>
          </w:tcPr>
          <w:p>
            <w:pPr>
              <w:spacing w:after="0"/>
              <w:rPr>
                <w:sz w:val="20"/>
                <w:szCs w:val="20"/>
                <w:color w:val="auto"/>
              </w:rPr>
            </w:pPr>
            <w:r>
              <w:rPr>
                <w:rFonts w:ascii="Arial" w:cs="Arial" w:eastAsia="Arial" w:hAnsi="Arial"/>
                <w:sz w:val="18"/>
                <w:szCs w:val="18"/>
                <w:color w:val="auto"/>
              </w:rPr>
              <w:t>Weighted-average shares used in computing earnings per share:</w:t>
            </w: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580" w:type="dxa"/>
            <w:vAlign w:val="bottom"/>
          </w:tcPr>
          <w:p>
            <w:pPr>
              <w:ind w:left="720"/>
              <w:spacing w:after="0"/>
              <w:rPr>
                <w:sz w:val="20"/>
                <w:szCs w:val="20"/>
                <w:color w:val="auto"/>
              </w:rPr>
            </w:pPr>
            <w:r>
              <w:rPr>
                <w:rFonts w:ascii="Arial" w:cs="Arial" w:eastAsia="Arial" w:hAnsi="Arial"/>
                <w:sz w:val="18"/>
                <w:szCs w:val="18"/>
                <w:color w:val="auto"/>
              </w:rPr>
              <w:t>Basic</w:t>
            </w:r>
          </w:p>
        </w:tc>
        <w:tc>
          <w:tcPr>
            <w:tcW w:w="100" w:type="dxa"/>
            <w:vAlign w:val="bottom"/>
          </w:tcPr>
          <w:p>
            <w:pPr>
              <w:spacing w:after="0"/>
              <w:rPr>
                <w:sz w:val="18"/>
                <w:szCs w:val="18"/>
                <w:color w:val="auto"/>
              </w:rPr>
            </w:pPr>
          </w:p>
        </w:tc>
        <w:tc>
          <w:tcPr>
            <w:tcW w:w="110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53,785,307</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w w:val="86"/>
              </w:rPr>
              <w:t>46,026,095</w:t>
            </w:r>
          </w:p>
        </w:tc>
        <w:tc>
          <w:tcPr>
            <w:tcW w:w="0" w:type="dxa"/>
            <w:vAlign w:val="bottom"/>
          </w:tcPr>
          <w:p>
            <w:pPr>
              <w:spacing w:after="0"/>
              <w:rPr>
                <w:sz w:val="1"/>
                <w:szCs w:val="1"/>
                <w:color w:val="auto"/>
              </w:rPr>
            </w:pPr>
          </w:p>
        </w:tc>
      </w:tr>
      <w:tr>
        <w:trPr>
          <w:trHeight w:val="216"/>
        </w:trPr>
        <w:tc>
          <w:tcPr>
            <w:tcW w:w="8580" w:type="dxa"/>
            <w:vAlign w:val="bottom"/>
            <w:shd w:val="clear" w:color="auto" w:fill="CCEEFF"/>
          </w:tcPr>
          <w:p>
            <w:pPr>
              <w:ind w:left="720"/>
              <w:spacing w:after="0"/>
              <w:rPr>
                <w:sz w:val="20"/>
                <w:szCs w:val="20"/>
                <w:color w:val="auto"/>
              </w:rPr>
            </w:pPr>
            <w:r>
              <w:rPr>
                <w:rFonts w:ascii="Arial" w:cs="Arial" w:eastAsia="Arial" w:hAnsi="Arial"/>
                <w:sz w:val="18"/>
                <w:szCs w:val="18"/>
                <w:color w:val="auto"/>
              </w:rPr>
              <w:t>Diluted</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53,785,307</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6"/>
              </w:rPr>
              <w:t>46,026,095</w:t>
            </w:r>
          </w:p>
        </w:tc>
        <w:tc>
          <w:tcPr>
            <w:tcW w:w="0" w:type="dxa"/>
            <w:vAlign w:val="bottom"/>
          </w:tcPr>
          <w:p>
            <w:pPr>
              <w:spacing w:after="0"/>
              <w:rPr>
                <w:sz w:val="1"/>
                <w:szCs w:val="1"/>
                <w:color w:val="auto"/>
              </w:rPr>
            </w:pPr>
          </w:p>
        </w:tc>
      </w:tr>
    </w:tbl>
    <w:p>
      <w:pPr>
        <w:spacing w:after="0" w:line="202"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The accompanying notes are an integral part of these unaudited condensed consolidated financial statements.</w:t>
      </w:r>
    </w:p>
    <w:p>
      <w:pPr>
        <w:spacing w:after="0" w:line="158"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20"/>
          </w:cols>
          <w:pgMar w:left="440" w:top="270" w:right="439" w:bottom="1440" w:gutter="0" w:footer="0" w:header="0"/>
        </w:sectPr>
      </w:pPr>
    </w:p>
    <w:bookmarkStart w:id="7" w:name="page8"/>
    <w:bookmarkEnd w:id="7"/>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INPHI CORPORATION</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UNAUDITED CONDENSED CONSOLIDATED STATEMENTS OF COMPREHENSIVE LOSS</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699516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pacing w:after="0" w:line="27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8880" w:type="dxa"/>
            <w:vAlign w:val="bottom"/>
          </w:tcPr>
          <w:p>
            <w:pPr>
              <w:spacing w:after="0"/>
              <w:rPr>
                <w:sz w:val="14"/>
                <w:szCs w:val="14"/>
                <w:color w:val="auto"/>
              </w:rPr>
            </w:pPr>
          </w:p>
        </w:tc>
        <w:tc>
          <w:tcPr>
            <w:tcW w:w="2140" w:type="dxa"/>
            <w:vAlign w:val="bottom"/>
            <w:gridSpan w:val="6"/>
          </w:tcPr>
          <w:p>
            <w:pPr>
              <w:jc w:val="right"/>
              <w:ind w:right="140"/>
              <w:spacing w:after="0"/>
              <w:rPr>
                <w:sz w:val="20"/>
                <w:szCs w:val="20"/>
                <w:color w:val="auto"/>
              </w:rPr>
            </w:pPr>
            <w:r>
              <w:rPr>
                <w:rFonts w:ascii="Arial" w:cs="Arial" w:eastAsia="Arial" w:hAnsi="Arial"/>
                <w:sz w:val="14"/>
                <w:szCs w:val="14"/>
                <w:b w:val="1"/>
                <w:bCs w:val="1"/>
                <w:color w:val="auto"/>
                <w:w w:val="95"/>
              </w:rPr>
              <w:t>Three Months Ended March 31,</w:t>
            </w:r>
          </w:p>
        </w:tc>
      </w:tr>
      <w:tr>
        <w:trPr>
          <w:trHeight w:val="142"/>
        </w:trPr>
        <w:tc>
          <w:tcPr>
            <w:tcW w:w="8880" w:type="dxa"/>
            <w:vAlign w:val="bottom"/>
            <w:tcBorders>
              <w:bottom w:val="single" w:sz="8" w:color="CCEEFF"/>
            </w:tcBorders>
          </w:tcPr>
          <w:p>
            <w:pPr>
              <w:spacing w:after="0"/>
              <w:rPr>
                <w:sz w:val="12"/>
                <w:szCs w:val="12"/>
                <w:color w:val="auto"/>
              </w:rPr>
            </w:pPr>
          </w:p>
        </w:tc>
        <w:tc>
          <w:tcPr>
            <w:tcW w:w="180" w:type="dxa"/>
            <w:vAlign w:val="bottom"/>
            <w:tcBorders>
              <w:top w:val="single" w:sz="8" w:color="auto"/>
              <w:bottom w:val="single" w:sz="8" w:color="auto"/>
            </w:tcBorders>
          </w:tcPr>
          <w:p>
            <w:pPr>
              <w:spacing w:after="0"/>
              <w:rPr>
                <w:sz w:val="12"/>
                <w:szCs w:val="12"/>
                <w:color w:val="auto"/>
              </w:rPr>
            </w:pPr>
          </w:p>
        </w:tc>
        <w:tc>
          <w:tcPr>
            <w:tcW w:w="620" w:type="dxa"/>
            <w:vAlign w:val="bottom"/>
            <w:tcBorders>
              <w:top w:val="single" w:sz="8" w:color="auto"/>
              <w:bottom w:val="single" w:sz="8" w:color="auto"/>
            </w:tcBorders>
          </w:tcPr>
          <w:p>
            <w:pPr>
              <w:jc w:val="right"/>
              <w:ind w:right="175"/>
              <w:spacing w:after="0" w:line="142" w:lineRule="exact"/>
              <w:rPr>
                <w:sz w:val="20"/>
                <w:szCs w:val="20"/>
                <w:color w:val="auto"/>
              </w:rPr>
            </w:pPr>
            <w:r>
              <w:rPr>
                <w:rFonts w:ascii="Arial" w:cs="Arial" w:eastAsia="Arial" w:hAnsi="Arial"/>
                <w:sz w:val="14"/>
                <w:szCs w:val="14"/>
                <w:b w:val="1"/>
                <w:bCs w:val="1"/>
                <w:color w:val="auto"/>
              </w:rPr>
              <w:t>2021</w:t>
            </w:r>
          </w:p>
        </w:tc>
        <w:tc>
          <w:tcPr>
            <w:tcW w:w="260" w:type="dxa"/>
            <w:vAlign w:val="bottom"/>
            <w:tcBorders>
              <w:top w:val="single" w:sz="8" w:color="auto"/>
              <w:bottom w:val="single" w:sz="8" w:color="CCEEFF"/>
            </w:tcBorders>
          </w:tcPr>
          <w:p>
            <w:pPr>
              <w:spacing w:after="0"/>
              <w:rPr>
                <w:sz w:val="12"/>
                <w:szCs w:val="12"/>
                <w:color w:val="auto"/>
              </w:rPr>
            </w:pPr>
          </w:p>
        </w:tc>
        <w:tc>
          <w:tcPr>
            <w:tcW w:w="200" w:type="dxa"/>
            <w:vAlign w:val="bottom"/>
            <w:tcBorders>
              <w:top w:val="single" w:sz="8" w:color="auto"/>
              <w:bottom w:val="single" w:sz="8" w:color="auto"/>
            </w:tcBorders>
          </w:tcPr>
          <w:p>
            <w:pPr>
              <w:spacing w:after="0"/>
              <w:rPr>
                <w:sz w:val="12"/>
                <w:szCs w:val="12"/>
                <w:color w:val="auto"/>
              </w:rPr>
            </w:pPr>
          </w:p>
        </w:tc>
        <w:tc>
          <w:tcPr>
            <w:tcW w:w="760" w:type="dxa"/>
            <w:vAlign w:val="bottom"/>
            <w:tcBorders>
              <w:top w:val="single" w:sz="8" w:color="auto"/>
              <w:bottom w:val="single" w:sz="8" w:color="auto"/>
            </w:tcBorders>
          </w:tcPr>
          <w:p>
            <w:pPr>
              <w:jc w:val="right"/>
              <w:ind w:right="255"/>
              <w:spacing w:after="0" w:line="142" w:lineRule="exact"/>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2"/>
                <w:szCs w:val="12"/>
                <w:color w:val="auto"/>
              </w:rPr>
            </w:pPr>
          </w:p>
        </w:tc>
      </w:tr>
      <w:tr>
        <w:trPr>
          <w:trHeight w:val="210"/>
        </w:trPr>
        <w:tc>
          <w:tcPr>
            <w:tcW w:w="8880" w:type="dxa"/>
            <w:vAlign w:val="bottom"/>
            <w:shd w:val="clear" w:color="auto" w:fill="CCEEFF"/>
          </w:tcPr>
          <w:p>
            <w:pPr>
              <w:spacing w:after="0"/>
              <w:rPr>
                <w:sz w:val="20"/>
                <w:szCs w:val="20"/>
                <w:color w:val="auto"/>
              </w:rPr>
            </w:pPr>
            <w:r>
              <w:rPr>
                <w:rFonts w:ascii="Arial" w:cs="Arial" w:eastAsia="Arial" w:hAnsi="Arial"/>
                <w:sz w:val="18"/>
                <w:szCs w:val="18"/>
                <w:color w:val="auto"/>
              </w:rPr>
              <w:t>Net loss</w:t>
            </w:r>
          </w:p>
        </w:tc>
        <w:tc>
          <w:tcPr>
            <w:tcW w:w="180" w:type="dxa"/>
            <w:vAlign w:val="bottom"/>
            <w:shd w:val="clear" w:color="auto" w:fill="CCEEFF"/>
          </w:tcPr>
          <w:p>
            <w:pPr>
              <w:jc w:val="right"/>
              <w:ind w:right="27"/>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(6,460)</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47"/>
              <w:spacing w:after="0"/>
              <w:rPr>
                <w:sz w:val="20"/>
                <w:szCs w:val="20"/>
                <w:color w:val="auto"/>
              </w:rPr>
            </w:pPr>
            <w:r>
              <w:rPr>
                <w:rFonts w:ascii="Arial" w:cs="Arial" w:eastAsia="Arial" w:hAnsi="Arial"/>
                <w:sz w:val="15"/>
                <w:szCs w:val="15"/>
                <w:color w:val="auto"/>
                <w:w w:val="71"/>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(20,286)</w:t>
            </w:r>
          </w:p>
        </w:tc>
        <w:tc>
          <w:tcPr>
            <w:tcW w:w="120" w:type="dxa"/>
            <w:vAlign w:val="bottom"/>
            <w:shd w:val="clear" w:color="auto" w:fill="CCEEFF"/>
          </w:tcPr>
          <w:p>
            <w:pPr>
              <w:spacing w:after="0"/>
              <w:rPr>
                <w:sz w:val="18"/>
                <w:szCs w:val="18"/>
                <w:color w:val="auto"/>
              </w:rPr>
            </w:pPr>
          </w:p>
        </w:tc>
      </w:tr>
      <w:tr>
        <w:trPr>
          <w:trHeight w:val="216"/>
        </w:trPr>
        <w:tc>
          <w:tcPr>
            <w:tcW w:w="8880" w:type="dxa"/>
            <w:vAlign w:val="bottom"/>
          </w:tcPr>
          <w:p>
            <w:pPr>
              <w:spacing w:after="0"/>
              <w:rPr>
                <w:sz w:val="20"/>
                <w:szCs w:val="20"/>
                <w:color w:val="auto"/>
              </w:rPr>
            </w:pPr>
            <w:r>
              <w:rPr>
                <w:rFonts w:ascii="Arial" w:cs="Arial" w:eastAsia="Arial" w:hAnsi="Arial"/>
                <w:sz w:val="18"/>
                <w:szCs w:val="18"/>
                <w:color w:val="auto"/>
              </w:rPr>
              <w:t>Other comprehensive income (loss):</w:t>
            </w:r>
          </w:p>
        </w:tc>
        <w:tc>
          <w:tcPr>
            <w:tcW w:w="1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88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Available for sale investments:</w:t>
            </w: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8880" w:type="dxa"/>
            <w:vAlign w:val="bottom"/>
          </w:tcPr>
          <w:p>
            <w:pPr>
              <w:ind w:left="720"/>
              <w:spacing w:after="0"/>
              <w:rPr>
                <w:sz w:val="20"/>
                <w:szCs w:val="20"/>
                <w:color w:val="auto"/>
              </w:rPr>
            </w:pPr>
            <w:r>
              <w:rPr>
                <w:rFonts w:ascii="Arial" w:cs="Arial" w:eastAsia="Arial" w:hAnsi="Arial"/>
                <w:sz w:val="18"/>
                <w:szCs w:val="18"/>
                <w:color w:val="auto"/>
              </w:rPr>
              <w:t>Change in unrealized gain or loss</w:t>
            </w:r>
          </w:p>
        </w:tc>
        <w:tc>
          <w:tcPr>
            <w:tcW w:w="180" w:type="dxa"/>
            <w:vAlign w:val="bottom"/>
          </w:tcPr>
          <w:p>
            <w:pPr>
              <w:spacing w:after="0"/>
              <w:rPr>
                <w:sz w:val="18"/>
                <w:szCs w:val="18"/>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(291)</w:t>
            </w:r>
          </w:p>
        </w:tc>
        <w:tc>
          <w:tcPr>
            <w:tcW w:w="200" w:type="dxa"/>
            <w:vAlign w:val="bottom"/>
          </w:tcPr>
          <w:p>
            <w:pPr>
              <w:spacing w:after="0"/>
              <w:rPr>
                <w:sz w:val="18"/>
                <w:szCs w:val="18"/>
                <w:color w:val="auto"/>
              </w:rPr>
            </w:pP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(895)</w:t>
            </w:r>
          </w:p>
        </w:tc>
      </w:tr>
      <w:tr>
        <w:trPr>
          <w:trHeight w:val="27"/>
        </w:trPr>
        <w:tc>
          <w:tcPr>
            <w:tcW w:w="888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r>
      <w:tr>
        <w:trPr>
          <w:trHeight w:val="216"/>
        </w:trPr>
        <w:tc>
          <w:tcPr>
            <w:tcW w:w="8880" w:type="dxa"/>
            <w:vAlign w:val="bottom"/>
            <w:shd w:val="clear" w:color="auto" w:fill="CCEEFF"/>
          </w:tcPr>
          <w:p>
            <w:pPr>
              <w:spacing w:after="0"/>
              <w:rPr>
                <w:sz w:val="20"/>
                <w:szCs w:val="20"/>
                <w:color w:val="auto"/>
              </w:rPr>
            </w:pPr>
            <w:r>
              <w:rPr>
                <w:rFonts w:ascii="Arial" w:cs="Arial" w:eastAsia="Arial" w:hAnsi="Arial"/>
                <w:sz w:val="18"/>
                <w:szCs w:val="18"/>
                <w:color w:val="auto"/>
              </w:rPr>
              <w:t>Comprehensive loss</w:t>
            </w:r>
          </w:p>
        </w:tc>
        <w:tc>
          <w:tcPr>
            <w:tcW w:w="180" w:type="dxa"/>
            <w:vAlign w:val="bottom"/>
            <w:shd w:val="clear" w:color="auto" w:fill="CCEEFF"/>
          </w:tcPr>
          <w:p>
            <w:pPr>
              <w:jc w:val="right"/>
              <w:ind w:right="27"/>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(6,751)</w:t>
            </w:r>
          </w:p>
        </w:tc>
        <w:tc>
          <w:tcPr>
            <w:tcW w:w="200" w:type="dxa"/>
            <w:vAlign w:val="bottom"/>
            <w:shd w:val="clear" w:color="auto" w:fill="CCEEFF"/>
          </w:tcPr>
          <w:p>
            <w:pPr>
              <w:jc w:val="right"/>
              <w:ind w:right="47"/>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(21,181)</w:t>
            </w:r>
          </w:p>
        </w:tc>
      </w:tr>
      <w:tr>
        <w:trPr>
          <w:trHeight w:val="20"/>
        </w:trPr>
        <w:tc>
          <w:tcPr>
            <w:tcW w:w="888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215"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The accompanying notes are an integral part of these unaudited condensed consolidated financial statements.</w:t>
      </w:r>
    </w:p>
    <w:p>
      <w:pPr>
        <w:spacing w:after="0" w:line="158"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20"/>
          </w:cols>
          <w:pgMar w:left="440" w:top="270" w:right="439" w:bottom="1440" w:gutter="0" w:footer="0" w:header="0"/>
        </w:sectPr>
      </w:pPr>
    </w:p>
    <w:bookmarkStart w:id="8" w:name="page9"/>
    <w:bookmarkEnd w:id="8"/>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INPHI CORPORATION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STOCKHOLDERS’ EQUITY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share amounts)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699516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Months Ended March 31, 2021</w:t>
      </w: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0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60" w:type="dxa"/>
            <w:vAlign w:val="bottom"/>
            <w:gridSpan w:val="2"/>
            <w:vMerge w:val="restart"/>
          </w:tcPr>
          <w:p>
            <w:pPr>
              <w:jc w:val="center"/>
              <w:ind w:right="180"/>
              <w:spacing w:after="0"/>
              <w:rPr>
                <w:sz w:val="20"/>
                <w:szCs w:val="20"/>
                <w:color w:val="auto"/>
              </w:rPr>
            </w:pPr>
            <w:r>
              <w:rPr>
                <w:rFonts w:ascii="Arial" w:cs="Arial" w:eastAsia="Arial" w:hAnsi="Arial"/>
                <w:sz w:val="14"/>
                <w:szCs w:val="14"/>
                <w:b w:val="1"/>
                <w:bCs w:val="1"/>
                <w:color w:val="auto"/>
                <w:w w:val="93"/>
              </w:rPr>
              <w:t>Additional</w:t>
            </w:r>
          </w:p>
        </w:tc>
        <w:tc>
          <w:tcPr>
            <w:tcW w:w="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4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90"/>
              </w:rPr>
              <w:t>Accumulated</w:t>
            </w:r>
          </w:p>
        </w:tc>
        <w:tc>
          <w:tcPr>
            <w:tcW w:w="120" w:type="dxa"/>
            <w:vAlign w:val="bottom"/>
          </w:tcPr>
          <w:p>
            <w:pPr>
              <w:spacing w:after="0"/>
              <w:rPr>
                <w:sz w:val="14"/>
                <w:szCs w:val="14"/>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5"/>
              </w:rPr>
              <w:t>Total</w:t>
            </w:r>
          </w:p>
        </w:tc>
        <w:tc>
          <w:tcPr>
            <w:tcW w:w="0" w:type="dxa"/>
            <w:vAlign w:val="bottom"/>
          </w:tcPr>
          <w:p>
            <w:pPr>
              <w:spacing w:after="0"/>
              <w:rPr>
                <w:sz w:val="1"/>
                <w:szCs w:val="1"/>
                <w:color w:val="auto"/>
              </w:rPr>
            </w:pPr>
          </w:p>
        </w:tc>
      </w:tr>
      <w:tr>
        <w:trPr>
          <w:trHeight w:val="148"/>
        </w:trPr>
        <w:tc>
          <w:tcPr>
            <w:tcW w:w="500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60" w:type="dxa"/>
            <w:vAlign w:val="bottom"/>
            <w:gridSpan w:val="2"/>
            <w:vMerge w:val="continue"/>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gridSpan w:val="2"/>
            <w:vMerge w:val="restart"/>
          </w:tcPr>
          <w:p>
            <w:pPr>
              <w:jc w:val="center"/>
              <w:ind w:right="221"/>
              <w:spacing w:after="0"/>
              <w:rPr>
                <w:sz w:val="20"/>
                <w:szCs w:val="20"/>
                <w:color w:val="auto"/>
              </w:rPr>
            </w:pPr>
            <w:r>
              <w:rPr>
                <w:rFonts w:ascii="Arial" w:cs="Arial" w:eastAsia="Arial" w:hAnsi="Arial"/>
                <w:sz w:val="14"/>
                <w:szCs w:val="14"/>
                <w:b w:val="1"/>
                <w:bCs w:val="1"/>
                <w:color w:val="auto"/>
                <w:w w:val="93"/>
              </w:rPr>
              <w:t>Accumulated</w:t>
            </w:r>
          </w:p>
        </w:tc>
        <w:tc>
          <w:tcPr>
            <w:tcW w:w="180" w:type="dxa"/>
            <w:vAlign w:val="bottom"/>
          </w:tcPr>
          <w:p>
            <w:pPr>
              <w:spacing w:after="0"/>
              <w:rPr>
                <w:sz w:val="12"/>
                <w:szCs w:val="12"/>
                <w:color w:val="auto"/>
              </w:rPr>
            </w:pPr>
          </w:p>
        </w:tc>
        <w:tc>
          <w:tcPr>
            <w:tcW w:w="96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6"/>
              </w:rPr>
              <w:t>Other</w:t>
            </w:r>
          </w:p>
        </w:tc>
        <w:tc>
          <w:tcPr>
            <w:tcW w:w="120" w:type="dxa"/>
            <w:vAlign w:val="bottom"/>
          </w:tcPr>
          <w:p>
            <w:pPr>
              <w:spacing w:after="0"/>
              <w:rPr>
                <w:sz w:val="12"/>
                <w:szCs w:val="12"/>
                <w:color w:val="auto"/>
              </w:rPr>
            </w:pPr>
          </w:p>
        </w:tc>
        <w:tc>
          <w:tcPr>
            <w:tcW w:w="8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93"/>
              </w:rPr>
              <w:t>Stock-</w:t>
            </w:r>
          </w:p>
        </w:tc>
        <w:tc>
          <w:tcPr>
            <w:tcW w:w="0" w:type="dxa"/>
            <w:vAlign w:val="bottom"/>
          </w:tcPr>
          <w:p>
            <w:pPr>
              <w:spacing w:after="0"/>
              <w:rPr>
                <w:sz w:val="1"/>
                <w:szCs w:val="1"/>
                <w:color w:val="auto"/>
              </w:rPr>
            </w:pPr>
          </w:p>
        </w:tc>
      </w:tr>
      <w:tr>
        <w:trPr>
          <w:trHeight w:val="148"/>
        </w:trPr>
        <w:tc>
          <w:tcPr>
            <w:tcW w:w="5000" w:type="dxa"/>
            <w:vAlign w:val="bottom"/>
          </w:tcPr>
          <w:p>
            <w:pPr>
              <w:spacing w:after="0"/>
              <w:rPr>
                <w:sz w:val="12"/>
                <w:szCs w:val="12"/>
                <w:color w:val="auto"/>
              </w:rPr>
            </w:pPr>
          </w:p>
        </w:tc>
        <w:tc>
          <w:tcPr>
            <w:tcW w:w="1300" w:type="dxa"/>
            <w:vAlign w:val="bottom"/>
            <w:gridSpan w:val="4"/>
            <w:vMerge w:val="restart"/>
          </w:tcPr>
          <w:p>
            <w:pPr>
              <w:ind w:left="320"/>
              <w:spacing w:after="0"/>
              <w:rPr>
                <w:sz w:val="20"/>
                <w:szCs w:val="20"/>
                <w:color w:val="auto"/>
              </w:rPr>
            </w:pPr>
            <w:r>
              <w:rPr>
                <w:rFonts w:ascii="Arial" w:cs="Arial" w:eastAsia="Arial" w:hAnsi="Arial"/>
                <w:sz w:val="14"/>
                <w:szCs w:val="14"/>
                <w:b w:val="1"/>
                <w:bCs w:val="1"/>
                <w:color w:val="auto"/>
                <w:w w:val="93"/>
              </w:rPr>
              <w:t>Common Stock</w:t>
            </w:r>
          </w:p>
        </w:tc>
        <w:tc>
          <w:tcPr>
            <w:tcW w:w="3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4"/>
              </w:rPr>
              <w:t>Paid-in</w:t>
            </w:r>
          </w:p>
        </w:tc>
        <w:tc>
          <w:tcPr>
            <w:tcW w:w="120" w:type="dxa"/>
            <w:vAlign w:val="bottom"/>
          </w:tcPr>
          <w:p>
            <w:pPr>
              <w:spacing w:after="0"/>
              <w:rPr>
                <w:sz w:val="12"/>
                <w:szCs w:val="12"/>
                <w:color w:val="auto"/>
              </w:rPr>
            </w:pPr>
          </w:p>
        </w:tc>
        <w:tc>
          <w:tcPr>
            <w:tcW w:w="1120" w:type="dxa"/>
            <w:vAlign w:val="bottom"/>
            <w:gridSpan w:val="2"/>
            <w:vMerge w:val="continue"/>
          </w:tcPr>
          <w:p>
            <w:pPr>
              <w:spacing w:after="0"/>
              <w:rPr>
                <w:sz w:val="12"/>
                <w:szCs w:val="12"/>
                <w:color w:val="auto"/>
              </w:rPr>
            </w:pPr>
          </w:p>
        </w:tc>
        <w:tc>
          <w:tcPr>
            <w:tcW w:w="1140" w:type="dxa"/>
            <w:vAlign w:val="bottom"/>
            <w:gridSpan w:val="3"/>
          </w:tcPr>
          <w:p>
            <w:pPr>
              <w:jc w:val="center"/>
              <w:ind w:right="180"/>
              <w:spacing w:after="0" w:line="149" w:lineRule="exact"/>
              <w:rPr>
                <w:sz w:val="20"/>
                <w:szCs w:val="20"/>
                <w:color w:val="auto"/>
              </w:rPr>
            </w:pPr>
            <w:r>
              <w:rPr>
                <w:rFonts w:ascii="Arial" w:cs="Arial" w:eastAsia="Arial" w:hAnsi="Arial"/>
                <w:sz w:val="14"/>
                <w:szCs w:val="14"/>
                <w:b w:val="1"/>
                <w:bCs w:val="1"/>
                <w:color w:val="auto"/>
                <w:w w:val="91"/>
              </w:rPr>
              <w:t>Comprehensive</w:t>
            </w:r>
          </w:p>
        </w:tc>
        <w:tc>
          <w:tcPr>
            <w:tcW w:w="120" w:type="dxa"/>
            <w:vAlign w:val="bottom"/>
          </w:tcPr>
          <w:p>
            <w:pPr>
              <w:spacing w:after="0"/>
              <w:rPr>
                <w:sz w:val="12"/>
                <w:szCs w:val="12"/>
                <w:color w:val="auto"/>
              </w:rPr>
            </w:pPr>
          </w:p>
        </w:tc>
        <w:tc>
          <w:tcPr>
            <w:tcW w:w="8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95"/>
              </w:rPr>
              <w:t>holders’</w:t>
            </w:r>
          </w:p>
        </w:tc>
        <w:tc>
          <w:tcPr>
            <w:tcW w:w="0" w:type="dxa"/>
            <w:vAlign w:val="bottom"/>
          </w:tcPr>
          <w:p>
            <w:pPr>
              <w:spacing w:after="0"/>
              <w:rPr>
                <w:sz w:val="1"/>
                <w:szCs w:val="1"/>
                <w:color w:val="auto"/>
              </w:rPr>
            </w:pPr>
          </w:p>
        </w:tc>
      </w:tr>
      <w:tr>
        <w:trPr>
          <w:trHeight w:val="171"/>
        </w:trPr>
        <w:tc>
          <w:tcPr>
            <w:tcW w:w="5000" w:type="dxa"/>
            <w:vAlign w:val="bottom"/>
          </w:tcPr>
          <w:p>
            <w:pPr>
              <w:spacing w:after="0"/>
              <w:rPr>
                <w:sz w:val="14"/>
                <w:szCs w:val="14"/>
                <w:color w:val="auto"/>
              </w:rPr>
            </w:pPr>
          </w:p>
        </w:tc>
        <w:tc>
          <w:tcPr>
            <w:tcW w:w="1300" w:type="dxa"/>
            <w:vAlign w:val="bottom"/>
            <w:gridSpan w:val="4"/>
            <w:vMerge w:val="continue"/>
          </w:tcPr>
          <w:p>
            <w:pPr>
              <w:spacing w:after="0"/>
              <w:rPr>
                <w:sz w:val="14"/>
                <w:szCs w:val="14"/>
                <w:color w:val="auto"/>
              </w:rPr>
            </w:pPr>
          </w:p>
        </w:tc>
        <w:tc>
          <w:tcPr>
            <w:tcW w:w="3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6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4"/>
              </w:rPr>
              <w:t>Capital</w:t>
            </w:r>
          </w:p>
        </w:tc>
        <w:tc>
          <w:tcPr>
            <w:tcW w:w="120" w:type="dxa"/>
            <w:vAlign w:val="bottom"/>
          </w:tcPr>
          <w:p>
            <w:pPr>
              <w:spacing w:after="0"/>
              <w:rPr>
                <w:sz w:val="14"/>
                <w:szCs w:val="14"/>
                <w:color w:val="auto"/>
              </w:rPr>
            </w:pPr>
          </w:p>
        </w:tc>
        <w:tc>
          <w:tcPr>
            <w:tcW w:w="1120" w:type="dxa"/>
            <w:vAlign w:val="bottom"/>
            <w:gridSpan w:val="2"/>
          </w:tcPr>
          <w:p>
            <w:pPr>
              <w:jc w:val="center"/>
              <w:ind w:right="221"/>
              <w:spacing w:after="0"/>
              <w:rPr>
                <w:sz w:val="20"/>
                <w:szCs w:val="20"/>
                <w:color w:val="auto"/>
              </w:rPr>
            </w:pPr>
            <w:r>
              <w:rPr>
                <w:rFonts w:ascii="Arial" w:cs="Arial" w:eastAsia="Arial" w:hAnsi="Arial"/>
                <w:sz w:val="14"/>
                <w:szCs w:val="14"/>
                <w:b w:val="1"/>
                <w:bCs w:val="1"/>
                <w:color w:val="auto"/>
                <w:w w:val="98"/>
              </w:rPr>
              <w:t>Deficit</w:t>
            </w:r>
          </w:p>
        </w:tc>
        <w:tc>
          <w:tcPr>
            <w:tcW w:w="180" w:type="dxa"/>
            <w:vAlign w:val="bottom"/>
          </w:tcPr>
          <w:p>
            <w:pPr>
              <w:spacing w:after="0"/>
              <w:rPr>
                <w:sz w:val="14"/>
                <w:szCs w:val="14"/>
                <w:color w:val="auto"/>
              </w:rPr>
            </w:pPr>
          </w:p>
        </w:tc>
        <w:tc>
          <w:tcPr>
            <w:tcW w:w="96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9"/>
              </w:rPr>
              <w:t>Income</w:t>
            </w:r>
          </w:p>
        </w:tc>
        <w:tc>
          <w:tcPr>
            <w:tcW w:w="120" w:type="dxa"/>
            <w:vAlign w:val="bottom"/>
          </w:tcPr>
          <w:p>
            <w:pPr>
              <w:spacing w:after="0"/>
              <w:rPr>
                <w:sz w:val="14"/>
                <w:szCs w:val="14"/>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3"/>
              </w:rPr>
              <w:t>Equity</w:t>
            </w:r>
          </w:p>
        </w:tc>
        <w:tc>
          <w:tcPr>
            <w:tcW w:w="0" w:type="dxa"/>
            <w:vAlign w:val="bottom"/>
          </w:tcPr>
          <w:p>
            <w:pPr>
              <w:spacing w:after="0"/>
              <w:rPr>
                <w:sz w:val="1"/>
                <w:szCs w:val="1"/>
                <w:color w:val="auto"/>
              </w:rPr>
            </w:pPr>
          </w:p>
        </w:tc>
      </w:tr>
      <w:tr>
        <w:trPr>
          <w:trHeight w:val="142"/>
        </w:trPr>
        <w:tc>
          <w:tcPr>
            <w:tcW w:w="5000" w:type="dxa"/>
            <w:vAlign w:val="bottom"/>
          </w:tcPr>
          <w:p>
            <w:pPr>
              <w:spacing w:after="0"/>
              <w:rPr>
                <w:sz w:val="12"/>
                <w:szCs w:val="12"/>
                <w:color w:val="auto"/>
              </w:rPr>
            </w:pPr>
          </w:p>
        </w:tc>
        <w:tc>
          <w:tcPr>
            <w:tcW w:w="1100" w:type="dxa"/>
            <w:vAlign w:val="bottom"/>
            <w:tcBorders>
              <w:top w:val="single" w:sz="8" w:color="auto"/>
            </w:tcBorders>
            <w:gridSpan w:val="3"/>
          </w:tcPr>
          <w:p>
            <w:pPr>
              <w:ind w:left="220"/>
              <w:spacing w:after="0" w:line="142" w:lineRule="exact"/>
              <w:rPr>
                <w:sz w:val="20"/>
                <w:szCs w:val="20"/>
                <w:color w:val="auto"/>
              </w:rPr>
            </w:pPr>
            <w:r>
              <w:rPr>
                <w:rFonts w:ascii="Arial" w:cs="Arial" w:eastAsia="Arial" w:hAnsi="Arial"/>
                <w:sz w:val="14"/>
                <w:szCs w:val="14"/>
                <w:b w:val="1"/>
                <w:bCs w:val="1"/>
                <w:color w:val="auto"/>
              </w:rPr>
              <w:t>Shares</w:t>
            </w:r>
          </w:p>
        </w:tc>
        <w:tc>
          <w:tcPr>
            <w:tcW w:w="52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94"/>
              </w:rPr>
              <w:t>Amount</w:t>
            </w:r>
          </w:p>
        </w:tc>
        <w:tc>
          <w:tcPr>
            <w:tcW w:w="24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300" w:type="dxa"/>
            <w:vAlign w:val="bottom"/>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780" w:type="dxa"/>
            <w:vAlign w:val="bottom"/>
            <w:tcBorders>
              <w:top w:val="single" w:sz="8" w:color="auto"/>
            </w:tcBorders>
          </w:tcPr>
          <w:p>
            <w:pPr>
              <w:spacing w:after="0"/>
              <w:rPr>
                <w:sz w:val="12"/>
                <w:szCs w:val="12"/>
                <w:color w:val="auto"/>
              </w:rPr>
            </w:pP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9"/>
        </w:trPr>
        <w:tc>
          <w:tcPr>
            <w:tcW w:w="50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December 31, 2020</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53,381,854</w:t>
            </w:r>
          </w:p>
        </w:tc>
        <w:tc>
          <w:tcPr>
            <w:tcW w:w="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3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w:t>
            </w:r>
          </w:p>
        </w:tc>
        <w:tc>
          <w:tcPr>
            <w:tcW w:w="24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7"/>
              </w:rPr>
              <w:t>$654,883</w:t>
            </w:r>
          </w:p>
        </w:tc>
        <w:tc>
          <w:tcPr>
            <w:tcW w:w="1240" w:type="dxa"/>
            <w:vAlign w:val="bottom"/>
            <w:tcBorders>
              <w:top w:val="single" w:sz="8" w:color="CCEEFF"/>
            </w:tcBorders>
            <w:gridSpan w:val="3"/>
            <w:shd w:val="clear" w:color="auto" w:fill="CCEEFF"/>
          </w:tcPr>
          <w:p>
            <w:pPr>
              <w:jc w:val="right"/>
              <w:ind w:right="161"/>
              <w:spacing w:after="0"/>
              <w:rPr>
                <w:sz w:val="20"/>
                <w:szCs w:val="20"/>
                <w:color w:val="auto"/>
              </w:rPr>
            </w:pPr>
            <w:r>
              <w:rPr>
                <w:rFonts w:ascii="Arial" w:cs="Arial" w:eastAsia="Arial" w:hAnsi="Arial"/>
                <w:sz w:val="18"/>
                <w:szCs w:val="18"/>
                <w:color w:val="auto"/>
              </w:rPr>
              <w:t>$ (302,551)</w:t>
            </w:r>
          </w:p>
        </w:tc>
        <w:tc>
          <w:tcPr>
            <w:tcW w:w="18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1,325</w:t>
            </w:r>
          </w:p>
        </w:tc>
        <w:tc>
          <w:tcPr>
            <w:tcW w:w="920" w:type="dxa"/>
            <w:vAlign w:val="bottom"/>
            <w:tcBorders>
              <w:top w:val="single" w:sz="8" w:color="CCEEFF"/>
            </w:tcBorders>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$353,710</w:t>
            </w:r>
          </w:p>
        </w:tc>
        <w:tc>
          <w:tcPr>
            <w:tcW w:w="0" w:type="dxa"/>
            <w:vAlign w:val="bottom"/>
          </w:tcPr>
          <w:p>
            <w:pPr>
              <w:spacing w:after="0"/>
              <w:rPr>
                <w:sz w:val="1"/>
                <w:szCs w:val="1"/>
                <w:color w:val="auto"/>
              </w:rPr>
            </w:pPr>
          </w:p>
        </w:tc>
      </w:tr>
      <w:tr>
        <w:trPr>
          <w:trHeight w:val="216"/>
        </w:trPr>
        <w:tc>
          <w:tcPr>
            <w:tcW w:w="5000" w:type="dxa"/>
            <w:vAlign w:val="bottom"/>
          </w:tcPr>
          <w:p>
            <w:pPr>
              <w:spacing w:after="0"/>
              <w:rPr>
                <w:sz w:val="20"/>
                <w:szCs w:val="20"/>
                <w:color w:val="auto"/>
              </w:rPr>
            </w:pPr>
            <w:r>
              <w:rPr>
                <w:rFonts w:ascii="Arial" w:cs="Arial" w:eastAsia="Arial" w:hAnsi="Arial"/>
                <w:sz w:val="18"/>
                <w:szCs w:val="18"/>
                <w:color w:val="auto"/>
              </w:rPr>
              <w:t>Issuance of common stock from exercise of stock options</w:t>
            </w: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22,515</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60" w:type="dxa"/>
            <w:vAlign w:val="bottom"/>
            <w:gridSpan w:val="2"/>
          </w:tcPr>
          <w:p>
            <w:pPr>
              <w:ind w:left="4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180"/>
              <w:spacing w:after="0"/>
              <w:rPr>
                <w:sz w:val="20"/>
                <w:szCs w:val="20"/>
                <w:color w:val="auto"/>
              </w:rPr>
            </w:pPr>
            <w:r>
              <w:rPr>
                <w:rFonts w:ascii="Arial" w:cs="Arial" w:eastAsia="Arial" w:hAnsi="Arial"/>
                <w:sz w:val="18"/>
                <w:szCs w:val="18"/>
                <w:color w:val="auto"/>
              </w:rPr>
              <w:t>354</w:t>
            </w:r>
          </w:p>
        </w:tc>
        <w:tc>
          <w:tcPr>
            <w:tcW w:w="120" w:type="dxa"/>
            <w:vAlign w:val="bottom"/>
          </w:tcPr>
          <w:p>
            <w:pPr>
              <w:spacing w:after="0"/>
              <w:rPr>
                <w:sz w:val="18"/>
                <w:szCs w:val="18"/>
                <w:color w:val="auto"/>
              </w:rPr>
            </w:pPr>
          </w:p>
        </w:tc>
        <w:tc>
          <w:tcPr>
            <w:tcW w:w="1120" w:type="dxa"/>
            <w:vAlign w:val="bottom"/>
            <w:gridSpan w:val="2"/>
          </w:tcPr>
          <w:p>
            <w:pPr>
              <w:jc w:val="right"/>
              <w:ind w:right="301"/>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920" w:type="dxa"/>
            <w:vAlign w:val="bottom"/>
            <w:gridSpan w:val="3"/>
          </w:tcPr>
          <w:p>
            <w:pPr>
              <w:jc w:val="right"/>
              <w:ind w:right="120"/>
              <w:spacing w:after="0"/>
              <w:rPr>
                <w:sz w:val="20"/>
                <w:szCs w:val="20"/>
                <w:color w:val="auto"/>
              </w:rPr>
            </w:pPr>
            <w:r>
              <w:rPr>
                <w:rFonts w:ascii="Arial" w:cs="Arial" w:eastAsia="Arial" w:hAnsi="Arial"/>
                <w:sz w:val="18"/>
                <w:szCs w:val="18"/>
                <w:color w:val="auto"/>
              </w:rPr>
              <w:t>354</w:t>
            </w:r>
          </w:p>
        </w:tc>
        <w:tc>
          <w:tcPr>
            <w:tcW w:w="0" w:type="dxa"/>
            <w:vAlign w:val="bottom"/>
          </w:tcPr>
          <w:p>
            <w:pPr>
              <w:spacing w:after="0"/>
              <w:rPr>
                <w:sz w:val="1"/>
                <w:szCs w:val="1"/>
                <w:color w:val="auto"/>
              </w:rPr>
            </w:pPr>
          </w:p>
        </w:tc>
      </w:tr>
      <w:tr>
        <w:trPr>
          <w:trHeight w:val="202"/>
        </w:trPr>
        <w:tc>
          <w:tcPr>
            <w:tcW w:w="500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Issuance of common stock from restricted stock unit grant and</w:t>
            </w:r>
          </w:p>
        </w:tc>
        <w:tc>
          <w:tcPr>
            <w:tcW w:w="8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50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market value stock units, net of shares withheld for tax</w:t>
            </w:r>
          </w:p>
        </w:tc>
        <w:tc>
          <w:tcPr>
            <w:tcW w:w="8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495,840</w:t>
            </w:r>
          </w:p>
        </w:tc>
        <w:tc>
          <w:tcPr>
            <w:tcW w:w="22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5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w:t>
            </w: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(61,981)</w:t>
            </w:r>
          </w:p>
        </w:tc>
        <w:tc>
          <w:tcPr>
            <w:tcW w:w="120" w:type="dxa"/>
            <w:vAlign w:val="bottom"/>
            <w:shd w:val="clear" w:color="auto" w:fill="CCEEFF"/>
          </w:tcPr>
          <w:p>
            <w:pPr>
              <w:spacing w:after="0"/>
              <w:rPr>
                <w:sz w:val="20"/>
                <w:szCs w:val="20"/>
                <w:color w:val="auto"/>
              </w:rPr>
            </w:pPr>
          </w:p>
        </w:tc>
        <w:tc>
          <w:tcPr>
            <w:tcW w:w="112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0"/>
                <w:szCs w:val="20"/>
                <w:color w:val="auto"/>
              </w:rPr>
            </w:pPr>
          </w:p>
        </w:tc>
        <w:tc>
          <w:tcPr>
            <w:tcW w:w="9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9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(61,980)</w:t>
            </w:r>
          </w:p>
        </w:tc>
        <w:tc>
          <w:tcPr>
            <w:tcW w:w="0" w:type="dxa"/>
            <w:vAlign w:val="bottom"/>
          </w:tcPr>
          <w:p>
            <w:pPr>
              <w:spacing w:after="0"/>
              <w:rPr>
                <w:sz w:val="1"/>
                <w:szCs w:val="1"/>
                <w:color w:val="auto"/>
              </w:rPr>
            </w:pPr>
          </w:p>
        </w:tc>
      </w:tr>
      <w:tr>
        <w:trPr>
          <w:trHeight w:val="202"/>
        </w:trPr>
        <w:tc>
          <w:tcPr>
            <w:tcW w:w="5000" w:type="dxa"/>
            <w:vAlign w:val="bottom"/>
          </w:tcPr>
          <w:p>
            <w:pPr>
              <w:spacing w:after="0" w:line="201" w:lineRule="exact"/>
              <w:rPr>
                <w:sz w:val="20"/>
                <w:szCs w:val="20"/>
                <w:color w:val="auto"/>
              </w:rPr>
            </w:pPr>
            <w:r>
              <w:rPr>
                <w:rFonts w:ascii="Arial" w:cs="Arial" w:eastAsia="Arial" w:hAnsi="Arial"/>
                <w:sz w:val="18"/>
                <w:szCs w:val="18"/>
                <w:color w:val="auto"/>
                <w:w w:val="99"/>
              </w:rPr>
              <w:t>Issuance of common stock from employee stock purchase plan</w:t>
            </w:r>
          </w:p>
        </w:tc>
        <w:tc>
          <w:tcPr>
            <w:tcW w:w="8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5000" w:type="dxa"/>
            <w:vAlign w:val="bottom"/>
          </w:tcPr>
          <w:p>
            <w:pPr>
              <w:ind w:left="180"/>
              <w:spacing w:after="0"/>
              <w:rPr>
                <w:sz w:val="20"/>
                <w:szCs w:val="20"/>
                <w:color w:val="auto"/>
              </w:rPr>
            </w:pPr>
            <w:r>
              <w:rPr>
                <w:rFonts w:ascii="Arial" w:cs="Arial" w:eastAsia="Arial" w:hAnsi="Arial"/>
                <w:sz w:val="18"/>
                <w:szCs w:val="18"/>
                <w:color w:val="auto"/>
              </w:rPr>
              <w:t>purchases</w:t>
            </w: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52,934</w:t>
            </w:r>
          </w:p>
        </w:tc>
        <w:tc>
          <w:tcPr>
            <w:tcW w:w="2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560" w:type="dxa"/>
            <w:vAlign w:val="bottom"/>
            <w:gridSpan w:val="2"/>
          </w:tcPr>
          <w:p>
            <w:pPr>
              <w:ind w:left="4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180"/>
              <w:spacing w:after="0"/>
              <w:rPr>
                <w:sz w:val="20"/>
                <w:szCs w:val="20"/>
                <w:color w:val="auto"/>
              </w:rPr>
            </w:pPr>
            <w:r>
              <w:rPr>
                <w:rFonts w:ascii="Arial" w:cs="Arial" w:eastAsia="Arial" w:hAnsi="Arial"/>
                <w:sz w:val="18"/>
                <w:szCs w:val="18"/>
                <w:color w:val="auto"/>
              </w:rPr>
              <w:t>5,642</w:t>
            </w:r>
          </w:p>
        </w:tc>
        <w:tc>
          <w:tcPr>
            <w:tcW w:w="120" w:type="dxa"/>
            <w:vAlign w:val="bottom"/>
          </w:tcPr>
          <w:p>
            <w:pPr>
              <w:spacing w:after="0"/>
              <w:rPr>
                <w:sz w:val="20"/>
                <w:szCs w:val="20"/>
                <w:color w:val="auto"/>
              </w:rPr>
            </w:pPr>
          </w:p>
        </w:tc>
        <w:tc>
          <w:tcPr>
            <w:tcW w:w="1120" w:type="dxa"/>
            <w:vAlign w:val="bottom"/>
            <w:gridSpan w:val="2"/>
          </w:tcPr>
          <w:p>
            <w:pPr>
              <w:jc w:val="right"/>
              <w:ind w:right="301"/>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9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920" w:type="dxa"/>
            <w:vAlign w:val="bottom"/>
            <w:gridSpan w:val="3"/>
          </w:tcPr>
          <w:p>
            <w:pPr>
              <w:jc w:val="right"/>
              <w:ind w:right="120"/>
              <w:spacing w:after="0"/>
              <w:rPr>
                <w:sz w:val="20"/>
                <w:szCs w:val="20"/>
                <w:color w:val="auto"/>
              </w:rPr>
            </w:pPr>
            <w:r>
              <w:rPr>
                <w:rFonts w:ascii="Arial" w:cs="Arial" w:eastAsia="Arial" w:hAnsi="Arial"/>
                <w:sz w:val="18"/>
                <w:szCs w:val="18"/>
                <w:color w:val="auto"/>
              </w:rPr>
              <w:t>5,642</w:t>
            </w:r>
          </w:p>
        </w:tc>
        <w:tc>
          <w:tcPr>
            <w:tcW w:w="0" w:type="dxa"/>
            <w:vAlign w:val="bottom"/>
          </w:tcPr>
          <w:p>
            <w:pPr>
              <w:spacing w:after="0"/>
              <w:rPr>
                <w:sz w:val="1"/>
                <w:szCs w:val="1"/>
                <w:color w:val="auto"/>
              </w:rPr>
            </w:pPr>
          </w:p>
        </w:tc>
      </w:tr>
      <w:tr>
        <w:trPr>
          <w:trHeight w:val="216"/>
        </w:trPr>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Proceeds from Capped Call 2016</w:t>
            </w:r>
          </w:p>
        </w:tc>
        <w:tc>
          <w:tcPr>
            <w:tcW w:w="1100" w:type="dxa"/>
            <w:vAlign w:val="bottom"/>
            <w:gridSpan w:val="3"/>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3,745</w:t>
            </w:r>
          </w:p>
        </w:tc>
        <w:tc>
          <w:tcPr>
            <w:tcW w:w="1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9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3,745</w:t>
            </w:r>
          </w:p>
        </w:tc>
        <w:tc>
          <w:tcPr>
            <w:tcW w:w="0" w:type="dxa"/>
            <w:vAlign w:val="bottom"/>
          </w:tcPr>
          <w:p>
            <w:pPr>
              <w:spacing w:after="0"/>
              <w:rPr>
                <w:sz w:val="1"/>
                <w:szCs w:val="1"/>
                <w:color w:val="auto"/>
              </w:rPr>
            </w:pPr>
          </w:p>
        </w:tc>
      </w:tr>
      <w:tr>
        <w:trPr>
          <w:trHeight w:val="216"/>
        </w:trPr>
        <w:tc>
          <w:tcPr>
            <w:tcW w:w="5000" w:type="dxa"/>
            <w:vAlign w:val="bottom"/>
          </w:tcPr>
          <w:p>
            <w:pPr>
              <w:spacing w:after="0"/>
              <w:rPr>
                <w:sz w:val="20"/>
                <w:szCs w:val="20"/>
                <w:color w:val="auto"/>
              </w:rPr>
            </w:pPr>
            <w:r>
              <w:rPr>
                <w:rFonts w:ascii="Arial" w:cs="Arial" w:eastAsia="Arial" w:hAnsi="Arial"/>
                <w:sz w:val="18"/>
                <w:szCs w:val="18"/>
                <w:color w:val="auto"/>
              </w:rPr>
              <w:t>Impact of Convertible Notes 2016 retirement</w:t>
            </w: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554,829</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60" w:type="dxa"/>
            <w:vAlign w:val="bottom"/>
            <w:gridSpan w:val="2"/>
          </w:tcPr>
          <w:p>
            <w:pPr>
              <w:jc w:val="right"/>
              <w:ind w:right="240"/>
              <w:spacing w:after="0"/>
              <w:rPr>
                <w:sz w:val="20"/>
                <w:szCs w:val="20"/>
                <w:color w:val="auto"/>
              </w:rPr>
            </w:pPr>
            <w:r>
              <w:rPr>
                <w:rFonts w:ascii="Arial" w:cs="Arial" w:eastAsia="Arial" w:hAnsi="Arial"/>
                <w:sz w:val="18"/>
                <w:szCs w:val="18"/>
                <w:color w:val="auto"/>
              </w:rPr>
              <w:t>1</w:t>
            </w:r>
          </w:p>
        </w:tc>
        <w:tc>
          <w:tcPr>
            <w:tcW w:w="860" w:type="dxa"/>
            <w:vAlign w:val="bottom"/>
            <w:gridSpan w:val="2"/>
          </w:tcPr>
          <w:p>
            <w:pPr>
              <w:jc w:val="right"/>
              <w:ind w:right="180"/>
              <w:spacing w:after="0"/>
              <w:rPr>
                <w:sz w:val="20"/>
                <w:szCs w:val="20"/>
                <w:color w:val="auto"/>
              </w:rPr>
            </w:pPr>
            <w:r>
              <w:rPr>
                <w:rFonts w:ascii="Arial" w:cs="Arial" w:eastAsia="Arial" w:hAnsi="Arial"/>
                <w:sz w:val="18"/>
                <w:szCs w:val="18"/>
                <w:color w:val="auto"/>
              </w:rPr>
              <w:t>19,687</w:t>
            </w:r>
          </w:p>
        </w:tc>
        <w:tc>
          <w:tcPr>
            <w:tcW w:w="120" w:type="dxa"/>
            <w:vAlign w:val="bottom"/>
          </w:tcPr>
          <w:p>
            <w:pPr>
              <w:spacing w:after="0"/>
              <w:rPr>
                <w:sz w:val="18"/>
                <w:szCs w:val="18"/>
                <w:color w:val="auto"/>
              </w:rPr>
            </w:pPr>
          </w:p>
        </w:tc>
        <w:tc>
          <w:tcPr>
            <w:tcW w:w="1120" w:type="dxa"/>
            <w:vAlign w:val="bottom"/>
            <w:gridSpan w:val="2"/>
          </w:tcPr>
          <w:p>
            <w:pPr>
              <w:jc w:val="right"/>
              <w:ind w:right="301"/>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920" w:type="dxa"/>
            <w:vAlign w:val="bottom"/>
            <w:gridSpan w:val="3"/>
          </w:tcPr>
          <w:p>
            <w:pPr>
              <w:jc w:val="right"/>
              <w:ind w:right="120"/>
              <w:spacing w:after="0"/>
              <w:rPr>
                <w:sz w:val="20"/>
                <w:szCs w:val="20"/>
                <w:color w:val="auto"/>
              </w:rPr>
            </w:pPr>
            <w:r>
              <w:rPr>
                <w:rFonts w:ascii="Arial" w:cs="Arial" w:eastAsia="Arial" w:hAnsi="Arial"/>
                <w:sz w:val="18"/>
                <w:szCs w:val="18"/>
                <w:color w:val="auto"/>
              </w:rPr>
              <w:t>19,688</w:t>
            </w:r>
          </w:p>
        </w:tc>
        <w:tc>
          <w:tcPr>
            <w:tcW w:w="0" w:type="dxa"/>
            <w:vAlign w:val="bottom"/>
          </w:tcPr>
          <w:p>
            <w:pPr>
              <w:spacing w:after="0"/>
              <w:rPr>
                <w:sz w:val="1"/>
                <w:szCs w:val="1"/>
                <w:color w:val="auto"/>
              </w:rPr>
            </w:pPr>
          </w:p>
        </w:tc>
      </w:tr>
      <w:tr>
        <w:trPr>
          <w:trHeight w:val="216"/>
        </w:trPr>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Stock-based compensation expense</w:t>
            </w:r>
          </w:p>
        </w:tc>
        <w:tc>
          <w:tcPr>
            <w:tcW w:w="1100" w:type="dxa"/>
            <w:vAlign w:val="bottom"/>
            <w:gridSpan w:val="3"/>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30,135</w:t>
            </w:r>
          </w:p>
        </w:tc>
        <w:tc>
          <w:tcPr>
            <w:tcW w:w="1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9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30,135</w:t>
            </w:r>
          </w:p>
        </w:tc>
        <w:tc>
          <w:tcPr>
            <w:tcW w:w="0" w:type="dxa"/>
            <w:vAlign w:val="bottom"/>
          </w:tcPr>
          <w:p>
            <w:pPr>
              <w:spacing w:after="0"/>
              <w:rPr>
                <w:sz w:val="1"/>
                <w:szCs w:val="1"/>
                <w:color w:val="auto"/>
              </w:rPr>
            </w:pPr>
          </w:p>
        </w:tc>
      </w:tr>
      <w:tr>
        <w:trPr>
          <w:trHeight w:val="216"/>
        </w:trPr>
        <w:tc>
          <w:tcPr>
            <w:tcW w:w="5000" w:type="dxa"/>
            <w:vAlign w:val="bottom"/>
          </w:tcPr>
          <w:p>
            <w:pPr>
              <w:spacing w:after="0"/>
              <w:rPr>
                <w:sz w:val="20"/>
                <w:szCs w:val="20"/>
                <w:color w:val="auto"/>
              </w:rPr>
            </w:pPr>
            <w:r>
              <w:rPr>
                <w:rFonts w:ascii="Arial" w:cs="Arial" w:eastAsia="Arial" w:hAnsi="Arial"/>
                <w:sz w:val="18"/>
                <w:szCs w:val="18"/>
                <w:color w:val="auto"/>
              </w:rPr>
              <w:t>Net loss</w:t>
            </w:r>
          </w:p>
        </w:tc>
        <w:tc>
          <w:tcPr>
            <w:tcW w:w="1100" w:type="dxa"/>
            <w:vAlign w:val="bottom"/>
            <w:gridSpan w:val="3"/>
          </w:tcPr>
          <w:p>
            <w:pPr>
              <w:ind w:left="5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560" w:type="dxa"/>
            <w:vAlign w:val="bottom"/>
            <w:gridSpan w:val="2"/>
          </w:tcPr>
          <w:p>
            <w:pPr>
              <w:ind w:left="4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240" w:type="dxa"/>
            <w:vAlign w:val="bottom"/>
            <w:gridSpan w:val="3"/>
          </w:tcPr>
          <w:p>
            <w:pPr>
              <w:jc w:val="right"/>
              <w:ind w:right="161"/>
              <w:spacing w:after="0"/>
              <w:rPr>
                <w:sz w:val="20"/>
                <w:szCs w:val="20"/>
                <w:color w:val="auto"/>
              </w:rPr>
            </w:pPr>
            <w:r>
              <w:rPr>
                <w:rFonts w:ascii="Arial" w:cs="Arial" w:eastAsia="Arial" w:hAnsi="Arial"/>
                <w:sz w:val="18"/>
                <w:szCs w:val="18"/>
                <w:color w:val="auto"/>
              </w:rPr>
              <w:t>(6,460)</w:t>
            </w:r>
          </w:p>
        </w:tc>
        <w:tc>
          <w:tcPr>
            <w:tcW w:w="180" w:type="dxa"/>
            <w:vAlign w:val="bottom"/>
          </w:tcPr>
          <w:p>
            <w:pPr>
              <w:spacing w:after="0"/>
              <w:rPr>
                <w:sz w:val="18"/>
                <w:szCs w:val="18"/>
                <w:color w:val="auto"/>
              </w:rPr>
            </w:pPr>
          </w:p>
        </w:tc>
        <w:tc>
          <w:tcPr>
            <w:tcW w:w="9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920" w:type="dxa"/>
            <w:vAlign w:val="bottom"/>
            <w:gridSpan w:val="3"/>
          </w:tcPr>
          <w:p>
            <w:pPr>
              <w:jc w:val="right"/>
              <w:ind w:right="60"/>
              <w:spacing w:after="0"/>
              <w:rPr>
                <w:sz w:val="20"/>
                <w:szCs w:val="20"/>
                <w:color w:val="auto"/>
              </w:rPr>
            </w:pPr>
            <w:r>
              <w:rPr>
                <w:rFonts w:ascii="Arial" w:cs="Arial" w:eastAsia="Arial" w:hAnsi="Arial"/>
                <w:sz w:val="18"/>
                <w:szCs w:val="18"/>
                <w:color w:val="auto"/>
              </w:rPr>
              <w:t>(6,460)</w:t>
            </w:r>
          </w:p>
        </w:tc>
        <w:tc>
          <w:tcPr>
            <w:tcW w:w="0" w:type="dxa"/>
            <w:vAlign w:val="bottom"/>
          </w:tcPr>
          <w:p>
            <w:pPr>
              <w:spacing w:after="0"/>
              <w:rPr>
                <w:sz w:val="1"/>
                <w:szCs w:val="1"/>
                <w:color w:val="auto"/>
              </w:rPr>
            </w:pPr>
          </w:p>
        </w:tc>
      </w:tr>
      <w:tr>
        <w:trPr>
          <w:trHeight w:val="216"/>
        </w:trPr>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Other comprehensive loss, net</w:t>
            </w:r>
          </w:p>
        </w:tc>
        <w:tc>
          <w:tcPr>
            <w:tcW w:w="1100" w:type="dxa"/>
            <w:vAlign w:val="bottom"/>
            <w:gridSpan w:val="3"/>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(291)</w:t>
            </w:r>
          </w:p>
        </w:tc>
        <w:tc>
          <w:tcPr>
            <w:tcW w:w="9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(291)</w:t>
            </w:r>
          </w:p>
        </w:tc>
        <w:tc>
          <w:tcPr>
            <w:tcW w:w="0" w:type="dxa"/>
            <w:vAlign w:val="bottom"/>
          </w:tcPr>
          <w:p>
            <w:pPr>
              <w:spacing w:after="0"/>
              <w:rPr>
                <w:sz w:val="1"/>
                <w:szCs w:val="1"/>
                <w:color w:val="auto"/>
              </w:rPr>
            </w:pPr>
          </w:p>
        </w:tc>
      </w:tr>
      <w:tr>
        <w:trPr>
          <w:trHeight w:val="223"/>
        </w:trPr>
        <w:tc>
          <w:tcPr>
            <w:tcW w:w="5000" w:type="dxa"/>
            <w:vAlign w:val="bottom"/>
          </w:tcPr>
          <w:p>
            <w:pPr>
              <w:spacing w:after="0"/>
              <w:rPr>
                <w:sz w:val="20"/>
                <w:szCs w:val="20"/>
                <w:color w:val="auto"/>
              </w:rPr>
            </w:pPr>
            <w:r>
              <w:rPr>
                <w:rFonts w:ascii="Arial" w:cs="Arial" w:eastAsia="Arial" w:hAnsi="Arial"/>
                <w:sz w:val="18"/>
                <w:szCs w:val="18"/>
                <w:color w:val="auto"/>
              </w:rPr>
              <w:t>Balance at March 31, 2021</w:t>
            </w: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3"/>
              </w:rPr>
              <w:t>54,507,972</w:t>
            </w: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3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55</w:t>
            </w:r>
          </w:p>
        </w:tc>
        <w:tc>
          <w:tcPr>
            <w:tcW w:w="240" w:type="dxa"/>
            <w:vAlign w:val="bottom"/>
          </w:tcPr>
          <w:p>
            <w:pPr>
              <w:spacing w:after="0"/>
              <w:rPr>
                <w:sz w:val="19"/>
                <w:szCs w:val="19"/>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652,465</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 (309,011</w:t>
            </w:r>
          </w:p>
        </w:tc>
        <w:tc>
          <w:tcPr>
            <w:tcW w:w="300" w:type="dxa"/>
            <w:vAlign w:val="bottom"/>
          </w:tcPr>
          <w:p>
            <w:pPr>
              <w:jc w:val="right"/>
              <w:ind w:right="161"/>
              <w:spacing w:after="0"/>
              <w:rPr>
                <w:sz w:val="20"/>
                <w:szCs w:val="20"/>
                <w:color w:val="auto"/>
              </w:rPr>
            </w:pPr>
            <w:r>
              <w:rPr>
                <w:rFonts w:ascii="Arial" w:cs="Arial" w:eastAsia="Arial" w:hAnsi="Arial"/>
                <w:sz w:val="16"/>
                <w:szCs w:val="16"/>
                <w:color w:val="auto"/>
                <w:w w:val="74"/>
              </w:rPr>
              <w:t>)</w:t>
            </w: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1,034</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344,543</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000" w:type="dxa"/>
            <w:vAlign w:val="bottom"/>
            <w:vMerge w:val="restart"/>
          </w:tcPr>
          <w:p>
            <w:pPr>
              <w:spacing w:after="0"/>
              <w:rPr>
                <w:sz w:val="20"/>
                <w:szCs w:val="20"/>
                <w:color w:val="auto"/>
              </w:rPr>
            </w:pPr>
            <w:r>
              <w:rPr>
                <w:rFonts w:ascii="Arial" w:cs="Arial" w:eastAsia="Arial" w:hAnsi="Arial"/>
                <w:sz w:val="18"/>
                <w:szCs w:val="18"/>
                <w:b w:val="1"/>
                <w:bCs w:val="1"/>
                <w:color w:val="auto"/>
              </w:rPr>
              <w:t>Three Months Ended March 31, 2020</w:t>
            </w:r>
          </w:p>
        </w:tc>
        <w:tc>
          <w:tcPr>
            <w:tcW w:w="8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34"/>
        </w:trPr>
        <w:tc>
          <w:tcPr>
            <w:tcW w:w="5000" w:type="dxa"/>
            <w:vAlign w:val="bottom"/>
            <w:vMerge w:val="continue"/>
          </w:tcPr>
          <w:p>
            <w:pPr>
              <w:spacing w:after="0"/>
              <w:rPr>
                <w:sz w:val="24"/>
                <w:szCs w:val="24"/>
                <w:color w:val="auto"/>
              </w:rPr>
            </w:pPr>
          </w:p>
        </w:tc>
        <w:tc>
          <w:tcPr>
            <w:tcW w:w="8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9"/>
        </w:trPr>
        <w:tc>
          <w:tcPr>
            <w:tcW w:w="50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60" w:type="dxa"/>
            <w:vAlign w:val="bottom"/>
            <w:gridSpan w:val="2"/>
            <w:vMerge w:val="restart"/>
          </w:tcPr>
          <w:p>
            <w:pPr>
              <w:jc w:val="center"/>
              <w:ind w:right="180"/>
              <w:spacing w:after="0"/>
              <w:rPr>
                <w:sz w:val="20"/>
                <w:szCs w:val="20"/>
                <w:color w:val="auto"/>
              </w:rPr>
            </w:pPr>
            <w:r>
              <w:rPr>
                <w:rFonts w:ascii="Arial" w:cs="Arial" w:eastAsia="Arial" w:hAnsi="Arial"/>
                <w:sz w:val="14"/>
                <w:szCs w:val="14"/>
                <w:b w:val="1"/>
                <w:bCs w:val="1"/>
                <w:color w:val="auto"/>
                <w:w w:val="93"/>
              </w:rPr>
              <w:t>Additional</w:t>
            </w:r>
          </w:p>
        </w:tc>
        <w:tc>
          <w:tcPr>
            <w:tcW w:w="1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90"/>
              </w:rPr>
              <w:t>Accumulated</w:t>
            </w:r>
          </w:p>
        </w:tc>
        <w:tc>
          <w:tcPr>
            <w:tcW w:w="120" w:type="dxa"/>
            <w:vAlign w:val="bottom"/>
          </w:tcPr>
          <w:p>
            <w:pPr>
              <w:spacing w:after="0"/>
              <w:rPr>
                <w:sz w:val="24"/>
                <w:szCs w:val="24"/>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5"/>
              </w:rPr>
              <w:t>Total</w:t>
            </w:r>
          </w:p>
        </w:tc>
        <w:tc>
          <w:tcPr>
            <w:tcW w:w="0" w:type="dxa"/>
            <w:vAlign w:val="bottom"/>
          </w:tcPr>
          <w:p>
            <w:pPr>
              <w:spacing w:after="0"/>
              <w:rPr>
                <w:sz w:val="1"/>
                <w:szCs w:val="1"/>
                <w:color w:val="auto"/>
              </w:rPr>
            </w:pPr>
          </w:p>
        </w:tc>
      </w:tr>
      <w:tr>
        <w:trPr>
          <w:trHeight w:val="148"/>
        </w:trPr>
        <w:tc>
          <w:tcPr>
            <w:tcW w:w="500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60" w:type="dxa"/>
            <w:vAlign w:val="bottom"/>
            <w:gridSpan w:val="2"/>
            <w:vMerge w:val="continue"/>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gridSpan w:val="2"/>
            <w:vMerge w:val="restart"/>
          </w:tcPr>
          <w:p>
            <w:pPr>
              <w:jc w:val="center"/>
              <w:ind w:right="221"/>
              <w:spacing w:after="0"/>
              <w:rPr>
                <w:sz w:val="20"/>
                <w:szCs w:val="20"/>
                <w:color w:val="auto"/>
              </w:rPr>
            </w:pPr>
            <w:r>
              <w:rPr>
                <w:rFonts w:ascii="Arial" w:cs="Arial" w:eastAsia="Arial" w:hAnsi="Arial"/>
                <w:sz w:val="14"/>
                <w:szCs w:val="14"/>
                <w:b w:val="1"/>
                <w:bCs w:val="1"/>
                <w:color w:val="auto"/>
                <w:w w:val="93"/>
              </w:rPr>
              <w:t>Accumulated</w:t>
            </w:r>
          </w:p>
        </w:tc>
        <w:tc>
          <w:tcPr>
            <w:tcW w:w="180" w:type="dxa"/>
            <w:vAlign w:val="bottom"/>
          </w:tcPr>
          <w:p>
            <w:pPr>
              <w:spacing w:after="0"/>
              <w:rPr>
                <w:sz w:val="12"/>
                <w:szCs w:val="12"/>
                <w:color w:val="auto"/>
              </w:rPr>
            </w:pPr>
          </w:p>
        </w:tc>
        <w:tc>
          <w:tcPr>
            <w:tcW w:w="96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6"/>
              </w:rPr>
              <w:t>Other</w:t>
            </w:r>
          </w:p>
        </w:tc>
        <w:tc>
          <w:tcPr>
            <w:tcW w:w="120" w:type="dxa"/>
            <w:vAlign w:val="bottom"/>
          </w:tcPr>
          <w:p>
            <w:pPr>
              <w:spacing w:after="0"/>
              <w:rPr>
                <w:sz w:val="12"/>
                <w:szCs w:val="12"/>
                <w:color w:val="auto"/>
              </w:rPr>
            </w:pPr>
          </w:p>
        </w:tc>
        <w:tc>
          <w:tcPr>
            <w:tcW w:w="8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93"/>
              </w:rPr>
              <w:t>Stock-</w:t>
            </w:r>
          </w:p>
        </w:tc>
        <w:tc>
          <w:tcPr>
            <w:tcW w:w="0" w:type="dxa"/>
            <w:vAlign w:val="bottom"/>
          </w:tcPr>
          <w:p>
            <w:pPr>
              <w:spacing w:after="0"/>
              <w:rPr>
                <w:sz w:val="1"/>
                <w:szCs w:val="1"/>
                <w:color w:val="auto"/>
              </w:rPr>
            </w:pPr>
          </w:p>
        </w:tc>
      </w:tr>
      <w:tr>
        <w:trPr>
          <w:trHeight w:val="148"/>
        </w:trPr>
        <w:tc>
          <w:tcPr>
            <w:tcW w:w="5000" w:type="dxa"/>
            <w:vAlign w:val="bottom"/>
          </w:tcPr>
          <w:p>
            <w:pPr>
              <w:spacing w:after="0"/>
              <w:rPr>
                <w:sz w:val="12"/>
                <w:szCs w:val="12"/>
                <w:color w:val="auto"/>
              </w:rPr>
            </w:pPr>
          </w:p>
        </w:tc>
        <w:tc>
          <w:tcPr>
            <w:tcW w:w="1300" w:type="dxa"/>
            <w:vAlign w:val="bottom"/>
            <w:gridSpan w:val="4"/>
            <w:vMerge w:val="restart"/>
          </w:tcPr>
          <w:p>
            <w:pPr>
              <w:ind w:left="320"/>
              <w:spacing w:after="0"/>
              <w:rPr>
                <w:sz w:val="20"/>
                <w:szCs w:val="20"/>
                <w:color w:val="auto"/>
              </w:rPr>
            </w:pPr>
            <w:r>
              <w:rPr>
                <w:rFonts w:ascii="Arial" w:cs="Arial" w:eastAsia="Arial" w:hAnsi="Arial"/>
                <w:sz w:val="14"/>
                <w:szCs w:val="14"/>
                <w:b w:val="1"/>
                <w:bCs w:val="1"/>
                <w:color w:val="auto"/>
                <w:w w:val="93"/>
              </w:rPr>
              <w:t>Common Stock</w:t>
            </w:r>
          </w:p>
        </w:tc>
        <w:tc>
          <w:tcPr>
            <w:tcW w:w="3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4"/>
              </w:rPr>
              <w:t>Paid-in</w:t>
            </w:r>
          </w:p>
        </w:tc>
        <w:tc>
          <w:tcPr>
            <w:tcW w:w="120" w:type="dxa"/>
            <w:vAlign w:val="bottom"/>
          </w:tcPr>
          <w:p>
            <w:pPr>
              <w:spacing w:after="0"/>
              <w:rPr>
                <w:sz w:val="12"/>
                <w:szCs w:val="12"/>
                <w:color w:val="auto"/>
              </w:rPr>
            </w:pPr>
          </w:p>
        </w:tc>
        <w:tc>
          <w:tcPr>
            <w:tcW w:w="1120" w:type="dxa"/>
            <w:vAlign w:val="bottom"/>
            <w:gridSpan w:val="2"/>
            <w:vMerge w:val="continue"/>
          </w:tcPr>
          <w:p>
            <w:pPr>
              <w:spacing w:after="0"/>
              <w:rPr>
                <w:sz w:val="12"/>
                <w:szCs w:val="12"/>
                <w:color w:val="auto"/>
              </w:rPr>
            </w:pPr>
          </w:p>
        </w:tc>
        <w:tc>
          <w:tcPr>
            <w:tcW w:w="1140" w:type="dxa"/>
            <w:vAlign w:val="bottom"/>
            <w:gridSpan w:val="3"/>
          </w:tcPr>
          <w:p>
            <w:pPr>
              <w:jc w:val="center"/>
              <w:ind w:right="180"/>
              <w:spacing w:after="0" w:line="149" w:lineRule="exact"/>
              <w:rPr>
                <w:sz w:val="20"/>
                <w:szCs w:val="20"/>
                <w:color w:val="auto"/>
              </w:rPr>
            </w:pPr>
            <w:r>
              <w:rPr>
                <w:rFonts w:ascii="Arial" w:cs="Arial" w:eastAsia="Arial" w:hAnsi="Arial"/>
                <w:sz w:val="14"/>
                <w:szCs w:val="14"/>
                <w:b w:val="1"/>
                <w:bCs w:val="1"/>
                <w:color w:val="auto"/>
                <w:w w:val="91"/>
              </w:rPr>
              <w:t>Comprehensive</w:t>
            </w:r>
          </w:p>
        </w:tc>
        <w:tc>
          <w:tcPr>
            <w:tcW w:w="120" w:type="dxa"/>
            <w:vAlign w:val="bottom"/>
          </w:tcPr>
          <w:p>
            <w:pPr>
              <w:spacing w:after="0"/>
              <w:rPr>
                <w:sz w:val="12"/>
                <w:szCs w:val="12"/>
                <w:color w:val="auto"/>
              </w:rPr>
            </w:pPr>
          </w:p>
        </w:tc>
        <w:tc>
          <w:tcPr>
            <w:tcW w:w="8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95"/>
              </w:rPr>
              <w:t>holders’</w:t>
            </w:r>
          </w:p>
        </w:tc>
        <w:tc>
          <w:tcPr>
            <w:tcW w:w="0" w:type="dxa"/>
            <w:vAlign w:val="bottom"/>
          </w:tcPr>
          <w:p>
            <w:pPr>
              <w:spacing w:after="0"/>
              <w:rPr>
                <w:sz w:val="1"/>
                <w:szCs w:val="1"/>
                <w:color w:val="auto"/>
              </w:rPr>
            </w:pPr>
          </w:p>
        </w:tc>
      </w:tr>
      <w:tr>
        <w:trPr>
          <w:trHeight w:val="171"/>
        </w:trPr>
        <w:tc>
          <w:tcPr>
            <w:tcW w:w="5000" w:type="dxa"/>
            <w:vAlign w:val="bottom"/>
          </w:tcPr>
          <w:p>
            <w:pPr>
              <w:spacing w:after="0"/>
              <w:rPr>
                <w:sz w:val="14"/>
                <w:szCs w:val="14"/>
                <w:color w:val="auto"/>
              </w:rPr>
            </w:pPr>
          </w:p>
        </w:tc>
        <w:tc>
          <w:tcPr>
            <w:tcW w:w="1300" w:type="dxa"/>
            <w:vAlign w:val="bottom"/>
            <w:gridSpan w:val="4"/>
            <w:vMerge w:val="continue"/>
          </w:tcPr>
          <w:p>
            <w:pPr>
              <w:spacing w:after="0"/>
              <w:rPr>
                <w:sz w:val="14"/>
                <w:szCs w:val="14"/>
                <w:color w:val="auto"/>
              </w:rPr>
            </w:pPr>
          </w:p>
        </w:tc>
        <w:tc>
          <w:tcPr>
            <w:tcW w:w="3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6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4"/>
              </w:rPr>
              <w:t>Capital</w:t>
            </w:r>
          </w:p>
        </w:tc>
        <w:tc>
          <w:tcPr>
            <w:tcW w:w="120" w:type="dxa"/>
            <w:vAlign w:val="bottom"/>
          </w:tcPr>
          <w:p>
            <w:pPr>
              <w:spacing w:after="0"/>
              <w:rPr>
                <w:sz w:val="14"/>
                <w:szCs w:val="14"/>
                <w:color w:val="auto"/>
              </w:rPr>
            </w:pPr>
          </w:p>
        </w:tc>
        <w:tc>
          <w:tcPr>
            <w:tcW w:w="1120" w:type="dxa"/>
            <w:vAlign w:val="bottom"/>
            <w:gridSpan w:val="2"/>
          </w:tcPr>
          <w:p>
            <w:pPr>
              <w:jc w:val="center"/>
              <w:ind w:right="221"/>
              <w:spacing w:after="0"/>
              <w:rPr>
                <w:sz w:val="20"/>
                <w:szCs w:val="20"/>
                <w:color w:val="auto"/>
              </w:rPr>
            </w:pPr>
            <w:r>
              <w:rPr>
                <w:rFonts w:ascii="Arial" w:cs="Arial" w:eastAsia="Arial" w:hAnsi="Arial"/>
                <w:sz w:val="14"/>
                <w:szCs w:val="14"/>
                <w:b w:val="1"/>
                <w:bCs w:val="1"/>
                <w:color w:val="auto"/>
                <w:w w:val="98"/>
              </w:rPr>
              <w:t>Deficit</w:t>
            </w:r>
          </w:p>
        </w:tc>
        <w:tc>
          <w:tcPr>
            <w:tcW w:w="180" w:type="dxa"/>
            <w:vAlign w:val="bottom"/>
          </w:tcPr>
          <w:p>
            <w:pPr>
              <w:spacing w:after="0"/>
              <w:rPr>
                <w:sz w:val="14"/>
                <w:szCs w:val="14"/>
                <w:color w:val="auto"/>
              </w:rPr>
            </w:pPr>
          </w:p>
        </w:tc>
        <w:tc>
          <w:tcPr>
            <w:tcW w:w="96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9"/>
              </w:rPr>
              <w:t>Income</w:t>
            </w:r>
          </w:p>
        </w:tc>
        <w:tc>
          <w:tcPr>
            <w:tcW w:w="120" w:type="dxa"/>
            <w:vAlign w:val="bottom"/>
          </w:tcPr>
          <w:p>
            <w:pPr>
              <w:spacing w:after="0"/>
              <w:rPr>
                <w:sz w:val="14"/>
                <w:szCs w:val="14"/>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3"/>
              </w:rPr>
              <w:t>Equity</w:t>
            </w:r>
          </w:p>
        </w:tc>
        <w:tc>
          <w:tcPr>
            <w:tcW w:w="0" w:type="dxa"/>
            <w:vAlign w:val="bottom"/>
          </w:tcPr>
          <w:p>
            <w:pPr>
              <w:spacing w:after="0"/>
              <w:rPr>
                <w:sz w:val="1"/>
                <w:szCs w:val="1"/>
                <w:color w:val="auto"/>
              </w:rPr>
            </w:pPr>
          </w:p>
        </w:tc>
      </w:tr>
      <w:tr>
        <w:trPr>
          <w:trHeight w:val="142"/>
        </w:trPr>
        <w:tc>
          <w:tcPr>
            <w:tcW w:w="5000" w:type="dxa"/>
            <w:vAlign w:val="bottom"/>
          </w:tcPr>
          <w:p>
            <w:pPr>
              <w:spacing w:after="0"/>
              <w:rPr>
                <w:sz w:val="12"/>
                <w:szCs w:val="12"/>
                <w:color w:val="auto"/>
              </w:rPr>
            </w:pPr>
          </w:p>
        </w:tc>
        <w:tc>
          <w:tcPr>
            <w:tcW w:w="1100" w:type="dxa"/>
            <w:vAlign w:val="bottom"/>
            <w:tcBorders>
              <w:top w:val="single" w:sz="8" w:color="auto"/>
            </w:tcBorders>
            <w:gridSpan w:val="3"/>
          </w:tcPr>
          <w:p>
            <w:pPr>
              <w:ind w:left="220"/>
              <w:spacing w:after="0" w:line="142" w:lineRule="exact"/>
              <w:rPr>
                <w:sz w:val="20"/>
                <w:szCs w:val="20"/>
                <w:color w:val="auto"/>
              </w:rPr>
            </w:pPr>
            <w:r>
              <w:rPr>
                <w:rFonts w:ascii="Arial" w:cs="Arial" w:eastAsia="Arial" w:hAnsi="Arial"/>
                <w:sz w:val="14"/>
                <w:szCs w:val="14"/>
                <w:b w:val="1"/>
                <w:bCs w:val="1"/>
                <w:color w:val="auto"/>
              </w:rPr>
              <w:t>Shares</w:t>
            </w:r>
          </w:p>
        </w:tc>
        <w:tc>
          <w:tcPr>
            <w:tcW w:w="52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94"/>
              </w:rPr>
              <w:t>Amount</w:t>
            </w:r>
          </w:p>
        </w:tc>
        <w:tc>
          <w:tcPr>
            <w:tcW w:w="24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300" w:type="dxa"/>
            <w:vAlign w:val="bottom"/>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780" w:type="dxa"/>
            <w:vAlign w:val="bottom"/>
            <w:tcBorders>
              <w:top w:val="single" w:sz="8" w:color="auto"/>
            </w:tcBorders>
          </w:tcPr>
          <w:p>
            <w:pPr>
              <w:spacing w:after="0"/>
              <w:rPr>
                <w:sz w:val="12"/>
                <w:szCs w:val="12"/>
                <w:color w:val="auto"/>
              </w:rPr>
            </w:pP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50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December 31, 2019</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45,909,466</w:t>
            </w:r>
          </w:p>
        </w:tc>
        <w:tc>
          <w:tcPr>
            <w:tcW w:w="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3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w:t>
            </w:r>
          </w:p>
        </w:tc>
        <w:tc>
          <w:tcPr>
            <w:tcW w:w="24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7"/>
              </w:rPr>
              <w:t>$587,862</w:t>
            </w:r>
          </w:p>
        </w:tc>
        <w:tc>
          <w:tcPr>
            <w:tcW w:w="1240" w:type="dxa"/>
            <w:vAlign w:val="bottom"/>
            <w:tcBorders>
              <w:top w:val="single" w:sz="8" w:color="CCEEFF"/>
            </w:tcBorders>
            <w:gridSpan w:val="3"/>
            <w:shd w:val="clear" w:color="auto" w:fill="CCEEFF"/>
          </w:tcPr>
          <w:p>
            <w:pPr>
              <w:jc w:val="right"/>
              <w:ind w:right="161"/>
              <w:spacing w:after="0"/>
              <w:rPr>
                <w:sz w:val="20"/>
                <w:szCs w:val="20"/>
                <w:color w:val="auto"/>
              </w:rPr>
            </w:pPr>
            <w:r>
              <w:rPr>
                <w:rFonts w:ascii="Arial" w:cs="Arial" w:eastAsia="Arial" w:hAnsi="Arial"/>
                <w:sz w:val="18"/>
                <w:szCs w:val="18"/>
                <w:color w:val="auto"/>
              </w:rPr>
              <w:t>$ (242,807)</w:t>
            </w:r>
          </w:p>
        </w:tc>
        <w:tc>
          <w:tcPr>
            <w:tcW w:w="18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1,500</w:t>
            </w:r>
          </w:p>
        </w:tc>
        <w:tc>
          <w:tcPr>
            <w:tcW w:w="920" w:type="dxa"/>
            <w:vAlign w:val="bottom"/>
            <w:tcBorders>
              <w:top w:val="single" w:sz="8" w:color="CCEEFF"/>
            </w:tcBorders>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$346,601</w:t>
            </w:r>
          </w:p>
        </w:tc>
        <w:tc>
          <w:tcPr>
            <w:tcW w:w="0" w:type="dxa"/>
            <w:vAlign w:val="bottom"/>
          </w:tcPr>
          <w:p>
            <w:pPr>
              <w:spacing w:after="0"/>
              <w:rPr>
                <w:sz w:val="1"/>
                <w:szCs w:val="1"/>
                <w:color w:val="auto"/>
              </w:rPr>
            </w:pPr>
          </w:p>
        </w:tc>
      </w:tr>
      <w:tr>
        <w:trPr>
          <w:trHeight w:val="216"/>
        </w:trPr>
        <w:tc>
          <w:tcPr>
            <w:tcW w:w="5000" w:type="dxa"/>
            <w:vAlign w:val="bottom"/>
          </w:tcPr>
          <w:p>
            <w:pPr>
              <w:spacing w:after="0"/>
              <w:rPr>
                <w:sz w:val="20"/>
                <w:szCs w:val="20"/>
                <w:color w:val="auto"/>
              </w:rPr>
            </w:pPr>
            <w:r>
              <w:rPr>
                <w:rFonts w:ascii="Arial" w:cs="Arial" w:eastAsia="Arial" w:hAnsi="Arial"/>
                <w:sz w:val="18"/>
                <w:szCs w:val="18"/>
                <w:color w:val="auto"/>
              </w:rPr>
              <w:t>Issuance of common stock from exercise of stock options</w:t>
            </w: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103,318</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60" w:type="dxa"/>
            <w:vAlign w:val="bottom"/>
            <w:gridSpan w:val="2"/>
          </w:tcPr>
          <w:p>
            <w:pPr>
              <w:ind w:left="4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180"/>
              <w:spacing w:after="0"/>
              <w:rPr>
                <w:sz w:val="20"/>
                <w:szCs w:val="20"/>
                <w:color w:val="auto"/>
              </w:rPr>
            </w:pPr>
            <w:r>
              <w:rPr>
                <w:rFonts w:ascii="Arial" w:cs="Arial" w:eastAsia="Arial" w:hAnsi="Arial"/>
                <w:sz w:val="18"/>
                <w:szCs w:val="18"/>
                <w:color w:val="auto"/>
              </w:rPr>
              <w:t>995</w:t>
            </w:r>
          </w:p>
        </w:tc>
        <w:tc>
          <w:tcPr>
            <w:tcW w:w="120" w:type="dxa"/>
            <w:vAlign w:val="bottom"/>
          </w:tcPr>
          <w:p>
            <w:pPr>
              <w:spacing w:after="0"/>
              <w:rPr>
                <w:sz w:val="18"/>
                <w:szCs w:val="18"/>
                <w:color w:val="auto"/>
              </w:rPr>
            </w:pPr>
          </w:p>
        </w:tc>
        <w:tc>
          <w:tcPr>
            <w:tcW w:w="1120" w:type="dxa"/>
            <w:vAlign w:val="bottom"/>
            <w:gridSpan w:val="2"/>
          </w:tcPr>
          <w:p>
            <w:pPr>
              <w:jc w:val="right"/>
              <w:ind w:right="301"/>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920" w:type="dxa"/>
            <w:vAlign w:val="bottom"/>
            <w:gridSpan w:val="3"/>
          </w:tcPr>
          <w:p>
            <w:pPr>
              <w:jc w:val="right"/>
              <w:ind w:right="120"/>
              <w:spacing w:after="0"/>
              <w:rPr>
                <w:sz w:val="20"/>
                <w:szCs w:val="20"/>
                <w:color w:val="auto"/>
              </w:rPr>
            </w:pPr>
            <w:r>
              <w:rPr>
                <w:rFonts w:ascii="Arial" w:cs="Arial" w:eastAsia="Arial" w:hAnsi="Arial"/>
                <w:sz w:val="18"/>
                <w:szCs w:val="18"/>
                <w:color w:val="auto"/>
              </w:rPr>
              <w:t>995</w:t>
            </w:r>
          </w:p>
        </w:tc>
        <w:tc>
          <w:tcPr>
            <w:tcW w:w="0" w:type="dxa"/>
            <w:vAlign w:val="bottom"/>
          </w:tcPr>
          <w:p>
            <w:pPr>
              <w:spacing w:after="0"/>
              <w:rPr>
                <w:sz w:val="1"/>
                <w:szCs w:val="1"/>
                <w:color w:val="auto"/>
              </w:rPr>
            </w:pPr>
          </w:p>
        </w:tc>
      </w:tr>
      <w:tr>
        <w:trPr>
          <w:trHeight w:val="202"/>
        </w:trPr>
        <w:tc>
          <w:tcPr>
            <w:tcW w:w="500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6"/>
              </w:rPr>
              <w:t>Issuance of common stock from restricted stock unit grant, net of</w:t>
            </w:r>
          </w:p>
        </w:tc>
        <w:tc>
          <w:tcPr>
            <w:tcW w:w="8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50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shares withheld for tax</w:t>
            </w:r>
          </w:p>
        </w:tc>
        <w:tc>
          <w:tcPr>
            <w:tcW w:w="8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60,651</w:t>
            </w:r>
          </w:p>
        </w:tc>
        <w:tc>
          <w:tcPr>
            <w:tcW w:w="22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56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(2,490)</w:t>
            </w:r>
          </w:p>
        </w:tc>
        <w:tc>
          <w:tcPr>
            <w:tcW w:w="120" w:type="dxa"/>
            <w:vAlign w:val="bottom"/>
            <w:shd w:val="clear" w:color="auto" w:fill="CCEEFF"/>
          </w:tcPr>
          <w:p>
            <w:pPr>
              <w:spacing w:after="0"/>
              <w:rPr>
                <w:sz w:val="20"/>
                <w:szCs w:val="20"/>
                <w:color w:val="auto"/>
              </w:rPr>
            </w:pPr>
          </w:p>
        </w:tc>
        <w:tc>
          <w:tcPr>
            <w:tcW w:w="112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0"/>
                <w:szCs w:val="20"/>
                <w:color w:val="auto"/>
              </w:rPr>
            </w:pPr>
          </w:p>
        </w:tc>
        <w:tc>
          <w:tcPr>
            <w:tcW w:w="9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9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(2,490)</w:t>
            </w:r>
          </w:p>
        </w:tc>
        <w:tc>
          <w:tcPr>
            <w:tcW w:w="0" w:type="dxa"/>
            <w:vAlign w:val="bottom"/>
          </w:tcPr>
          <w:p>
            <w:pPr>
              <w:spacing w:after="0"/>
              <w:rPr>
                <w:sz w:val="1"/>
                <w:szCs w:val="1"/>
                <w:color w:val="auto"/>
              </w:rPr>
            </w:pPr>
          </w:p>
        </w:tc>
      </w:tr>
      <w:tr>
        <w:trPr>
          <w:trHeight w:val="202"/>
        </w:trPr>
        <w:tc>
          <w:tcPr>
            <w:tcW w:w="5000" w:type="dxa"/>
            <w:vAlign w:val="bottom"/>
          </w:tcPr>
          <w:p>
            <w:pPr>
              <w:spacing w:after="0" w:line="201" w:lineRule="exact"/>
              <w:rPr>
                <w:sz w:val="20"/>
                <w:szCs w:val="20"/>
                <w:color w:val="auto"/>
              </w:rPr>
            </w:pPr>
            <w:r>
              <w:rPr>
                <w:rFonts w:ascii="Arial" w:cs="Arial" w:eastAsia="Arial" w:hAnsi="Arial"/>
                <w:sz w:val="18"/>
                <w:szCs w:val="18"/>
                <w:color w:val="auto"/>
                <w:w w:val="99"/>
              </w:rPr>
              <w:t>Issuance of common stock from employee stock purchase plan</w:t>
            </w:r>
          </w:p>
        </w:tc>
        <w:tc>
          <w:tcPr>
            <w:tcW w:w="8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5000" w:type="dxa"/>
            <w:vAlign w:val="bottom"/>
          </w:tcPr>
          <w:p>
            <w:pPr>
              <w:ind w:left="180"/>
              <w:spacing w:after="0"/>
              <w:rPr>
                <w:sz w:val="20"/>
                <w:szCs w:val="20"/>
                <w:color w:val="auto"/>
              </w:rPr>
            </w:pPr>
            <w:r>
              <w:rPr>
                <w:rFonts w:ascii="Arial" w:cs="Arial" w:eastAsia="Arial" w:hAnsi="Arial"/>
                <w:sz w:val="18"/>
                <w:szCs w:val="18"/>
                <w:color w:val="auto"/>
              </w:rPr>
              <w:t>purchases</w:t>
            </w: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74,896</w:t>
            </w:r>
          </w:p>
        </w:tc>
        <w:tc>
          <w:tcPr>
            <w:tcW w:w="2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560" w:type="dxa"/>
            <w:vAlign w:val="bottom"/>
            <w:gridSpan w:val="2"/>
          </w:tcPr>
          <w:p>
            <w:pPr>
              <w:ind w:left="4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180"/>
              <w:spacing w:after="0"/>
              <w:rPr>
                <w:sz w:val="20"/>
                <w:szCs w:val="20"/>
                <w:color w:val="auto"/>
              </w:rPr>
            </w:pPr>
            <w:r>
              <w:rPr>
                <w:rFonts w:ascii="Arial" w:cs="Arial" w:eastAsia="Arial" w:hAnsi="Arial"/>
                <w:sz w:val="18"/>
                <w:szCs w:val="18"/>
                <w:color w:val="auto"/>
              </w:rPr>
              <w:t>4,112</w:t>
            </w:r>
          </w:p>
        </w:tc>
        <w:tc>
          <w:tcPr>
            <w:tcW w:w="120" w:type="dxa"/>
            <w:vAlign w:val="bottom"/>
          </w:tcPr>
          <w:p>
            <w:pPr>
              <w:spacing w:after="0"/>
              <w:rPr>
                <w:sz w:val="20"/>
                <w:szCs w:val="20"/>
                <w:color w:val="auto"/>
              </w:rPr>
            </w:pPr>
          </w:p>
        </w:tc>
        <w:tc>
          <w:tcPr>
            <w:tcW w:w="1120" w:type="dxa"/>
            <w:vAlign w:val="bottom"/>
            <w:gridSpan w:val="2"/>
          </w:tcPr>
          <w:p>
            <w:pPr>
              <w:jc w:val="right"/>
              <w:ind w:right="301"/>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9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920" w:type="dxa"/>
            <w:vAlign w:val="bottom"/>
            <w:gridSpan w:val="3"/>
          </w:tcPr>
          <w:p>
            <w:pPr>
              <w:jc w:val="right"/>
              <w:ind w:right="120"/>
              <w:spacing w:after="0"/>
              <w:rPr>
                <w:sz w:val="20"/>
                <w:szCs w:val="20"/>
                <w:color w:val="auto"/>
              </w:rPr>
            </w:pPr>
            <w:r>
              <w:rPr>
                <w:rFonts w:ascii="Arial" w:cs="Arial" w:eastAsia="Arial" w:hAnsi="Arial"/>
                <w:sz w:val="18"/>
                <w:szCs w:val="18"/>
                <w:color w:val="auto"/>
              </w:rPr>
              <w:t>4,112</w:t>
            </w:r>
          </w:p>
        </w:tc>
        <w:tc>
          <w:tcPr>
            <w:tcW w:w="0" w:type="dxa"/>
            <w:vAlign w:val="bottom"/>
          </w:tcPr>
          <w:p>
            <w:pPr>
              <w:spacing w:after="0"/>
              <w:rPr>
                <w:sz w:val="1"/>
                <w:szCs w:val="1"/>
                <w:color w:val="auto"/>
              </w:rPr>
            </w:pPr>
          </w:p>
        </w:tc>
      </w:tr>
      <w:tr>
        <w:trPr>
          <w:trHeight w:val="216"/>
        </w:trPr>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Stock-based compensation expense</w:t>
            </w:r>
          </w:p>
        </w:tc>
        <w:tc>
          <w:tcPr>
            <w:tcW w:w="1100" w:type="dxa"/>
            <w:vAlign w:val="bottom"/>
            <w:gridSpan w:val="3"/>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24,029</w:t>
            </w:r>
          </w:p>
        </w:tc>
        <w:tc>
          <w:tcPr>
            <w:tcW w:w="1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9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24,029</w:t>
            </w:r>
          </w:p>
        </w:tc>
        <w:tc>
          <w:tcPr>
            <w:tcW w:w="0" w:type="dxa"/>
            <w:vAlign w:val="bottom"/>
          </w:tcPr>
          <w:p>
            <w:pPr>
              <w:spacing w:after="0"/>
              <w:rPr>
                <w:sz w:val="1"/>
                <w:szCs w:val="1"/>
                <w:color w:val="auto"/>
              </w:rPr>
            </w:pPr>
          </w:p>
        </w:tc>
      </w:tr>
      <w:tr>
        <w:trPr>
          <w:trHeight w:val="216"/>
        </w:trPr>
        <w:tc>
          <w:tcPr>
            <w:tcW w:w="5000" w:type="dxa"/>
            <w:vAlign w:val="bottom"/>
          </w:tcPr>
          <w:p>
            <w:pPr>
              <w:spacing w:after="0"/>
              <w:rPr>
                <w:sz w:val="20"/>
                <w:szCs w:val="20"/>
                <w:color w:val="auto"/>
              </w:rPr>
            </w:pPr>
            <w:r>
              <w:rPr>
                <w:rFonts w:ascii="Arial" w:cs="Arial" w:eastAsia="Arial" w:hAnsi="Arial"/>
                <w:sz w:val="18"/>
                <w:szCs w:val="18"/>
                <w:color w:val="auto"/>
              </w:rPr>
              <w:t>Net loss</w:t>
            </w:r>
          </w:p>
        </w:tc>
        <w:tc>
          <w:tcPr>
            <w:tcW w:w="1100" w:type="dxa"/>
            <w:vAlign w:val="bottom"/>
            <w:gridSpan w:val="3"/>
          </w:tcPr>
          <w:p>
            <w:pPr>
              <w:ind w:left="5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560" w:type="dxa"/>
            <w:vAlign w:val="bottom"/>
            <w:gridSpan w:val="2"/>
          </w:tcPr>
          <w:p>
            <w:pPr>
              <w:ind w:left="4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240" w:type="dxa"/>
            <w:vAlign w:val="bottom"/>
            <w:gridSpan w:val="3"/>
          </w:tcPr>
          <w:p>
            <w:pPr>
              <w:jc w:val="right"/>
              <w:ind w:right="161"/>
              <w:spacing w:after="0"/>
              <w:rPr>
                <w:sz w:val="20"/>
                <w:szCs w:val="20"/>
                <w:color w:val="auto"/>
              </w:rPr>
            </w:pPr>
            <w:r>
              <w:rPr>
                <w:rFonts w:ascii="Arial" w:cs="Arial" w:eastAsia="Arial" w:hAnsi="Arial"/>
                <w:sz w:val="18"/>
                <w:szCs w:val="18"/>
                <w:color w:val="auto"/>
              </w:rPr>
              <w:t>(20,286)</w:t>
            </w:r>
          </w:p>
        </w:tc>
        <w:tc>
          <w:tcPr>
            <w:tcW w:w="180" w:type="dxa"/>
            <w:vAlign w:val="bottom"/>
          </w:tcPr>
          <w:p>
            <w:pPr>
              <w:spacing w:after="0"/>
              <w:rPr>
                <w:sz w:val="18"/>
                <w:szCs w:val="18"/>
                <w:color w:val="auto"/>
              </w:rPr>
            </w:pPr>
          </w:p>
        </w:tc>
        <w:tc>
          <w:tcPr>
            <w:tcW w:w="9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920" w:type="dxa"/>
            <w:vAlign w:val="bottom"/>
            <w:gridSpan w:val="3"/>
          </w:tcPr>
          <w:p>
            <w:pPr>
              <w:jc w:val="right"/>
              <w:ind w:right="60"/>
              <w:spacing w:after="0"/>
              <w:rPr>
                <w:sz w:val="20"/>
                <w:szCs w:val="20"/>
                <w:color w:val="auto"/>
              </w:rPr>
            </w:pPr>
            <w:r>
              <w:rPr>
                <w:rFonts w:ascii="Arial" w:cs="Arial" w:eastAsia="Arial" w:hAnsi="Arial"/>
                <w:sz w:val="18"/>
                <w:szCs w:val="18"/>
                <w:color w:val="auto"/>
              </w:rPr>
              <w:t>(20,286)</w:t>
            </w:r>
          </w:p>
        </w:tc>
        <w:tc>
          <w:tcPr>
            <w:tcW w:w="0" w:type="dxa"/>
            <w:vAlign w:val="bottom"/>
          </w:tcPr>
          <w:p>
            <w:pPr>
              <w:spacing w:after="0"/>
              <w:rPr>
                <w:sz w:val="1"/>
                <w:szCs w:val="1"/>
                <w:color w:val="auto"/>
              </w:rPr>
            </w:pPr>
          </w:p>
        </w:tc>
      </w:tr>
      <w:tr>
        <w:trPr>
          <w:trHeight w:val="216"/>
        </w:trPr>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Other comprehensive loss, net</w:t>
            </w:r>
          </w:p>
        </w:tc>
        <w:tc>
          <w:tcPr>
            <w:tcW w:w="1100" w:type="dxa"/>
            <w:vAlign w:val="bottom"/>
            <w:gridSpan w:val="3"/>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(895)</w:t>
            </w:r>
          </w:p>
        </w:tc>
        <w:tc>
          <w:tcPr>
            <w:tcW w:w="9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(895)</w:t>
            </w:r>
          </w:p>
        </w:tc>
        <w:tc>
          <w:tcPr>
            <w:tcW w:w="0" w:type="dxa"/>
            <w:vAlign w:val="bottom"/>
          </w:tcPr>
          <w:p>
            <w:pPr>
              <w:spacing w:after="0"/>
              <w:rPr>
                <w:sz w:val="1"/>
                <w:szCs w:val="1"/>
                <w:color w:val="auto"/>
              </w:rPr>
            </w:pPr>
          </w:p>
        </w:tc>
      </w:tr>
      <w:tr>
        <w:trPr>
          <w:trHeight w:val="223"/>
        </w:trPr>
        <w:tc>
          <w:tcPr>
            <w:tcW w:w="5000" w:type="dxa"/>
            <w:vAlign w:val="bottom"/>
          </w:tcPr>
          <w:p>
            <w:pPr>
              <w:spacing w:after="0"/>
              <w:rPr>
                <w:sz w:val="20"/>
                <w:szCs w:val="20"/>
                <w:color w:val="auto"/>
              </w:rPr>
            </w:pPr>
            <w:r>
              <w:rPr>
                <w:rFonts w:ascii="Arial" w:cs="Arial" w:eastAsia="Arial" w:hAnsi="Arial"/>
                <w:sz w:val="18"/>
                <w:szCs w:val="18"/>
                <w:color w:val="auto"/>
              </w:rPr>
              <w:t>Balance at March 31, 2020</w:t>
            </w: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3"/>
              </w:rPr>
              <w:t>46,148,331</w:t>
            </w:r>
          </w:p>
        </w:tc>
        <w:tc>
          <w:tcPr>
            <w:tcW w:w="20" w:type="dxa"/>
            <w:vAlign w:val="bottom"/>
            <w:tcBorders>
              <w:bottom w:val="single" w:sz="8" w:color="auto"/>
            </w:tcBorders>
          </w:tcPr>
          <w:p>
            <w:pPr>
              <w:spacing w:after="0"/>
              <w:rPr>
                <w:sz w:val="19"/>
                <w:szCs w:val="19"/>
                <w:color w:val="auto"/>
              </w:rPr>
            </w:pPr>
          </w:p>
        </w:tc>
        <w:tc>
          <w:tcPr>
            <w:tcW w:w="220" w:type="dxa"/>
            <w:vAlign w:val="bottom"/>
          </w:tcPr>
          <w:p>
            <w:pPr>
              <w:spacing w:after="0"/>
              <w:rPr>
                <w:sz w:val="19"/>
                <w:szCs w:val="19"/>
                <w:color w:val="auto"/>
              </w:rPr>
            </w:pPr>
          </w:p>
        </w:tc>
        <w:tc>
          <w:tcPr>
            <w:tcW w:w="2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3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w:t>
            </w:r>
          </w:p>
        </w:tc>
        <w:tc>
          <w:tcPr>
            <w:tcW w:w="240" w:type="dxa"/>
            <w:vAlign w:val="bottom"/>
          </w:tcPr>
          <w:p>
            <w:pPr>
              <w:spacing w:after="0"/>
              <w:rPr>
                <w:sz w:val="19"/>
                <w:szCs w:val="19"/>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614,508</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 (263,093</w:t>
            </w:r>
          </w:p>
        </w:tc>
        <w:tc>
          <w:tcPr>
            <w:tcW w:w="300" w:type="dxa"/>
            <w:vAlign w:val="bottom"/>
          </w:tcPr>
          <w:p>
            <w:pPr>
              <w:jc w:val="right"/>
              <w:ind w:right="161"/>
              <w:spacing w:after="0"/>
              <w:rPr>
                <w:sz w:val="20"/>
                <w:szCs w:val="20"/>
                <w:color w:val="auto"/>
              </w:rPr>
            </w:pPr>
            <w:r>
              <w:rPr>
                <w:rFonts w:ascii="Arial" w:cs="Arial" w:eastAsia="Arial" w:hAnsi="Arial"/>
                <w:sz w:val="16"/>
                <w:szCs w:val="16"/>
                <w:color w:val="auto"/>
                <w:w w:val="74"/>
              </w:rPr>
              <w:t>)</w:t>
            </w: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bottom w:val="single" w:sz="8" w:color="auto"/>
            </w:tcBorders>
          </w:tcPr>
          <w:p>
            <w:pPr>
              <w:ind w:left="500"/>
              <w:spacing w:after="0"/>
              <w:rPr>
                <w:sz w:val="20"/>
                <w:szCs w:val="20"/>
                <w:color w:val="auto"/>
              </w:rPr>
            </w:pPr>
            <w:r>
              <w:rPr>
                <w:rFonts w:ascii="Arial" w:cs="Arial" w:eastAsia="Arial" w:hAnsi="Arial"/>
                <w:sz w:val="18"/>
                <w:szCs w:val="18"/>
                <w:color w:val="auto"/>
                <w:w w:val="86"/>
              </w:rPr>
              <w:t>605</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352,066</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000" w:type="dxa"/>
            <w:vAlign w:val="bottom"/>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accompanying notes are an integral part of these unaudited condensed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20"/>
          </w:cols>
          <w:pgMar w:left="440" w:top="270" w:right="439" w:bottom="1440" w:gutter="0" w:footer="0" w:header="0"/>
        </w:sectPr>
      </w:pPr>
    </w:p>
    <w:bookmarkStart w:id="9" w:name="page10"/>
    <w:bookmarkEnd w:id="9"/>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INPHI CORPORATION</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UNAUDITED CONDENSED CONSOLIDATED STATEMENTS OF CASH FLOWS</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40005</wp:posOffset>
            </wp:positionV>
            <wp:extent cx="6995160" cy="825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24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2240" w:type="dxa"/>
            <w:vAlign w:val="bottom"/>
            <w:gridSpan w:val="7"/>
          </w:tcPr>
          <w:p>
            <w:pPr>
              <w:jc w:val="right"/>
              <w:ind w:right="180"/>
              <w:spacing w:after="0"/>
              <w:rPr>
                <w:sz w:val="20"/>
                <w:szCs w:val="20"/>
                <w:color w:val="auto"/>
              </w:rPr>
            </w:pPr>
            <w:r>
              <w:rPr>
                <w:rFonts w:ascii="Arial" w:cs="Arial" w:eastAsia="Arial" w:hAnsi="Arial"/>
                <w:sz w:val="14"/>
                <w:szCs w:val="14"/>
                <w:b w:val="1"/>
                <w:bCs w:val="1"/>
                <w:color w:val="auto"/>
                <w:w w:val="98"/>
              </w:rPr>
              <w:t>Three Months Ended March 31,</w:t>
            </w:r>
          </w:p>
        </w:tc>
        <w:tc>
          <w:tcPr>
            <w:tcW w:w="0" w:type="dxa"/>
            <w:vAlign w:val="bottom"/>
          </w:tcPr>
          <w:p>
            <w:pPr>
              <w:spacing w:after="0"/>
              <w:rPr>
                <w:sz w:val="1"/>
                <w:szCs w:val="1"/>
                <w:color w:val="auto"/>
              </w:rPr>
            </w:pPr>
          </w:p>
        </w:tc>
      </w:tr>
      <w:tr>
        <w:trPr>
          <w:trHeight w:val="142"/>
        </w:trPr>
        <w:tc>
          <w:tcPr>
            <w:tcW w:w="7240" w:type="dxa"/>
            <w:vAlign w:val="bottom"/>
            <w:tcBorders>
              <w:bottom w:val="single" w:sz="8" w:color="CCEEFF"/>
            </w:tcBorders>
          </w:tcPr>
          <w:p>
            <w:pPr>
              <w:spacing w:after="0"/>
              <w:rPr>
                <w:sz w:val="12"/>
                <w:szCs w:val="12"/>
                <w:color w:val="auto"/>
              </w:rPr>
            </w:pPr>
          </w:p>
        </w:tc>
        <w:tc>
          <w:tcPr>
            <w:tcW w:w="1540" w:type="dxa"/>
            <w:vAlign w:val="bottom"/>
            <w:tcBorders>
              <w:bottom w:val="single" w:sz="8" w:color="CCEEFF"/>
            </w:tcBorders>
          </w:tcPr>
          <w:p>
            <w:pPr>
              <w:spacing w:after="0"/>
              <w:rPr>
                <w:sz w:val="12"/>
                <w:szCs w:val="12"/>
                <w:color w:val="auto"/>
              </w:rPr>
            </w:pPr>
          </w:p>
        </w:tc>
        <w:tc>
          <w:tcPr>
            <w:tcW w:w="180" w:type="dxa"/>
            <w:vAlign w:val="bottom"/>
            <w:tcBorders>
              <w:top w:val="single" w:sz="8" w:color="auto"/>
              <w:bottom w:val="single" w:sz="8" w:color="auto"/>
            </w:tcBorders>
          </w:tcPr>
          <w:p>
            <w:pPr>
              <w:spacing w:after="0"/>
              <w:rPr>
                <w:sz w:val="12"/>
                <w:szCs w:val="12"/>
                <w:color w:val="auto"/>
              </w:rPr>
            </w:pPr>
          </w:p>
        </w:tc>
        <w:tc>
          <w:tcPr>
            <w:tcW w:w="680" w:type="dxa"/>
            <w:vAlign w:val="bottom"/>
            <w:tcBorders>
              <w:top w:val="single" w:sz="8" w:color="auto"/>
              <w:bottom w:val="single" w:sz="8" w:color="auto"/>
            </w:tcBorders>
          </w:tcPr>
          <w:p>
            <w:pPr>
              <w:jc w:val="right"/>
              <w:ind w:right="190"/>
              <w:spacing w:after="0" w:line="142" w:lineRule="exact"/>
              <w:rPr>
                <w:sz w:val="20"/>
                <w:szCs w:val="20"/>
                <w:color w:val="auto"/>
              </w:rPr>
            </w:pPr>
            <w:r>
              <w:rPr>
                <w:rFonts w:ascii="Arial" w:cs="Arial" w:eastAsia="Arial" w:hAnsi="Arial"/>
                <w:sz w:val="14"/>
                <w:szCs w:val="14"/>
                <w:b w:val="1"/>
                <w:bCs w:val="1"/>
                <w:color w:val="auto"/>
              </w:rPr>
              <w:t>2021</w:t>
            </w:r>
          </w:p>
        </w:tc>
        <w:tc>
          <w:tcPr>
            <w:tcW w:w="200" w:type="dxa"/>
            <w:vAlign w:val="bottom"/>
            <w:tcBorders>
              <w:top w:val="single" w:sz="8" w:color="auto"/>
              <w:bottom w:val="single" w:sz="8" w:color="CCEEFF"/>
            </w:tcBorders>
          </w:tcPr>
          <w:p>
            <w:pPr>
              <w:spacing w:after="0"/>
              <w:rPr>
                <w:sz w:val="12"/>
                <w:szCs w:val="12"/>
                <w:color w:val="auto"/>
              </w:rPr>
            </w:pPr>
          </w:p>
        </w:tc>
        <w:tc>
          <w:tcPr>
            <w:tcW w:w="140" w:type="dxa"/>
            <w:vAlign w:val="bottom"/>
            <w:tcBorders>
              <w:top w:val="single" w:sz="8" w:color="auto"/>
              <w:bottom w:val="single" w:sz="8" w:color="CCEEFF"/>
            </w:tcBorders>
          </w:tcPr>
          <w:p>
            <w:pPr>
              <w:spacing w:after="0"/>
              <w:rPr>
                <w:sz w:val="12"/>
                <w:szCs w:val="12"/>
                <w:color w:val="auto"/>
              </w:rPr>
            </w:pPr>
          </w:p>
        </w:tc>
        <w:tc>
          <w:tcPr>
            <w:tcW w:w="180" w:type="dxa"/>
            <w:vAlign w:val="bottom"/>
            <w:tcBorders>
              <w:top w:val="single" w:sz="8" w:color="auto"/>
              <w:bottom w:val="single" w:sz="8" w:color="auto"/>
            </w:tcBorders>
          </w:tcPr>
          <w:p>
            <w:pPr>
              <w:spacing w:after="0"/>
              <w:rPr>
                <w:sz w:val="12"/>
                <w:szCs w:val="12"/>
                <w:color w:val="auto"/>
              </w:rPr>
            </w:pPr>
          </w:p>
        </w:tc>
        <w:tc>
          <w:tcPr>
            <w:tcW w:w="740" w:type="dxa"/>
            <w:vAlign w:val="bottom"/>
            <w:tcBorders>
              <w:top w:val="single" w:sz="8" w:color="auto"/>
              <w:bottom w:val="single" w:sz="8" w:color="auto"/>
            </w:tcBorders>
          </w:tcPr>
          <w:p>
            <w:pPr>
              <w:jc w:val="right"/>
              <w:ind w:right="230"/>
              <w:spacing w:after="0" w:line="142" w:lineRule="exact"/>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72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15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240" w:type="dxa"/>
            <w:vAlign w:val="bottom"/>
          </w:tcPr>
          <w:p>
            <w:pPr>
              <w:spacing w:after="0"/>
              <w:rPr>
                <w:sz w:val="20"/>
                <w:szCs w:val="20"/>
                <w:color w:val="auto"/>
              </w:rPr>
            </w:pPr>
            <w:r>
              <w:rPr>
                <w:rFonts w:ascii="Arial" w:cs="Arial" w:eastAsia="Arial" w:hAnsi="Arial"/>
                <w:sz w:val="18"/>
                <w:szCs w:val="18"/>
                <w:color w:val="auto"/>
              </w:rPr>
              <w:t>Net loss</w:t>
            </w:r>
          </w:p>
        </w:tc>
        <w:tc>
          <w:tcPr>
            <w:tcW w:w="17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(6,460)</w:t>
            </w:r>
          </w:p>
        </w:tc>
        <w:tc>
          <w:tcPr>
            <w:tcW w:w="3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(20,286)</w:t>
            </w: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loss to net cash provided by operating activities:</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40" w:type="dxa"/>
            <w:vAlign w:val="bottom"/>
          </w:tcPr>
          <w:p>
            <w:pPr>
              <w:ind w:left="360"/>
              <w:spacing w:after="0"/>
              <w:rPr>
                <w:sz w:val="20"/>
                <w:szCs w:val="20"/>
                <w:color w:val="auto"/>
              </w:rPr>
            </w:pPr>
            <w:r>
              <w:rPr>
                <w:rFonts w:ascii="Arial" w:cs="Arial" w:eastAsia="Arial" w:hAnsi="Arial"/>
                <w:sz w:val="18"/>
                <w:szCs w:val="18"/>
                <w:color w:val="auto"/>
              </w:rPr>
              <w:t>Depreciation and amortization</w:t>
            </w:r>
          </w:p>
        </w:tc>
        <w:tc>
          <w:tcPr>
            <w:tcW w:w="1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30,988</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8"/>
                <w:szCs w:val="18"/>
                <w:color w:val="auto"/>
              </w:rPr>
              <w:t>29,470</w:t>
            </w: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Stock-based compensation</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30,135</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24,029</w:t>
            </w:r>
          </w:p>
        </w:tc>
        <w:tc>
          <w:tcPr>
            <w:tcW w:w="0" w:type="dxa"/>
            <w:vAlign w:val="bottom"/>
          </w:tcPr>
          <w:p>
            <w:pPr>
              <w:spacing w:after="0"/>
              <w:rPr>
                <w:sz w:val="1"/>
                <w:szCs w:val="1"/>
                <w:color w:val="auto"/>
              </w:rPr>
            </w:pPr>
          </w:p>
        </w:tc>
      </w:tr>
      <w:tr>
        <w:trPr>
          <w:trHeight w:val="216"/>
        </w:trPr>
        <w:tc>
          <w:tcPr>
            <w:tcW w:w="7240" w:type="dxa"/>
            <w:vAlign w:val="bottom"/>
          </w:tcPr>
          <w:p>
            <w:pPr>
              <w:ind w:left="360"/>
              <w:spacing w:after="0"/>
              <w:rPr>
                <w:sz w:val="20"/>
                <w:szCs w:val="20"/>
                <w:color w:val="auto"/>
              </w:rPr>
            </w:pPr>
            <w:r>
              <w:rPr>
                <w:rFonts w:ascii="Arial" w:cs="Arial" w:eastAsia="Arial" w:hAnsi="Arial"/>
                <w:sz w:val="18"/>
                <w:szCs w:val="18"/>
                <w:color w:val="auto"/>
              </w:rPr>
              <w:t>Deferred income taxes</w:t>
            </w:r>
          </w:p>
        </w:tc>
        <w:tc>
          <w:tcPr>
            <w:tcW w:w="1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731</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Accretion of convertible debt and amortization of debt issuance costs</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5,785</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7,391</w:t>
            </w:r>
          </w:p>
        </w:tc>
        <w:tc>
          <w:tcPr>
            <w:tcW w:w="0" w:type="dxa"/>
            <w:vAlign w:val="bottom"/>
          </w:tcPr>
          <w:p>
            <w:pPr>
              <w:spacing w:after="0"/>
              <w:rPr>
                <w:sz w:val="1"/>
                <w:szCs w:val="1"/>
                <w:color w:val="auto"/>
              </w:rPr>
            </w:pPr>
          </w:p>
        </w:tc>
      </w:tr>
      <w:tr>
        <w:trPr>
          <w:trHeight w:val="216"/>
        </w:trPr>
        <w:tc>
          <w:tcPr>
            <w:tcW w:w="7240" w:type="dxa"/>
            <w:vAlign w:val="bottom"/>
          </w:tcPr>
          <w:p>
            <w:pPr>
              <w:ind w:left="360"/>
              <w:spacing w:after="0"/>
              <w:rPr>
                <w:sz w:val="20"/>
                <w:szCs w:val="20"/>
                <w:color w:val="auto"/>
              </w:rPr>
            </w:pPr>
            <w:r>
              <w:rPr>
                <w:rFonts w:ascii="Arial" w:cs="Arial" w:eastAsia="Arial" w:hAnsi="Arial"/>
                <w:sz w:val="18"/>
                <w:szCs w:val="18"/>
                <w:color w:val="auto"/>
              </w:rPr>
              <w:t>Net unrealized loss (gain) on equity investments</w:t>
            </w:r>
          </w:p>
        </w:tc>
        <w:tc>
          <w:tcPr>
            <w:tcW w:w="1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(3,427)</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8"/>
                <w:szCs w:val="18"/>
                <w:color w:val="auto"/>
              </w:rPr>
              <w:t>932</w:t>
            </w: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Realized gain on an equity investment</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(4,999)</w:t>
            </w:r>
          </w:p>
        </w:tc>
        <w:tc>
          <w:tcPr>
            <w:tcW w:w="0" w:type="dxa"/>
            <w:vAlign w:val="bottom"/>
          </w:tcPr>
          <w:p>
            <w:pPr>
              <w:spacing w:after="0"/>
              <w:rPr>
                <w:sz w:val="1"/>
                <w:szCs w:val="1"/>
                <w:color w:val="auto"/>
              </w:rPr>
            </w:pPr>
          </w:p>
        </w:tc>
      </w:tr>
      <w:tr>
        <w:trPr>
          <w:trHeight w:val="216"/>
        </w:trPr>
        <w:tc>
          <w:tcPr>
            <w:tcW w:w="7240" w:type="dxa"/>
            <w:vAlign w:val="bottom"/>
          </w:tcPr>
          <w:p>
            <w:pPr>
              <w:ind w:left="360"/>
              <w:spacing w:after="0"/>
              <w:rPr>
                <w:sz w:val="20"/>
                <w:szCs w:val="20"/>
                <w:color w:val="auto"/>
              </w:rPr>
            </w:pPr>
            <w:r>
              <w:rPr>
                <w:rFonts w:ascii="Arial" w:cs="Arial" w:eastAsia="Arial" w:hAnsi="Arial"/>
                <w:sz w:val="18"/>
                <w:szCs w:val="18"/>
                <w:color w:val="auto"/>
              </w:rPr>
              <w:t>Amortization of premium (discount) on marketable securities</w:t>
            </w:r>
          </w:p>
        </w:tc>
        <w:tc>
          <w:tcPr>
            <w:tcW w:w="1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20</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(85)</w:t>
            </w: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Loss on termination of software lease contracts</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3,370</w:t>
            </w:r>
          </w:p>
        </w:tc>
        <w:tc>
          <w:tcPr>
            <w:tcW w:w="0" w:type="dxa"/>
            <w:vAlign w:val="bottom"/>
          </w:tcPr>
          <w:p>
            <w:pPr>
              <w:spacing w:after="0"/>
              <w:rPr>
                <w:sz w:val="1"/>
                <w:szCs w:val="1"/>
                <w:color w:val="auto"/>
              </w:rPr>
            </w:pPr>
          </w:p>
        </w:tc>
      </w:tr>
      <w:tr>
        <w:trPr>
          <w:trHeight w:val="216"/>
        </w:trPr>
        <w:tc>
          <w:tcPr>
            <w:tcW w:w="7240" w:type="dxa"/>
            <w:vAlign w:val="bottom"/>
          </w:tcPr>
          <w:p>
            <w:pPr>
              <w:ind w:left="360"/>
              <w:spacing w:after="0"/>
              <w:rPr>
                <w:sz w:val="20"/>
                <w:szCs w:val="20"/>
                <w:color w:val="auto"/>
              </w:rPr>
            </w:pPr>
            <w:r>
              <w:rPr>
                <w:rFonts w:ascii="Arial" w:cs="Arial" w:eastAsia="Arial" w:hAnsi="Arial"/>
                <w:sz w:val="18"/>
                <w:szCs w:val="18"/>
                <w:color w:val="auto"/>
              </w:rPr>
              <w:t>Loss on early extinguishment of debt</w:t>
            </w:r>
          </w:p>
        </w:tc>
        <w:tc>
          <w:tcPr>
            <w:tcW w:w="1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1,076</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 noncash items</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(144)</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(74)</w:t>
            </w:r>
          </w:p>
        </w:tc>
        <w:tc>
          <w:tcPr>
            <w:tcW w:w="0" w:type="dxa"/>
            <w:vAlign w:val="bottom"/>
          </w:tcPr>
          <w:p>
            <w:pPr>
              <w:spacing w:after="0"/>
              <w:rPr>
                <w:sz w:val="1"/>
                <w:szCs w:val="1"/>
                <w:color w:val="auto"/>
              </w:rPr>
            </w:pPr>
          </w:p>
        </w:tc>
      </w:tr>
      <w:tr>
        <w:trPr>
          <w:trHeight w:val="216"/>
        </w:trPr>
        <w:tc>
          <w:tcPr>
            <w:tcW w:w="7240" w:type="dxa"/>
            <w:vAlign w:val="bottom"/>
          </w:tcPr>
          <w:p>
            <w:pPr>
              <w:ind w:left="360"/>
              <w:spacing w:after="0"/>
              <w:rPr>
                <w:sz w:val="20"/>
                <w:szCs w:val="20"/>
                <w:color w:val="auto"/>
              </w:rPr>
            </w:pPr>
            <w:r>
              <w:rPr>
                <w:rFonts w:ascii="Arial" w:cs="Arial" w:eastAsia="Arial" w:hAnsi="Arial"/>
                <w:sz w:val="18"/>
                <w:szCs w:val="18"/>
                <w:color w:val="auto"/>
              </w:rPr>
              <w:t>Changes in assets and liabilities, net of acquisition:</w:t>
            </w:r>
          </w:p>
        </w:tc>
        <w:tc>
          <w:tcPr>
            <w:tcW w:w="1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ind w:left="720"/>
              <w:spacing w:after="0"/>
              <w:rPr>
                <w:sz w:val="20"/>
                <w:szCs w:val="20"/>
                <w:color w:val="auto"/>
              </w:rPr>
            </w:pPr>
            <w:r>
              <w:rPr>
                <w:rFonts w:ascii="Arial" w:cs="Arial" w:eastAsia="Arial" w:hAnsi="Arial"/>
                <w:sz w:val="18"/>
                <w:szCs w:val="18"/>
                <w:color w:val="auto"/>
              </w:rPr>
              <w:t>Accounts receivable</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(10,371)</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(2,283)</w:t>
            </w:r>
          </w:p>
        </w:tc>
        <w:tc>
          <w:tcPr>
            <w:tcW w:w="0" w:type="dxa"/>
            <w:vAlign w:val="bottom"/>
          </w:tcPr>
          <w:p>
            <w:pPr>
              <w:spacing w:after="0"/>
              <w:rPr>
                <w:sz w:val="1"/>
                <w:szCs w:val="1"/>
                <w:color w:val="auto"/>
              </w:rPr>
            </w:pPr>
          </w:p>
        </w:tc>
      </w:tr>
      <w:tr>
        <w:trPr>
          <w:trHeight w:val="216"/>
        </w:trPr>
        <w:tc>
          <w:tcPr>
            <w:tcW w:w="7240" w:type="dxa"/>
            <w:vAlign w:val="bottom"/>
          </w:tcPr>
          <w:p>
            <w:pPr>
              <w:ind w:left="720"/>
              <w:spacing w:after="0"/>
              <w:rPr>
                <w:sz w:val="20"/>
                <w:szCs w:val="20"/>
                <w:color w:val="auto"/>
              </w:rPr>
            </w:pPr>
            <w:r>
              <w:rPr>
                <w:rFonts w:ascii="Arial" w:cs="Arial" w:eastAsia="Arial" w:hAnsi="Arial"/>
                <w:sz w:val="18"/>
                <w:szCs w:val="18"/>
                <w:color w:val="auto"/>
              </w:rPr>
              <w:t>Inventories</w:t>
            </w:r>
          </w:p>
        </w:tc>
        <w:tc>
          <w:tcPr>
            <w:tcW w:w="1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424</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(2,663)</w:t>
            </w: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ind w:left="720"/>
              <w:spacing w:after="0"/>
              <w:rPr>
                <w:sz w:val="20"/>
                <w:szCs w:val="20"/>
                <w:color w:val="auto"/>
              </w:rPr>
            </w:pPr>
            <w:r>
              <w:rPr>
                <w:rFonts w:ascii="Arial" w:cs="Arial" w:eastAsia="Arial" w:hAnsi="Arial"/>
                <w:sz w:val="18"/>
                <w:szCs w:val="18"/>
                <w:color w:val="auto"/>
              </w:rPr>
              <w:t>Prepaid expenses and other assets</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(312)</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20,016</w:t>
            </w:r>
          </w:p>
        </w:tc>
        <w:tc>
          <w:tcPr>
            <w:tcW w:w="0" w:type="dxa"/>
            <w:vAlign w:val="bottom"/>
          </w:tcPr>
          <w:p>
            <w:pPr>
              <w:spacing w:after="0"/>
              <w:rPr>
                <w:sz w:val="1"/>
                <w:szCs w:val="1"/>
                <w:color w:val="auto"/>
              </w:rPr>
            </w:pPr>
          </w:p>
        </w:tc>
      </w:tr>
      <w:tr>
        <w:trPr>
          <w:trHeight w:val="216"/>
        </w:trPr>
        <w:tc>
          <w:tcPr>
            <w:tcW w:w="7240" w:type="dxa"/>
            <w:vAlign w:val="bottom"/>
          </w:tcPr>
          <w:p>
            <w:pPr>
              <w:ind w:left="720"/>
              <w:spacing w:after="0"/>
              <w:rPr>
                <w:sz w:val="20"/>
                <w:szCs w:val="20"/>
                <w:color w:val="auto"/>
              </w:rPr>
            </w:pPr>
            <w:r>
              <w:rPr>
                <w:rFonts w:ascii="Arial" w:cs="Arial" w:eastAsia="Arial" w:hAnsi="Arial"/>
                <w:sz w:val="18"/>
                <w:szCs w:val="18"/>
                <w:color w:val="auto"/>
              </w:rPr>
              <w:t>Income tax payable/receivable</w:t>
            </w:r>
          </w:p>
        </w:tc>
        <w:tc>
          <w:tcPr>
            <w:tcW w:w="1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562</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ind w:left="720"/>
              <w:spacing w:after="0"/>
              <w:rPr>
                <w:sz w:val="20"/>
                <w:szCs w:val="20"/>
                <w:color w:val="auto"/>
              </w:rPr>
            </w:pPr>
            <w:r>
              <w:rPr>
                <w:rFonts w:ascii="Arial" w:cs="Arial" w:eastAsia="Arial" w:hAnsi="Arial"/>
                <w:sz w:val="18"/>
                <w:szCs w:val="18"/>
                <w:color w:val="auto"/>
              </w:rPr>
              <w:t>Accounts payable</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(4,825)</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1,682</w:t>
            </w:r>
          </w:p>
        </w:tc>
        <w:tc>
          <w:tcPr>
            <w:tcW w:w="0" w:type="dxa"/>
            <w:vAlign w:val="bottom"/>
          </w:tcPr>
          <w:p>
            <w:pPr>
              <w:spacing w:after="0"/>
              <w:rPr>
                <w:sz w:val="1"/>
                <w:szCs w:val="1"/>
                <w:color w:val="auto"/>
              </w:rPr>
            </w:pPr>
          </w:p>
        </w:tc>
      </w:tr>
      <w:tr>
        <w:trPr>
          <w:trHeight w:val="216"/>
        </w:trPr>
        <w:tc>
          <w:tcPr>
            <w:tcW w:w="7240" w:type="dxa"/>
            <w:vAlign w:val="bottom"/>
          </w:tcPr>
          <w:p>
            <w:pPr>
              <w:ind w:left="720"/>
              <w:spacing w:after="0"/>
              <w:rPr>
                <w:sz w:val="20"/>
                <w:szCs w:val="20"/>
                <w:color w:val="auto"/>
              </w:rPr>
            </w:pPr>
            <w:r>
              <w:rPr>
                <w:rFonts w:ascii="Arial" w:cs="Arial" w:eastAsia="Arial" w:hAnsi="Arial"/>
                <w:sz w:val="18"/>
                <w:szCs w:val="18"/>
                <w:color w:val="auto"/>
              </w:rPr>
              <w:t>Accrued expenses</w:t>
            </w:r>
          </w:p>
        </w:tc>
        <w:tc>
          <w:tcPr>
            <w:tcW w:w="1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(8,046)</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(16,339)</w:t>
            </w: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ind w:left="720"/>
              <w:spacing w:after="0"/>
              <w:rPr>
                <w:sz w:val="20"/>
                <w:szCs w:val="20"/>
                <w:color w:val="auto"/>
              </w:rPr>
            </w:pPr>
            <w:r>
              <w:rPr>
                <w:rFonts w:ascii="Arial" w:cs="Arial" w:eastAsia="Arial" w:hAnsi="Arial"/>
                <w:sz w:val="18"/>
                <w:szCs w:val="18"/>
                <w:color w:val="auto"/>
              </w:rPr>
              <w:t>Deferred revenue</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1,647</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(5,114)</w:t>
            </w:r>
          </w:p>
        </w:tc>
        <w:tc>
          <w:tcPr>
            <w:tcW w:w="0" w:type="dxa"/>
            <w:vAlign w:val="bottom"/>
          </w:tcPr>
          <w:p>
            <w:pPr>
              <w:spacing w:after="0"/>
              <w:rPr>
                <w:sz w:val="1"/>
                <w:szCs w:val="1"/>
                <w:color w:val="auto"/>
              </w:rPr>
            </w:pPr>
          </w:p>
        </w:tc>
      </w:tr>
      <w:tr>
        <w:trPr>
          <w:trHeight w:val="216"/>
        </w:trPr>
        <w:tc>
          <w:tcPr>
            <w:tcW w:w="7240" w:type="dxa"/>
            <w:vAlign w:val="bottom"/>
          </w:tcPr>
          <w:p>
            <w:pPr>
              <w:ind w:left="720"/>
              <w:spacing w:after="0"/>
              <w:rPr>
                <w:sz w:val="20"/>
                <w:szCs w:val="20"/>
                <w:color w:val="auto"/>
              </w:rPr>
            </w:pPr>
            <w:r>
              <w:rPr>
                <w:rFonts w:ascii="Arial" w:cs="Arial" w:eastAsia="Arial" w:hAnsi="Arial"/>
                <w:sz w:val="18"/>
                <w:szCs w:val="18"/>
                <w:color w:val="auto"/>
              </w:rPr>
              <w:t>Other liabilities</w:t>
            </w:r>
          </w:p>
        </w:tc>
        <w:tc>
          <w:tcPr>
            <w:tcW w:w="1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(7,575)</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(87)</w:t>
            </w:r>
          </w:p>
        </w:tc>
        <w:tc>
          <w:tcPr>
            <w:tcW w:w="0" w:type="dxa"/>
            <w:vAlign w:val="bottom"/>
          </w:tcPr>
          <w:p>
            <w:pPr>
              <w:spacing w:after="0"/>
              <w:rPr>
                <w:sz w:val="1"/>
                <w:szCs w:val="1"/>
                <w:color w:val="auto"/>
              </w:rPr>
            </w:pPr>
          </w:p>
        </w:tc>
      </w:tr>
      <w:tr>
        <w:trPr>
          <w:trHeight w:val="27"/>
        </w:trPr>
        <w:tc>
          <w:tcPr>
            <w:tcW w:w="724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24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Net cash provided by operating activities</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30,208</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35,011</w:t>
            </w:r>
          </w:p>
        </w:tc>
        <w:tc>
          <w:tcPr>
            <w:tcW w:w="0" w:type="dxa"/>
            <w:vAlign w:val="bottom"/>
          </w:tcPr>
          <w:p>
            <w:pPr>
              <w:spacing w:after="0"/>
              <w:rPr>
                <w:sz w:val="1"/>
                <w:szCs w:val="1"/>
                <w:color w:val="auto"/>
              </w:rPr>
            </w:pPr>
          </w:p>
        </w:tc>
      </w:tr>
      <w:tr>
        <w:trPr>
          <w:trHeight w:val="223"/>
        </w:trPr>
        <w:tc>
          <w:tcPr>
            <w:tcW w:w="7240" w:type="dxa"/>
            <w:vAlign w:val="bottom"/>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1540" w:type="dxa"/>
            <w:vAlign w:val="bottom"/>
          </w:tcPr>
          <w:p>
            <w:pPr>
              <w:spacing w:after="0"/>
              <w:rPr>
                <w:sz w:val="19"/>
                <w:szCs w:val="19"/>
                <w:color w:val="auto"/>
              </w:rPr>
            </w:pPr>
          </w:p>
        </w:tc>
        <w:tc>
          <w:tcPr>
            <w:tcW w:w="180" w:type="dxa"/>
            <w:vAlign w:val="bottom"/>
            <w:tcBorders>
              <w:top w:val="single" w:sz="8" w:color="auto"/>
            </w:tcBorders>
          </w:tcPr>
          <w:p>
            <w:pPr>
              <w:spacing w:after="0"/>
              <w:rPr>
                <w:sz w:val="19"/>
                <w:szCs w:val="19"/>
                <w:color w:val="auto"/>
              </w:rPr>
            </w:pPr>
          </w:p>
        </w:tc>
        <w:tc>
          <w:tcPr>
            <w:tcW w:w="680" w:type="dxa"/>
            <w:vAlign w:val="bottom"/>
            <w:tcBorders>
              <w:top w:val="single" w:sz="8" w:color="auto"/>
            </w:tcBorders>
          </w:tcPr>
          <w:p>
            <w:pPr>
              <w:spacing w:after="0"/>
              <w:rPr>
                <w:sz w:val="19"/>
                <w:szCs w:val="19"/>
                <w:color w:val="auto"/>
              </w:rPr>
            </w:pP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8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Purchases of property and equipment</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(7,033)</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(13,445)</w:t>
            </w:r>
          </w:p>
        </w:tc>
        <w:tc>
          <w:tcPr>
            <w:tcW w:w="0" w:type="dxa"/>
            <w:vAlign w:val="bottom"/>
          </w:tcPr>
          <w:p>
            <w:pPr>
              <w:spacing w:after="0"/>
              <w:rPr>
                <w:sz w:val="1"/>
                <w:szCs w:val="1"/>
                <w:color w:val="auto"/>
              </w:rPr>
            </w:pPr>
          </w:p>
        </w:tc>
      </w:tr>
      <w:tr>
        <w:trPr>
          <w:trHeight w:val="216"/>
        </w:trPr>
        <w:tc>
          <w:tcPr>
            <w:tcW w:w="7240" w:type="dxa"/>
            <w:vAlign w:val="bottom"/>
          </w:tcPr>
          <w:p>
            <w:pPr>
              <w:spacing w:after="0"/>
              <w:rPr>
                <w:sz w:val="20"/>
                <w:szCs w:val="20"/>
                <w:color w:val="auto"/>
              </w:rPr>
            </w:pPr>
            <w:r>
              <w:rPr>
                <w:rFonts w:ascii="Arial" w:cs="Arial" w:eastAsia="Arial" w:hAnsi="Arial"/>
                <w:sz w:val="18"/>
                <w:szCs w:val="18"/>
                <w:color w:val="auto"/>
              </w:rPr>
              <w:t>Purchases of marketable securities</w:t>
            </w:r>
          </w:p>
        </w:tc>
        <w:tc>
          <w:tcPr>
            <w:tcW w:w="1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(6,853)</w:t>
            </w: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Sales of marketable securities</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26,158</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1,088</w:t>
            </w:r>
          </w:p>
        </w:tc>
        <w:tc>
          <w:tcPr>
            <w:tcW w:w="0" w:type="dxa"/>
            <w:vAlign w:val="bottom"/>
          </w:tcPr>
          <w:p>
            <w:pPr>
              <w:spacing w:after="0"/>
              <w:rPr>
                <w:sz w:val="1"/>
                <w:szCs w:val="1"/>
                <w:color w:val="auto"/>
              </w:rPr>
            </w:pPr>
          </w:p>
        </w:tc>
      </w:tr>
      <w:tr>
        <w:trPr>
          <w:trHeight w:val="216"/>
        </w:trPr>
        <w:tc>
          <w:tcPr>
            <w:tcW w:w="7240" w:type="dxa"/>
            <w:vAlign w:val="bottom"/>
          </w:tcPr>
          <w:p>
            <w:pPr>
              <w:spacing w:after="0"/>
              <w:rPr>
                <w:sz w:val="20"/>
                <w:szCs w:val="20"/>
                <w:color w:val="auto"/>
              </w:rPr>
            </w:pPr>
            <w:r>
              <w:rPr>
                <w:rFonts w:ascii="Arial" w:cs="Arial" w:eastAsia="Arial" w:hAnsi="Arial"/>
                <w:sz w:val="18"/>
                <w:szCs w:val="18"/>
                <w:color w:val="auto"/>
              </w:rPr>
              <w:t>Maturities of marketable securities</w:t>
            </w:r>
          </w:p>
        </w:tc>
        <w:tc>
          <w:tcPr>
            <w:tcW w:w="1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19,570</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8"/>
                <w:szCs w:val="18"/>
                <w:color w:val="auto"/>
              </w:rPr>
              <w:t>12,072</w:t>
            </w: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Purchases of intangible assets</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(193)</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240" w:type="dxa"/>
            <w:vAlign w:val="bottom"/>
          </w:tcPr>
          <w:p>
            <w:pPr>
              <w:spacing w:after="0"/>
              <w:rPr>
                <w:sz w:val="20"/>
                <w:szCs w:val="20"/>
                <w:color w:val="auto"/>
              </w:rPr>
            </w:pPr>
            <w:r>
              <w:rPr>
                <w:rFonts w:ascii="Arial" w:cs="Arial" w:eastAsia="Arial" w:hAnsi="Arial"/>
                <w:sz w:val="18"/>
                <w:szCs w:val="18"/>
                <w:color w:val="auto"/>
              </w:rPr>
              <w:t>Purchase of an equity investment</w:t>
            </w:r>
          </w:p>
        </w:tc>
        <w:tc>
          <w:tcPr>
            <w:tcW w:w="1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(500)</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(5,000)</w:t>
            </w: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Proceeds from eSilicon investment</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14,999</w:t>
            </w:r>
          </w:p>
        </w:tc>
        <w:tc>
          <w:tcPr>
            <w:tcW w:w="0" w:type="dxa"/>
            <w:vAlign w:val="bottom"/>
          </w:tcPr>
          <w:p>
            <w:pPr>
              <w:spacing w:after="0"/>
              <w:rPr>
                <w:sz w:val="1"/>
                <w:szCs w:val="1"/>
                <w:color w:val="auto"/>
              </w:rPr>
            </w:pPr>
          </w:p>
        </w:tc>
      </w:tr>
      <w:tr>
        <w:trPr>
          <w:trHeight w:val="216"/>
        </w:trPr>
        <w:tc>
          <w:tcPr>
            <w:tcW w:w="7240" w:type="dxa"/>
            <w:vAlign w:val="bottom"/>
          </w:tcPr>
          <w:p>
            <w:pPr>
              <w:spacing w:after="0"/>
              <w:rPr>
                <w:sz w:val="20"/>
                <w:szCs w:val="20"/>
                <w:color w:val="auto"/>
              </w:rPr>
            </w:pPr>
            <w:r>
              <w:rPr>
                <w:rFonts w:ascii="Arial" w:cs="Arial" w:eastAsia="Arial" w:hAnsi="Arial"/>
                <w:sz w:val="18"/>
                <w:szCs w:val="18"/>
                <w:color w:val="auto"/>
              </w:rPr>
              <w:t>Acquisitions of business, net of cash acquired</w:t>
            </w:r>
          </w:p>
        </w:tc>
        <w:tc>
          <w:tcPr>
            <w:tcW w:w="1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(206,590)</w:t>
            </w:r>
          </w:p>
        </w:tc>
        <w:tc>
          <w:tcPr>
            <w:tcW w:w="0" w:type="dxa"/>
            <w:vAlign w:val="bottom"/>
          </w:tcPr>
          <w:p>
            <w:pPr>
              <w:spacing w:after="0"/>
              <w:rPr>
                <w:sz w:val="1"/>
                <w:szCs w:val="1"/>
                <w:color w:val="auto"/>
              </w:rPr>
            </w:pPr>
          </w:p>
        </w:tc>
      </w:tr>
      <w:tr>
        <w:trPr>
          <w:trHeight w:val="27"/>
        </w:trPr>
        <w:tc>
          <w:tcPr>
            <w:tcW w:w="724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24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Net cash provided by (used in) investing activities</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38,002</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(203,729)</w:t>
            </w:r>
          </w:p>
        </w:tc>
        <w:tc>
          <w:tcPr>
            <w:tcW w:w="0" w:type="dxa"/>
            <w:vAlign w:val="bottom"/>
          </w:tcPr>
          <w:p>
            <w:pPr>
              <w:spacing w:after="0"/>
              <w:rPr>
                <w:sz w:val="1"/>
                <w:szCs w:val="1"/>
                <w:color w:val="auto"/>
              </w:rPr>
            </w:pPr>
          </w:p>
        </w:tc>
      </w:tr>
      <w:tr>
        <w:trPr>
          <w:trHeight w:val="223"/>
        </w:trPr>
        <w:tc>
          <w:tcPr>
            <w:tcW w:w="7240" w:type="dxa"/>
            <w:vAlign w:val="bottom"/>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1540" w:type="dxa"/>
            <w:vAlign w:val="bottom"/>
          </w:tcPr>
          <w:p>
            <w:pPr>
              <w:spacing w:after="0"/>
              <w:rPr>
                <w:sz w:val="19"/>
                <w:szCs w:val="19"/>
                <w:color w:val="auto"/>
              </w:rPr>
            </w:pPr>
          </w:p>
        </w:tc>
        <w:tc>
          <w:tcPr>
            <w:tcW w:w="180" w:type="dxa"/>
            <w:vAlign w:val="bottom"/>
            <w:tcBorders>
              <w:top w:val="single" w:sz="8" w:color="auto"/>
            </w:tcBorders>
          </w:tcPr>
          <w:p>
            <w:pPr>
              <w:spacing w:after="0"/>
              <w:rPr>
                <w:sz w:val="19"/>
                <w:szCs w:val="19"/>
                <w:color w:val="auto"/>
              </w:rPr>
            </w:pPr>
          </w:p>
        </w:tc>
        <w:tc>
          <w:tcPr>
            <w:tcW w:w="680" w:type="dxa"/>
            <w:vAlign w:val="bottom"/>
            <w:tcBorders>
              <w:top w:val="single" w:sz="8" w:color="auto"/>
            </w:tcBorders>
          </w:tcPr>
          <w:p>
            <w:pPr>
              <w:spacing w:after="0"/>
              <w:rPr>
                <w:sz w:val="19"/>
                <w:szCs w:val="19"/>
                <w:color w:val="auto"/>
              </w:rPr>
            </w:pP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8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Proceeds from exercise of stock options</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337</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983</w:t>
            </w:r>
          </w:p>
        </w:tc>
        <w:tc>
          <w:tcPr>
            <w:tcW w:w="0" w:type="dxa"/>
            <w:vAlign w:val="bottom"/>
          </w:tcPr>
          <w:p>
            <w:pPr>
              <w:spacing w:after="0"/>
              <w:rPr>
                <w:sz w:val="1"/>
                <w:szCs w:val="1"/>
                <w:color w:val="auto"/>
              </w:rPr>
            </w:pPr>
          </w:p>
        </w:tc>
      </w:tr>
      <w:tr>
        <w:trPr>
          <w:trHeight w:val="216"/>
        </w:trPr>
        <w:tc>
          <w:tcPr>
            <w:tcW w:w="7240" w:type="dxa"/>
            <w:vAlign w:val="bottom"/>
          </w:tcPr>
          <w:p>
            <w:pPr>
              <w:spacing w:after="0"/>
              <w:rPr>
                <w:sz w:val="20"/>
                <w:szCs w:val="20"/>
                <w:color w:val="auto"/>
              </w:rPr>
            </w:pPr>
            <w:r>
              <w:rPr>
                <w:rFonts w:ascii="Arial" w:cs="Arial" w:eastAsia="Arial" w:hAnsi="Arial"/>
                <w:sz w:val="18"/>
                <w:szCs w:val="18"/>
                <w:color w:val="auto"/>
              </w:rPr>
              <w:t>Proceeds from employee stock purchase plan purchases</w:t>
            </w:r>
          </w:p>
        </w:tc>
        <w:tc>
          <w:tcPr>
            <w:tcW w:w="1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5,642</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8"/>
                <w:szCs w:val="18"/>
                <w:color w:val="auto"/>
              </w:rPr>
              <w:t>4,112</w:t>
            </w: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Payments for Convertible Notes 2016 retirement</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(17,757)</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240" w:type="dxa"/>
            <w:vAlign w:val="bottom"/>
          </w:tcPr>
          <w:p>
            <w:pPr>
              <w:spacing w:after="0"/>
              <w:rPr>
                <w:sz w:val="20"/>
                <w:szCs w:val="20"/>
                <w:color w:val="auto"/>
              </w:rPr>
            </w:pPr>
            <w:r>
              <w:rPr>
                <w:rFonts w:ascii="Arial" w:cs="Arial" w:eastAsia="Arial" w:hAnsi="Arial"/>
                <w:sz w:val="18"/>
                <w:szCs w:val="18"/>
                <w:color w:val="auto"/>
              </w:rPr>
              <w:t>Payment of obligations related to equipment financing</w:t>
            </w:r>
          </w:p>
        </w:tc>
        <w:tc>
          <w:tcPr>
            <w:tcW w:w="1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(40)</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(98)</w:t>
            </w: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Payment of obligations related to purchase of intangible assets</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(11,952)</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(15,947)</w:t>
            </w:r>
          </w:p>
        </w:tc>
        <w:tc>
          <w:tcPr>
            <w:tcW w:w="0" w:type="dxa"/>
            <w:vAlign w:val="bottom"/>
          </w:tcPr>
          <w:p>
            <w:pPr>
              <w:spacing w:after="0"/>
              <w:rPr>
                <w:sz w:val="1"/>
                <w:szCs w:val="1"/>
                <w:color w:val="auto"/>
              </w:rPr>
            </w:pPr>
          </w:p>
        </w:tc>
      </w:tr>
      <w:tr>
        <w:trPr>
          <w:trHeight w:val="216"/>
        </w:trPr>
        <w:tc>
          <w:tcPr>
            <w:tcW w:w="7240" w:type="dxa"/>
            <w:vAlign w:val="bottom"/>
          </w:tcPr>
          <w:p>
            <w:pPr>
              <w:spacing w:after="0"/>
              <w:rPr>
                <w:sz w:val="20"/>
                <w:szCs w:val="20"/>
                <w:color w:val="auto"/>
              </w:rPr>
            </w:pPr>
            <w:r>
              <w:rPr>
                <w:rFonts w:ascii="Arial" w:cs="Arial" w:eastAsia="Arial" w:hAnsi="Arial"/>
                <w:sz w:val="18"/>
                <w:szCs w:val="18"/>
                <w:color w:val="auto"/>
              </w:rPr>
              <w:t>Proceeds from Capped Call 2016</w:t>
            </w:r>
          </w:p>
        </w:tc>
        <w:tc>
          <w:tcPr>
            <w:tcW w:w="1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3,745</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(76,347)</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(3,036)</w:t>
            </w:r>
          </w:p>
        </w:tc>
        <w:tc>
          <w:tcPr>
            <w:tcW w:w="0" w:type="dxa"/>
            <w:vAlign w:val="bottom"/>
          </w:tcPr>
          <w:p>
            <w:pPr>
              <w:spacing w:after="0"/>
              <w:rPr>
                <w:sz w:val="1"/>
                <w:szCs w:val="1"/>
                <w:color w:val="auto"/>
              </w:rPr>
            </w:pPr>
          </w:p>
        </w:tc>
      </w:tr>
      <w:tr>
        <w:trPr>
          <w:trHeight w:val="230"/>
        </w:trPr>
        <w:tc>
          <w:tcPr>
            <w:tcW w:w="7240" w:type="dxa"/>
            <w:vAlign w:val="bottom"/>
          </w:tcPr>
          <w:p>
            <w:pPr>
              <w:ind w:left="1080"/>
              <w:spacing w:after="0"/>
              <w:rPr>
                <w:sz w:val="20"/>
                <w:szCs w:val="20"/>
                <w:color w:val="auto"/>
              </w:rPr>
            </w:pPr>
            <w:r>
              <w:rPr>
                <w:rFonts w:ascii="Arial" w:cs="Arial" w:eastAsia="Arial" w:hAnsi="Arial"/>
                <w:sz w:val="18"/>
                <w:szCs w:val="18"/>
                <w:color w:val="auto"/>
              </w:rPr>
              <w:t>Net cash used in financing activities</w:t>
            </w:r>
          </w:p>
        </w:tc>
        <w:tc>
          <w:tcPr>
            <w:tcW w:w="1540" w:type="dxa"/>
            <w:vAlign w:val="bottom"/>
          </w:tcPr>
          <w:p>
            <w:pPr>
              <w:spacing w:after="0"/>
              <w:rPr>
                <w:sz w:val="20"/>
                <w:szCs w:val="20"/>
                <w:color w:val="auto"/>
              </w:rPr>
            </w:pPr>
          </w:p>
        </w:tc>
        <w:tc>
          <w:tcPr>
            <w:tcW w:w="180" w:type="dxa"/>
            <w:vAlign w:val="bottom"/>
            <w:tcBorders>
              <w:top w:val="single" w:sz="8" w:color="auto"/>
              <w:bottom w:val="single" w:sz="8" w:color="auto"/>
            </w:tcBorders>
          </w:tcPr>
          <w:p>
            <w:pPr>
              <w:spacing w:after="0"/>
              <w:rPr>
                <w:sz w:val="20"/>
                <w:szCs w:val="20"/>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(96,372)</w:t>
            </w:r>
          </w:p>
        </w:tc>
        <w:tc>
          <w:tcPr>
            <w:tcW w:w="2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8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(13,986)</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Net decrease in cash and cash equivalents</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(28,162)</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(182,704)</w:t>
            </w:r>
          </w:p>
        </w:tc>
        <w:tc>
          <w:tcPr>
            <w:tcW w:w="0" w:type="dxa"/>
            <w:vAlign w:val="bottom"/>
          </w:tcPr>
          <w:p>
            <w:pPr>
              <w:spacing w:after="0"/>
              <w:rPr>
                <w:sz w:val="1"/>
                <w:szCs w:val="1"/>
                <w:color w:val="auto"/>
              </w:rPr>
            </w:pPr>
          </w:p>
        </w:tc>
      </w:tr>
      <w:tr>
        <w:trPr>
          <w:trHeight w:val="216"/>
        </w:trPr>
        <w:tc>
          <w:tcPr>
            <w:tcW w:w="7240" w:type="dxa"/>
            <w:vAlign w:val="bottom"/>
          </w:tcPr>
          <w:p>
            <w:pPr>
              <w:spacing w:after="0"/>
              <w:rPr>
                <w:sz w:val="20"/>
                <w:szCs w:val="20"/>
                <w:color w:val="auto"/>
              </w:rPr>
            </w:pPr>
            <w:r>
              <w:rPr>
                <w:rFonts w:ascii="Arial" w:cs="Arial" w:eastAsia="Arial" w:hAnsi="Arial"/>
                <w:sz w:val="18"/>
                <w:szCs w:val="18"/>
                <w:color w:val="auto"/>
              </w:rPr>
              <w:t>Cash and cash equivalents at beginning of period</w:t>
            </w:r>
          </w:p>
        </w:tc>
        <w:tc>
          <w:tcPr>
            <w:tcW w:w="1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103,529</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8"/>
                <w:szCs w:val="18"/>
                <w:color w:val="auto"/>
              </w:rPr>
              <w:t>282,723</w:t>
            </w:r>
          </w:p>
        </w:tc>
        <w:tc>
          <w:tcPr>
            <w:tcW w:w="0" w:type="dxa"/>
            <w:vAlign w:val="bottom"/>
          </w:tcPr>
          <w:p>
            <w:pPr>
              <w:spacing w:after="0"/>
              <w:rPr>
                <w:sz w:val="1"/>
                <w:szCs w:val="1"/>
                <w:color w:val="auto"/>
              </w:rPr>
            </w:pPr>
          </w:p>
        </w:tc>
      </w:tr>
      <w:tr>
        <w:trPr>
          <w:trHeight w:val="27"/>
        </w:trPr>
        <w:tc>
          <w:tcPr>
            <w:tcW w:w="724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75,367</w:t>
            </w:r>
          </w:p>
        </w:tc>
        <w:tc>
          <w:tcPr>
            <w:tcW w:w="20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100,019</w:t>
            </w:r>
          </w:p>
        </w:tc>
        <w:tc>
          <w:tcPr>
            <w:tcW w:w="0" w:type="dxa"/>
            <w:vAlign w:val="bottom"/>
          </w:tcPr>
          <w:p>
            <w:pPr>
              <w:spacing w:after="0"/>
              <w:rPr>
                <w:sz w:val="1"/>
                <w:szCs w:val="1"/>
                <w:color w:val="auto"/>
              </w:rPr>
            </w:pPr>
          </w:p>
        </w:tc>
      </w:tr>
      <w:tr>
        <w:trPr>
          <w:trHeight w:val="20"/>
        </w:trPr>
        <w:tc>
          <w:tcPr>
            <w:tcW w:w="7240" w:type="dxa"/>
            <w:vAlign w:val="bottom"/>
            <w:vMerge w:val="restart"/>
          </w:tcPr>
          <w:p>
            <w:pPr>
              <w:ind w:left="5460"/>
              <w:spacing w:after="0"/>
              <w:rPr>
                <w:sz w:val="20"/>
                <w:szCs w:val="20"/>
                <w:color w:val="auto"/>
              </w:rPr>
            </w:pPr>
            <w:r>
              <w:rPr>
                <w:rFonts w:ascii="Arial" w:cs="Arial" w:eastAsia="Arial" w:hAnsi="Arial"/>
                <w:sz w:val="18"/>
                <w:szCs w:val="18"/>
                <w:color w:val="auto"/>
              </w:rPr>
              <w:t>6</w:t>
            </w:r>
          </w:p>
        </w:tc>
        <w:tc>
          <w:tcPr>
            <w:tcW w:w="154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7240" w:type="dxa"/>
            <w:vAlign w:val="bottom"/>
            <w:vMerge w:val="continue"/>
          </w:tcPr>
          <w:p>
            <w:pPr>
              <w:spacing w:after="0"/>
              <w:rPr>
                <w:sz w:val="24"/>
                <w:szCs w:val="24"/>
                <w:color w:val="auto"/>
              </w:rPr>
            </w:pPr>
          </w:p>
        </w:tc>
        <w:tc>
          <w:tcPr>
            <w:tcW w:w="15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020"/>
          </w:cols>
          <w:pgMar w:left="440" w:top="270" w:right="439" w:bottom="1440" w:gutter="0" w:footer="0" w:header="0"/>
        </w:sectPr>
      </w:pPr>
    </w:p>
    <w:bookmarkStart w:id="10" w:name="page11"/>
    <w:bookmarkEnd w:id="10"/>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INPHI CORPORATION</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UNAUDITED CONDENSED CONSOLIDATED STATEMENTS OF CASH FLOWS</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40005</wp:posOffset>
            </wp:positionV>
            <wp:extent cx="6995160" cy="825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8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00" w:type="dxa"/>
            <w:vAlign w:val="bottom"/>
            <w:gridSpan w:val="5"/>
          </w:tcPr>
          <w:p>
            <w:pPr>
              <w:ind w:left="40"/>
              <w:spacing w:after="0"/>
              <w:rPr>
                <w:sz w:val="20"/>
                <w:szCs w:val="20"/>
                <w:color w:val="auto"/>
              </w:rPr>
            </w:pPr>
            <w:r>
              <w:rPr>
                <w:rFonts w:ascii="Arial" w:cs="Arial" w:eastAsia="Arial" w:hAnsi="Arial"/>
                <w:sz w:val="14"/>
                <w:szCs w:val="14"/>
                <w:b w:val="1"/>
                <w:bCs w:val="1"/>
                <w:color w:val="auto"/>
              </w:rPr>
              <w:t>Three Months Ended March 31,</w:t>
            </w:r>
          </w:p>
        </w:tc>
      </w:tr>
      <w:tr>
        <w:trPr>
          <w:trHeight w:val="142"/>
        </w:trPr>
        <w:tc>
          <w:tcPr>
            <w:tcW w:w="8720" w:type="dxa"/>
            <w:vAlign w:val="bottom"/>
            <w:tcBorders>
              <w:bottom w:val="single" w:sz="8" w:color="CCEEFF"/>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840" w:type="dxa"/>
            <w:vAlign w:val="bottom"/>
            <w:tcBorders>
              <w:top w:val="single" w:sz="8" w:color="auto"/>
              <w:bottom w:val="single" w:sz="8" w:color="auto"/>
            </w:tcBorders>
          </w:tcPr>
          <w:p>
            <w:pPr>
              <w:jc w:val="right"/>
              <w:ind w:right="235"/>
              <w:spacing w:after="0" w:line="142" w:lineRule="exact"/>
              <w:rPr>
                <w:sz w:val="20"/>
                <w:szCs w:val="20"/>
                <w:color w:val="auto"/>
              </w:rPr>
            </w:pPr>
            <w:r>
              <w:rPr>
                <w:rFonts w:ascii="Arial" w:cs="Arial" w:eastAsia="Arial" w:hAnsi="Arial"/>
                <w:sz w:val="14"/>
                <w:szCs w:val="14"/>
                <w:b w:val="1"/>
                <w:bCs w:val="1"/>
                <w:color w:val="auto"/>
              </w:rPr>
              <w:t>2021</w:t>
            </w:r>
          </w:p>
        </w:tc>
        <w:tc>
          <w:tcPr>
            <w:tcW w:w="480" w:type="dxa"/>
            <w:vAlign w:val="bottom"/>
            <w:tcBorders>
              <w:top w:val="single" w:sz="8" w:color="auto"/>
              <w:bottom w:val="single" w:sz="8" w:color="CCEEFF"/>
            </w:tcBorders>
          </w:tcPr>
          <w:p>
            <w:pPr>
              <w:spacing w:after="0"/>
              <w:rPr>
                <w:sz w:val="12"/>
                <w:szCs w:val="12"/>
                <w:color w:val="auto"/>
              </w:rPr>
            </w:pPr>
          </w:p>
        </w:tc>
        <w:tc>
          <w:tcPr>
            <w:tcW w:w="180" w:type="dxa"/>
            <w:vAlign w:val="bottom"/>
            <w:tcBorders>
              <w:top w:val="single" w:sz="8" w:color="auto"/>
              <w:bottom w:val="single" w:sz="8" w:color="auto"/>
            </w:tcBorders>
          </w:tcPr>
          <w:p>
            <w:pPr>
              <w:spacing w:after="0"/>
              <w:rPr>
                <w:sz w:val="12"/>
                <w:szCs w:val="12"/>
                <w:color w:val="auto"/>
              </w:rPr>
            </w:pPr>
          </w:p>
        </w:tc>
        <w:tc>
          <w:tcPr>
            <w:tcW w:w="640" w:type="dxa"/>
            <w:vAlign w:val="bottom"/>
            <w:tcBorders>
              <w:top w:val="single" w:sz="8" w:color="auto"/>
              <w:bottom w:val="single" w:sz="8" w:color="auto"/>
            </w:tcBorders>
          </w:tcPr>
          <w:p>
            <w:pPr>
              <w:jc w:val="right"/>
              <w:ind w:right="173"/>
              <w:spacing w:after="0" w:line="142" w:lineRule="exact"/>
              <w:rPr>
                <w:sz w:val="20"/>
                <w:szCs w:val="20"/>
                <w:color w:val="auto"/>
              </w:rPr>
            </w:pPr>
            <w:r>
              <w:rPr>
                <w:rFonts w:ascii="Arial" w:cs="Arial" w:eastAsia="Arial" w:hAnsi="Arial"/>
                <w:sz w:val="14"/>
                <w:szCs w:val="14"/>
                <w:b w:val="1"/>
                <w:bCs w:val="1"/>
                <w:color w:val="auto"/>
              </w:rPr>
              <w:t>2020</w:t>
            </w:r>
          </w:p>
        </w:tc>
        <w:tc>
          <w:tcPr>
            <w:tcW w:w="60" w:type="dxa"/>
            <w:vAlign w:val="bottom"/>
            <w:tcBorders>
              <w:bottom w:val="single" w:sz="8" w:color="CCEEFF"/>
            </w:tcBorders>
          </w:tcPr>
          <w:p>
            <w:pPr>
              <w:spacing w:after="0"/>
              <w:rPr>
                <w:sz w:val="12"/>
                <w:szCs w:val="12"/>
                <w:color w:val="auto"/>
              </w:rPr>
            </w:pPr>
          </w:p>
        </w:tc>
      </w:tr>
      <w:tr>
        <w:trPr>
          <w:trHeight w:val="196"/>
        </w:trPr>
        <w:tc>
          <w:tcPr>
            <w:tcW w:w="872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Supplemental cash flow information:</w:t>
            </w:r>
          </w:p>
        </w:tc>
        <w:tc>
          <w:tcPr>
            <w:tcW w:w="10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r>
      <w:tr>
        <w:trPr>
          <w:trHeight w:val="216"/>
        </w:trPr>
        <w:tc>
          <w:tcPr>
            <w:tcW w:w="8720" w:type="dxa"/>
            <w:vAlign w:val="bottom"/>
          </w:tcPr>
          <w:p>
            <w:pPr>
              <w:ind w:left="360"/>
              <w:spacing w:after="0"/>
              <w:rPr>
                <w:sz w:val="20"/>
                <w:szCs w:val="20"/>
                <w:color w:val="auto"/>
              </w:rPr>
            </w:pPr>
            <w:r>
              <w:rPr>
                <w:rFonts w:ascii="Arial" w:cs="Arial" w:eastAsia="Arial" w:hAnsi="Arial"/>
                <w:sz w:val="18"/>
                <w:szCs w:val="18"/>
                <w:color w:val="auto"/>
              </w:rPr>
              <w:t>Interest paid</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320" w:type="dxa"/>
            <w:vAlign w:val="bottom"/>
            <w:gridSpan w:val="2"/>
          </w:tcPr>
          <w:p>
            <w:pPr>
              <w:jc w:val="right"/>
              <w:ind w:right="480"/>
              <w:spacing w:after="0"/>
              <w:rPr>
                <w:sz w:val="20"/>
                <w:szCs w:val="20"/>
                <w:color w:val="auto"/>
              </w:rPr>
            </w:pPr>
            <w:r>
              <w:rPr>
                <w:rFonts w:ascii="Arial" w:cs="Arial" w:eastAsia="Arial" w:hAnsi="Arial"/>
                <w:sz w:val="18"/>
                <w:szCs w:val="18"/>
                <w:color w:val="auto"/>
              </w:rPr>
              <w:t>979</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rPr>
              <w:t>1,399</w:t>
            </w:r>
          </w:p>
        </w:tc>
      </w:tr>
      <w:tr>
        <w:trPr>
          <w:trHeight w:val="216"/>
        </w:trPr>
        <w:tc>
          <w:tcPr>
            <w:tcW w:w="8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Income taxes paid</w:t>
            </w: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83</w:t>
            </w:r>
          </w:p>
        </w:tc>
        <w:tc>
          <w:tcPr>
            <w:tcW w:w="1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586</w:t>
            </w:r>
          </w:p>
        </w:tc>
      </w:tr>
      <w:tr>
        <w:trPr>
          <w:trHeight w:val="216"/>
        </w:trPr>
        <w:tc>
          <w:tcPr>
            <w:tcW w:w="8720" w:type="dxa"/>
            <w:vAlign w:val="bottom"/>
          </w:tcPr>
          <w:p>
            <w:pPr>
              <w:spacing w:after="0"/>
              <w:rPr>
                <w:sz w:val="20"/>
                <w:szCs w:val="20"/>
                <w:color w:val="auto"/>
              </w:rPr>
            </w:pPr>
            <w:r>
              <w:rPr>
                <w:rFonts w:ascii="Arial" w:cs="Arial" w:eastAsia="Arial" w:hAnsi="Arial"/>
                <w:sz w:val="18"/>
                <w:szCs w:val="18"/>
                <w:color w:val="auto"/>
              </w:rPr>
              <w:t>Supplemental disclosure of non-cash investing and financing activities:</w:t>
            </w:r>
          </w:p>
        </w:tc>
        <w:tc>
          <w:tcPr>
            <w:tcW w:w="10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8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Software license intangible assets</w:t>
            </w: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347</w:t>
            </w:r>
          </w:p>
        </w:tc>
        <w:tc>
          <w:tcPr>
            <w:tcW w:w="1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94</w:t>
            </w:r>
          </w:p>
        </w:tc>
      </w:tr>
      <w:tr>
        <w:trPr>
          <w:trHeight w:val="216"/>
        </w:trPr>
        <w:tc>
          <w:tcPr>
            <w:tcW w:w="8720" w:type="dxa"/>
            <w:vAlign w:val="bottom"/>
          </w:tcPr>
          <w:p>
            <w:pPr>
              <w:ind w:left="360"/>
              <w:spacing w:after="0"/>
              <w:rPr>
                <w:sz w:val="20"/>
                <w:szCs w:val="20"/>
                <w:color w:val="auto"/>
              </w:rPr>
            </w:pPr>
            <w:r>
              <w:rPr>
                <w:rFonts w:ascii="Arial" w:cs="Arial" w:eastAsia="Arial" w:hAnsi="Arial"/>
                <w:sz w:val="18"/>
                <w:szCs w:val="18"/>
                <w:color w:val="auto"/>
              </w:rPr>
              <w:t>Settlement of net receivable from eSilicon as part of purchase consideration</w:t>
            </w:r>
          </w:p>
        </w:tc>
        <w:tc>
          <w:tcPr>
            <w:tcW w:w="100" w:type="dxa"/>
            <w:vAlign w:val="bottom"/>
          </w:tcPr>
          <w:p>
            <w:pPr>
              <w:spacing w:after="0"/>
              <w:rPr>
                <w:sz w:val="18"/>
                <w:szCs w:val="18"/>
                <w:color w:val="auto"/>
              </w:rPr>
            </w:pPr>
          </w:p>
        </w:tc>
        <w:tc>
          <w:tcPr>
            <w:tcW w:w="132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rPr>
              <w:t>5,250</w:t>
            </w:r>
          </w:p>
        </w:tc>
      </w:tr>
      <w:tr>
        <w:trPr>
          <w:trHeight w:val="216"/>
        </w:trPr>
        <w:tc>
          <w:tcPr>
            <w:tcW w:w="8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Purchase of marketable securities not paid</w:t>
            </w: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5,167</w:t>
            </w:r>
          </w:p>
        </w:tc>
      </w:tr>
      <w:tr>
        <w:trPr>
          <w:trHeight w:val="230"/>
        </w:trPr>
        <w:tc>
          <w:tcPr>
            <w:tcW w:w="8720" w:type="dxa"/>
            <w:vAlign w:val="bottom"/>
          </w:tcPr>
          <w:p>
            <w:pPr>
              <w:ind w:left="360"/>
              <w:spacing w:after="0"/>
              <w:rPr>
                <w:sz w:val="20"/>
                <w:szCs w:val="20"/>
                <w:color w:val="auto"/>
              </w:rPr>
            </w:pPr>
            <w:r>
              <w:rPr>
                <w:rFonts w:ascii="Arial" w:cs="Arial" w:eastAsia="Arial" w:hAnsi="Arial"/>
                <w:sz w:val="18"/>
                <w:szCs w:val="18"/>
                <w:color w:val="auto"/>
              </w:rPr>
              <w:t>Conversion of convertible debt to common stock</w:t>
            </w:r>
          </w:p>
        </w:tc>
        <w:tc>
          <w:tcPr>
            <w:tcW w:w="100" w:type="dxa"/>
            <w:vAlign w:val="bottom"/>
          </w:tcPr>
          <w:p>
            <w:pPr>
              <w:spacing w:after="0"/>
              <w:rPr>
                <w:sz w:val="20"/>
                <w:szCs w:val="20"/>
                <w:color w:val="auto"/>
              </w:rPr>
            </w:pPr>
          </w:p>
        </w:tc>
        <w:tc>
          <w:tcPr>
            <w:tcW w:w="1320" w:type="dxa"/>
            <w:vAlign w:val="bottom"/>
            <w:gridSpan w:val="2"/>
          </w:tcPr>
          <w:p>
            <w:pPr>
              <w:jc w:val="right"/>
              <w:ind w:right="480"/>
              <w:spacing w:after="0"/>
              <w:rPr>
                <w:sz w:val="20"/>
                <w:szCs w:val="20"/>
                <w:color w:val="auto"/>
              </w:rPr>
            </w:pPr>
            <w:r>
              <w:rPr>
                <w:rFonts w:ascii="Arial" w:cs="Arial" w:eastAsia="Arial" w:hAnsi="Arial"/>
                <w:sz w:val="18"/>
                <w:szCs w:val="18"/>
                <w:color w:val="auto"/>
              </w:rPr>
              <w:t>19,796</w:t>
            </w:r>
          </w:p>
        </w:tc>
        <w:tc>
          <w:tcPr>
            <w:tcW w:w="180" w:type="dxa"/>
            <w:vAlign w:val="bottom"/>
          </w:tcPr>
          <w:p>
            <w:pPr>
              <w:spacing w:after="0"/>
              <w:rPr>
                <w:sz w:val="20"/>
                <w:szCs w:val="20"/>
                <w:color w:val="auto"/>
              </w:rPr>
            </w:pPr>
          </w:p>
        </w:tc>
        <w:tc>
          <w:tcPr>
            <w:tcW w:w="700" w:type="dxa"/>
            <w:vAlign w:val="bottom"/>
            <w:gridSpan w:val="2"/>
          </w:tcPr>
          <w:p>
            <w:pPr>
              <w:ind w:left="360"/>
              <w:spacing w:after="0"/>
              <w:rPr>
                <w:sz w:val="20"/>
                <w:szCs w:val="20"/>
                <w:color w:val="auto"/>
              </w:rPr>
            </w:pPr>
            <w:r>
              <w:rPr>
                <w:rFonts w:ascii="Arial" w:cs="Arial" w:eastAsia="Arial" w:hAnsi="Arial"/>
                <w:sz w:val="18"/>
                <w:szCs w:val="18"/>
                <w:color w:val="auto"/>
              </w:rPr>
              <w:t>—</w:t>
            </w:r>
          </w:p>
        </w:tc>
      </w:tr>
    </w:tbl>
    <w:p>
      <w:pPr>
        <w:spacing w:after="0" w:line="187"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The accompanying notes are an integral part of these unaudited condensed consolidated financial statements.</w:t>
      </w:r>
    </w:p>
    <w:p>
      <w:pPr>
        <w:spacing w:after="0" w:line="158"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20"/>
          </w:cols>
          <w:pgMar w:left="440" w:top="270" w:right="4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INPHI CORPORATION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(Dollars in thousands except share and per share amounts)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40005</wp:posOffset>
            </wp:positionV>
            <wp:extent cx="6995160" cy="825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2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 Organization and Basis of Presentation</w:t>
      </w:r>
    </w:p>
    <w:p>
      <w:pPr>
        <w:spacing w:after="0" w:line="121" w:lineRule="exact"/>
        <w:rPr>
          <w:sz w:val="20"/>
          <w:szCs w:val="20"/>
          <w:color w:val="auto"/>
        </w:rPr>
      </w:pPr>
    </w:p>
    <w:p>
      <w:pPr>
        <w:ind w:firstLine="440"/>
        <w:spacing w:after="0" w:line="255" w:lineRule="auto"/>
        <w:rPr>
          <w:sz w:val="20"/>
          <w:szCs w:val="20"/>
          <w:color w:val="auto"/>
        </w:rPr>
      </w:pPr>
      <w:r>
        <w:rPr>
          <w:rFonts w:ascii="Arial" w:cs="Arial" w:eastAsia="Arial" w:hAnsi="Arial"/>
          <w:sz w:val="18"/>
          <w:szCs w:val="18"/>
          <w:color w:val="auto"/>
        </w:rPr>
        <w:t>Inphi Corporation (the “Company”), a Delaware corporation, was incorporated in November 2000. The Company is a fabless provider of high-speed analog and mixed signal semiconductor solutions for the communications and cloud markets. The Company’s semiconductor solutions are designed to address bandwidth bottlenecks in networks, maximize throughput and minimize latency in computing environments and enable the rollout of next generation communications and cloud infrastructures. In addition, the semiconductor solutions provide a vital high-speed interface between analog signals and digital information in high-performance systems such as telecommunications transport systems, enterprise networking equipment and data centers.</w:t>
      </w:r>
    </w:p>
    <w:p>
      <w:pPr>
        <w:spacing w:after="0" w:line="192" w:lineRule="exact"/>
        <w:rPr>
          <w:sz w:val="20"/>
          <w:szCs w:val="20"/>
          <w:color w:val="auto"/>
        </w:rPr>
      </w:pPr>
    </w:p>
    <w:p>
      <w:pPr>
        <w:ind w:right="300" w:firstLine="440"/>
        <w:spacing w:after="0" w:line="277" w:lineRule="auto"/>
        <w:rPr>
          <w:sz w:val="20"/>
          <w:szCs w:val="20"/>
          <w:color w:val="auto"/>
        </w:rPr>
      </w:pPr>
      <w:r>
        <w:rPr>
          <w:rFonts w:ascii="Arial" w:cs="Arial" w:eastAsia="Arial" w:hAnsi="Arial"/>
          <w:sz w:val="18"/>
          <w:szCs w:val="18"/>
          <w:color w:val="auto"/>
        </w:rPr>
        <w:t>On January 10, 2020, the Company completed the acquisition of eSilicon Corporation (“eSilicon”) for $214,644. The revenue and expenses of eSilicon from January 10, 2020 onwards are included in the condensed consolidated statements of operations.</w:t>
      </w:r>
    </w:p>
    <w:p>
      <w:pPr>
        <w:spacing w:after="0" w:line="170" w:lineRule="exact"/>
        <w:rPr>
          <w:sz w:val="20"/>
          <w:szCs w:val="20"/>
          <w:color w:val="auto"/>
        </w:rPr>
      </w:pPr>
    </w:p>
    <w:p>
      <w:pPr>
        <w:ind w:right="660" w:firstLine="440"/>
        <w:spacing w:after="0" w:line="342" w:lineRule="auto"/>
        <w:rPr>
          <w:sz w:val="20"/>
          <w:szCs w:val="20"/>
          <w:color w:val="auto"/>
        </w:rPr>
      </w:pPr>
      <w:r>
        <w:rPr>
          <w:rFonts w:ascii="Arial" w:cs="Arial" w:eastAsia="Arial" w:hAnsi="Arial"/>
          <w:sz w:val="16"/>
          <w:szCs w:val="16"/>
          <w:color w:val="auto"/>
        </w:rPr>
        <w:t>On May 18, 2020, the Company purchased certain assets and rights of Arrive Technologies, Inc. (“Arrive”) for $20,141. The revenue and expenses related to this purchase from May 18, 2020 onwards are included in the condensed consolidated statements of operations.</w:t>
      </w:r>
    </w:p>
    <w:p>
      <w:pPr>
        <w:spacing w:after="0" w:line="124" w:lineRule="exact"/>
        <w:rPr>
          <w:sz w:val="20"/>
          <w:szCs w:val="20"/>
          <w:color w:val="auto"/>
        </w:rPr>
      </w:pPr>
    </w:p>
    <w:p>
      <w:pPr>
        <w:ind w:firstLine="440"/>
        <w:spacing w:after="0" w:line="275" w:lineRule="auto"/>
        <w:rPr>
          <w:sz w:val="20"/>
          <w:szCs w:val="20"/>
          <w:color w:val="auto"/>
        </w:rPr>
      </w:pPr>
      <w:r>
        <w:rPr>
          <w:rFonts w:ascii="Arial" w:cs="Arial" w:eastAsia="Arial" w:hAnsi="Arial"/>
          <w:sz w:val="17"/>
          <w:szCs w:val="17"/>
          <w:color w:val="auto"/>
        </w:rPr>
        <w:t>The interim unaudited condensed consolidated financial statements have been prepared in accordance with accounting principles generally accepted in the United States (“GAAP”) for interim financial information. They do not include all of the information and footnotes required by GAAP for complete financial statements. Therefore, these interim unaudited condensed consolidated financial statements should be read in conjunction with the Company’s audited consolidated financial statements and notes thereto for the year ended December 31, 2020, included in the Company’s Annual Report on Form 10-K filed with the Securities and Exchange Commission (“SEC”) on February 25, 2021.</w:t>
      </w:r>
    </w:p>
    <w:p>
      <w:pPr>
        <w:spacing w:after="0" w:line="176" w:lineRule="exact"/>
        <w:rPr>
          <w:sz w:val="20"/>
          <w:szCs w:val="20"/>
          <w:color w:val="auto"/>
        </w:rPr>
      </w:pPr>
    </w:p>
    <w:p>
      <w:pPr>
        <w:ind w:right="180" w:firstLine="440"/>
        <w:spacing w:after="0" w:line="301" w:lineRule="auto"/>
        <w:rPr>
          <w:sz w:val="20"/>
          <w:szCs w:val="20"/>
          <w:color w:val="auto"/>
        </w:rPr>
      </w:pPr>
      <w:r>
        <w:rPr>
          <w:rFonts w:ascii="Arial" w:cs="Arial" w:eastAsia="Arial" w:hAnsi="Arial"/>
          <w:sz w:val="16"/>
          <w:szCs w:val="16"/>
          <w:color w:val="auto"/>
        </w:rPr>
        <w:t>The interim condensed consolidated financial statements included herein are unaudited; however, they contain all normal recurring accruals and adjustments that, in the opinion of management, are necessary to state fairly the Company’s consolidated financial position as of March 31, 2021, its consolidated results of operations, stockholders’ equity and cash flows for the three months ended March 31, 2021 and 2020. The results of operations for the three months ended March 31, 2021 are not necessarily indicative of the results to be expected for future quarters or the full year.</w:t>
      </w:r>
    </w:p>
    <w:p>
      <w:pPr>
        <w:spacing w:after="0" w:line="2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 Recent Accounting Pronouncements</w:t>
      </w:r>
    </w:p>
    <w:p>
      <w:pPr>
        <w:spacing w:after="0" w:line="121" w:lineRule="exact"/>
        <w:rPr>
          <w:sz w:val="20"/>
          <w:szCs w:val="20"/>
          <w:color w:val="auto"/>
        </w:rPr>
      </w:pPr>
    </w:p>
    <w:p>
      <w:pPr>
        <w:ind w:right="60" w:firstLine="440"/>
        <w:spacing w:after="0" w:line="257" w:lineRule="auto"/>
        <w:rPr>
          <w:sz w:val="20"/>
          <w:szCs w:val="20"/>
          <w:color w:val="auto"/>
        </w:rPr>
      </w:pPr>
      <w:r>
        <w:rPr>
          <w:rFonts w:ascii="Arial" w:cs="Arial" w:eastAsia="Arial" w:hAnsi="Arial"/>
          <w:sz w:val="18"/>
          <w:szCs w:val="18"/>
          <w:color w:val="auto"/>
        </w:rPr>
        <w:t xml:space="preserve">In December 2019, the FASB issued guidance that simplifies the accounting for income taxes as part of FASB’s overall initiative to reduce complexity in accounting standards. Amendments include removal of certain exceptions to the general principles of ASC 740, </w:t>
      </w:r>
      <w:r>
        <w:rPr>
          <w:rFonts w:ascii="Arial" w:cs="Arial" w:eastAsia="Arial" w:hAnsi="Arial"/>
          <w:sz w:val="18"/>
          <w:szCs w:val="18"/>
          <w:i w:val="1"/>
          <w:iCs w:val="1"/>
          <w:color w:val="auto"/>
        </w:rPr>
        <w:t>Income Taxe</w:t>
      </w:r>
      <w:r>
        <w:rPr>
          <w:rFonts w:ascii="Arial" w:cs="Arial" w:eastAsia="Arial" w:hAnsi="Arial"/>
          <w:sz w:val="18"/>
          <w:szCs w:val="18"/>
          <w:color w:val="auto"/>
        </w:rPr>
        <w:t>s, and simplification in general other areas such as accounting for a franchise tax (or similar tax) that is partially based on income. The guidance was effective for fiscal years beginning after December 15, 2020. The Company adopted this guidance on January 1, 2021. The adoption of this standard did not have a material impact on the Company’s condensed consolidated financial statements.</w:t>
      </w:r>
    </w:p>
    <w:p>
      <w:pPr>
        <w:spacing w:after="0" w:line="188" w:lineRule="exact"/>
        <w:rPr>
          <w:sz w:val="20"/>
          <w:szCs w:val="20"/>
          <w:color w:val="auto"/>
        </w:rPr>
      </w:pPr>
    </w:p>
    <w:p>
      <w:pPr>
        <w:ind w:right="40" w:firstLine="440"/>
        <w:spacing w:after="0" w:line="254" w:lineRule="auto"/>
        <w:rPr>
          <w:sz w:val="20"/>
          <w:szCs w:val="20"/>
          <w:color w:val="auto"/>
        </w:rPr>
      </w:pPr>
      <w:r>
        <w:rPr>
          <w:rFonts w:ascii="Arial" w:cs="Arial" w:eastAsia="Arial" w:hAnsi="Arial"/>
          <w:sz w:val="18"/>
          <w:szCs w:val="18"/>
          <w:color w:val="auto"/>
        </w:rPr>
        <w:t>In August 2020, the FASB issued guidance that simplifies the accounting for certain financial instruments with characteristics of liabilities and equity, including convertible instruments and contracts on an entity’s own equity. The guidance will reduce the number of accounting models for convertible debt instruments and convertible preferred stock. This will result in fewer embedded conversion features being separately recognized from the host contract compared with current GAAP. More convertible debt instruments will be reported as a single liability instrument, and more convertible preferred stock will be reported as a single equity instrument with no separate accounting for embedded conversion features. The FASB also made changes to the disclosures for convertible instruments and earnings-per-share guidance. The guidance will be effective for fiscal years beginning after December 15, 2021, though early adoption is permitted. The Company is currently evaluating the impact that this new guidance will have on its consolidated financial statements.</w:t>
      </w:r>
    </w:p>
    <w:p>
      <w:pPr>
        <w:spacing w:after="0" w:line="29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Acquisitions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eSilicon</w:t>
      </w:r>
    </w:p>
    <w:p>
      <w:pPr>
        <w:spacing w:after="0" w:line="117" w:lineRule="exact"/>
        <w:rPr>
          <w:sz w:val="20"/>
          <w:szCs w:val="20"/>
          <w:color w:val="auto"/>
        </w:rPr>
      </w:pPr>
    </w:p>
    <w:p>
      <w:pPr>
        <w:ind w:right="420" w:firstLine="440"/>
        <w:spacing w:after="0" w:line="301" w:lineRule="auto"/>
        <w:rPr>
          <w:sz w:val="20"/>
          <w:szCs w:val="20"/>
          <w:color w:val="auto"/>
        </w:rPr>
      </w:pPr>
      <w:r>
        <w:rPr>
          <w:rFonts w:ascii="Arial" w:cs="Arial" w:eastAsia="Arial" w:hAnsi="Arial"/>
          <w:sz w:val="16"/>
          <w:szCs w:val="16"/>
          <w:color w:val="auto"/>
        </w:rPr>
        <w:t>On January 10, 2020, the Company completed the acquisition of eSilicon for approximately $214,644. The Company acquired eSilicon to accelerate the Company’s roadmap in developing electro-optics solutions for cloud and telecommunications customers. An amount of $10,000 was placed in an escrow fund for up to 36 months in certain circumstances following the closing for the satisfaction of certain potential indemnification claims. The condensed consolidated financial statements include the results of operations of eSilicon from the acquisition date.</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00"/>
          </w:cols>
          <w:pgMar w:left="440" w:top="270" w:right="459" w:bottom="1440" w:gutter="0" w:footer="0" w:header="0"/>
        </w:sectPr>
      </w:pPr>
    </w:p>
    <w:bookmarkStart w:id="12" w:name="page13"/>
    <w:bookmarkEnd w:id="1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INPHI CORPORATION</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(Dollars in thousands except share and per share amounts)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40005</wp:posOffset>
            </wp:positionV>
            <wp:extent cx="6995160" cy="825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339" w:lineRule="exact"/>
        <w:rPr>
          <w:sz w:val="20"/>
          <w:szCs w:val="20"/>
          <w:color w:val="auto"/>
        </w:rPr>
      </w:pPr>
    </w:p>
    <w:p>
      <w:pPr>
        <w:ind w:right="320" w:firstLine="440"/>
        <w:spacing w:after="0" w:line="259" w:lineRule="auto"/>
        <w:rPr>
          <w:sz w:val="20"/>
          <w:szCs w:val="20"/>
          <w:color w:val="auto"/>
        </w:rPr>
      </w:pPr>
      <w:r>
        <w:rPr>
          <w:rFonts w:ascii="Arial" w:cs="Arial" w:eastAsia="Arial" w:hAnsi="Arial"/>
          <w:sz w:val="18"/>
          <w:szCs w:val="18"/>
          <w:color w:val="auto"/>
        </w:rPr>
        <w:t>The acquisition has been accounted for using the purchase method of accounting, which requires, among other things, that assets acquired and liabilities assumed be recognized at their fair values as of the acquisition date. The Company allocated the purchase price to tangible and intangible assets acquired and liabilities assumed based on their estimated fair values. The fair value of identifiable intangible assets acquired was based on estimates and assumptions made by management at the time of acquisition.</w:t>
      </w:r>
    </w:p>
    <w:p>
      <w:pPr>
        <w:spacing w:after="0" w:line="7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table summarizes the purchase price allocation as of the acquisition date:</w:t>
      </w:r>
    </w:p>
    <w:p>
      <w:pPr>
        <w:spacing w:after="0" w:line="266" w:lineRule="exact"/>
        <w:rPr>
          <w:sz w:val="20"/>
          <w:szCs w:val="20"/>
          <w:color w:val="auto"/>
        </w:rPr>
      </w:pPr>
    </w:p>
    <w:tbl>
      <w:tblPr>
        <w:tblLayout w:type="fixed"/>
        <w:tblInd w:w="176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704</w:t>
            </w:r>
          </w:p>
        </w:tc>
      </w:tr>
      <w:tr>
        <w:trPr>
          <w:trHeight w:val="216"/>
        </w:trPr>
        <w:tc>
          <w:tcPr>
            <w:tcW w:w="20" w:type="dxa"/>
            <w:vAlign w:val="bottom"/>
          </w:tcPr>
          <w:p>
            <w:pPr>
              <w:spacing w:after="0"/>
              <w:rPr>
                <w:sz w:val="18"/>
                <w:szCs w:val="18"/>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Restricted cash</w:t>
            </w:r>
          </w:p>
        </w:tc>
        <w:tc>
          <w:tcPr>
            <w:tcW w:w="10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2,100</w:t>
            </w: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Accounts receivable</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5,750</w:t>
            </w:r>
          </w:p>
        </w:tc>
      </w:tr>
      <w:tr>
        <w:trPr>
          <w:trHeight w:val="216"/>
        </w:trPr>
        <w:tc>
          <w:tcPr>
            <w:tcW w:w="20" w:type="dxa"/>
            <w:vAlign w:val="bottom"/>
          </w:tcPr>
          <w:p>
            <w:pPr>
              <w:spacing w:after="0"/>
              <w:rPr>
                <w:sz w:val="18"/>
                <w:szCs w:val="18"/>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21,086</w:t>
            </w: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21,012</w:t>
            </w:r>
          </w:p>
        </w:tc>
      </w:tr>
      <w:tr>
        <w:trPr>
          <w:trHeight w:val="216"/>
        </w:trPr>
        <w:tc>
          <w:tcPr>
            <w:tcW w:w="20" w:type="dxa"/>
            <w:vAlign w:val="bottom"/>
          </w:tcPr>
          <w:p>
            <w:pPr>
              <w:spacing w:after="0"/>
              <w:rPr>
                <w:sz w:val="18"/>
                <w:szCs w:val="18"/>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Property and equipment</w:t>
            </w:r>
          </w:p>
        </w:tc>
        <w:tc>
          <w:tcPr>
            <w:tcW w:w="10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7,106</w:t>
            </w: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Intangible assets</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148,720</w:t>
            </w:r>
          </w:p>
        </w:tc>
      </w:tr>
      <w:tr>
        <w:trPr>
          <w:trHeight w:val="216"/>
        </w:trPr>
        <w:tc>
          <w:tcPr>
            <w:tcW w:w="20" w:type="dxa"/>
            <w:vAlign w:val="bottom"/>
          </w:tcPr>
          <w:p>
            <w:pPr>
              <w:spacing w:after="0"/>
              <w:rPr>
                <w:sz w:val="18"/>
                <w:szCs w:val="18"/>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Right of use asset</w:t>
            </w:r>
          </w:p>
        </w:tc>
        <w:tc>
          <w:tcPr>
            <w:tcW w:w="10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1,022</w:t>
            </w: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252</w:t>
            </w:r>
          </w:p>
        </w:tc>
      </w:tr>
      <w:tr>
        <w:trPr>
          <w:trHeight w:val="216"/>
        </w:trPr>
        <w:tc>
          <w:tcPr>
            <w:tcW w:w="20" w:type="dxa"/>
            <w:vAlign w:val="bottom"/>
          </w:tcPr>
          <w:p>
            <w:pPr>
              <w:spacing w:after="0"/>
              <w:rPr>
                <w:sz w:val="18"/>
                <w:szCs w:val="18"/>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Accounts payable</w:t>
            </w:r>
          </w:p>
        </w:tc>
        <w:tc>
          <w:tcPr>
            <w:tcW w:w="100" w:type="dxa"/>
            <w:vAlign w:val="bottom"/>
          </w:tcPr>
          <w:p>
            <w:pPr>
              <w:spacing w:after="0"/>
              <w:rPr>
                <w:sz w:val="18"/>
                <w:szCs w:val="18"/>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8"/>
                <w:szCs w:val="18"/>
                <w:color w:val="auto"/>
              </w:rPr>
              <w:t>(9,105)</w:t>
            </w: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Accrued expenses</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5"/>
              </w:rPr>
              <w:t>(25,060)</w:t>
            </w:r>
          </w:p>
        </w:tc>
      </w:tr>
      <w:tr>
        <w:trPr>
          <w:trHeight w:val="216"/>
        </w:trPr>
        <w:tc>
          <w:tcPr>
            <w:tcW w:w="20" w:type="dxa"/>
            <w:vAlign w:val="bottom"/>
          </w:tcPr>
          <w:p>
            <w:pPr>
              <w:spacing w:after="0"/>
              <w:rPr>
                <w:sz w:val="18"/>
                <w:szCs w:val="18"/>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Deferred revenue</w:t>
            </w:r>
          </w:p>
        </w:tc>
        <w:tc>
          <w:tcPr>
            <w:tcW w:w="100" w:type="dxa"/>
            <w:vAlign w:val="bottom"/>
          </w:tcPr>
          <w:p>
            <w:pPr>
              <w:spacing w:after="0"/>
              <w:rPr>
                <w:sz w:val="18"/>
                <w:szCs w:val="18"/>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8"/>
                <w:szCs w:val="18"/>
                <w:color w:val="auto"/>
              </w:rPr>
              <w:t>(7,501)</w:t>
            </w: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Other current liabilities</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5"/>
              </w:rPr>
              <w:t>(13,886)</w:t>
            </w:r>
          </w:p>
        </w:tc>
      </w:tr>
      <w:tr>
        <w:trPr>
          <w:trHeight w:val="223"/>
        </w:trPr>
        <w:tc>
          <w:tcPr>
            <w:tcW w:w="20" w:type="dxa"/>
            <w:vAlign w:val="bottom"/>
          </w:tcPr>
          <w:p>
            <w:pPr>
              <w:spacing w:after="0"/>
              <w:rPr>
                <w:sz w:val="19"/>
                <w:szCs w:val="19"/>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Other liabilities</w:t>
            </w:r>
          </w:p>
        </w:tc>
        <w:tc>
          <w:tcPr>
            <w:tcW w:w="100" w:type="dxa"/>
            <w:vAlign w:val="bottom"/>
          </w:tcPr>
          <w:p>
            <w:pPr>
              <w:spacing w:after="0"/>
              <w:rPr>
                <w:sz w:val="19"/>
                <w:szCs w:val="19"/>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8"/>
                <w:szCs w:val="18"/>
                <w:color w:val="auto"/>
              </w:rPr>
              <w:t>(3,567)</w:t>
            </w: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Total identifiable net assets</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148,633</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Goodwill</w:t>
            </w: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66,011</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Net assets acquired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214,644</w:t>
            </w:r>
          </w:p>
        </w:tc>
      </w:tr>
      <w:tr>
        <w:trPr>
          <w:trHeight w:val="20"/>
        </w:trPr>
        <w:tc>
          <w:tcPr>
            <w:tcW w:w="20" w:type="dxa"/>
            <w:vAlign w:val="bottom"/>
          </w:tcPr>
          <w:p>
            <w:pPr>
              <w:spacing w:after="0" w:line="20" w:lineRule="exact"/>
              <w:rPr>
                <w:sz w:val="1"/>
                <w:szCs w:val="1"/>
                <w:color w:val="auto"/>
              </w:rPr>
            </w:pPr>
          </w:p>
        </w:tc>
        <w:tc>
          <w:tcPr>
            <w:tcW w:w="66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15" w:lineRule="exact"/>
        <w:rPr>
          <w:sz w:val="20"/>
          <w:szCs w:val="20"/>
          <w:color w:val="auto"/>
        </w:rPr>
      </w:pPr>
    </w:p>
    <w:p>
      <w:pPr>
        <w:ind w:right="320" w:firstLine="440"/>
        <w:spacing w:after="0" w:line="277" w:lineRule="auto"/>
        <w:rPr>
          <w:sz w:val="20"/>
          <w:szCs w:val="20"/>
          <w:color w:val="auto"/>
        </w:rPr>
      </w:pPr>
      <w:r>
        <w:rPr>
          <w:rFonts w:ascii="Arial" w:cs="Arial" w:eastAsia="Arial" w:hAnsi="Arial"/>
          <w:sz w:val="18"/>
          <w:szCs w:val="18"/>
          <w:color w:val="auto"/>
        </w:rPr>
        <w:t>As of the acquisition date, the fair value of receivables, other assets, accounts payable, accrued expenses and other liabilities approximated the book value acquired.</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7"/>
          <w:szCs w:val="17"/>
          <w:color w:val="auto"/>
        </w:rPr>
        <w:t>The following table summarizes the estimated fair value of intangible assets and their estimated useful lives as of the date of acquisition:</w:t>
      </w:r>
    </w:p>
    <w:p>
      <w:pPr>
        <w:spacing w:after="0" w:line="243" w:lineRule="exact"/>
        <w:rPr>
          <w:sz w:val="20"/>
          <w:szCs w:val="20"/>
          <w:color w:val="auto"/>
        </w:rPr>
      </w:pPr>
    </w:p>
    <w:tbl>
      <w:tblPr>
        <w:tblLayout w:type="fixed"/>
        <w:tblInd w:w="1320" w:type="dxa"/>
        <w:tblCellMar>
          <w:top w:w="0" w:type="dxa"/>
          <w:left w:w="0" w:type="dxa"/>
          <w:bottom w:w="0" w:type="dxa"/>
          <w:right w:w="0" w:type="dxa"/>
        </w:tblCellMar>
      </w:tblPr>
      <w:tr>
        <w:trPr>
          <w:trHeight w:val="161"/>
        </w:trPr>
        <w:tc>
          <w:tcPr>
            <w:tcW w:w="422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300" w:type="dxa"/>
            <w:vAlign w:val="bottom"/>
            <w:gridSpan w:val="2"/>
            <w:vMerge w:val="restart"/>
          </w:tcPr>
          <w:p>
            <w:pPr>
              <w:jc w:val="right"/>
              <w:ind w:right="380"/>
              <w:spacing w:after="0"/>
              <w:rPr>
                <w:sz w:val="20"/>
                <w:szCs w:val="20"/>
                <w:color w:val="auto"/>
              </w:rPr>
            </w:pPr>
            <w:r>
              <w:rPr>
                <w:rFonts w:ascii="Arial" w:cs="Arial" w:eastAsia="Arial" w:hAnsi="Arial"/>
                <w:sz w:val="14"/>
                <w:szCs w:val="14"/>
                <w:b w:val="1"/>
                <w:bCs w:val="1"/>
                <w:color w:val="auto"/>
                <w:w w:val="93"/>
              </w:rPr>
              <w:t>Estimated Fair</w:t>
            </w:r>
          </w:p>
        </w:tc>
        <w:tc>
          <w:tcPr>
            <w:tcW w:w="780" w:type="dxa"/>
            <w:vAlign w:val="bottom"/>
            <w:gridSpan w:val="2"/>
          </w:tcPr>
          <w:p>
            <w:pPr>
              <w:jc w:val="center"/>
              <w:ind w:right="40"/>
              <w:spacing w:after="0"/>
              <w:rPr>
                <w:sz w:val="20"/>
                <w:szCs w:val="20"/>
                <w:color w:val="auto"/>
              </w:rPr>
            </w:pPr>
            <w:r>
              <w:rPr>
                <w:rFonts w:ascii="Arial" w:cs="Arial" w:eastAsia="Arial" w:hAnsi="Arial"/>
                <w:sz w:val="14"/>
                <w:szCs w:val="14"/>
                <w:b w:val="1"/>
                <w:bCs w:val="1"/>
                <w:color w:val="auto"/>
                <w:w w:val="92"/>
              </w:rPr>
              <w:t>Estimated</w:t>
            </w:r>
          </w:p>
        </w:tc>
        <w:tc>
          <w:tcPr>
            <w:tcW w:w="0" w:type="dxa"/>
            <w:vAlign w:val="bottom"/>
          </w:tcPr>
          <w:p>
            <w:pPr>
              <w:spacing w:after="0"/>
              <w:rPr>
                <w:sz w:val="1"/>
                <w:szCs w:val="1"/>
                <w:color w:val="auto"/>
              </w:rPr>
            </w:pPr>
          </w:p>
        </w:tc>
      </w:tr>
      <w:tr>
        <w:trPr>
          <w:trHeight w:val="148"/>
        </w:trPr>
        <w:tc>
          <w:tcPr>
            <w:tcW w:w="4220" w:type="dxa"/>
            <w:vAlign w:val="bottom"/>
          </w:tcPr>
          <w:p>
            <w:pPr>
              <w:spacing w:after="0"/>
              <w:rPr>
                <w:sz w:val="12"/>
                <w:szCs w:val="12"/>
                <w:color w:val="auto"/>
              </w:rPr>
            </w:pPr>
          </w:p>
        </w:tc>
        <w:tc>
          <w:tcPr>
            <w:tcW w:w="2060" w:type="dxa"/>
            <w:vAlign w:val="bottom"/>
          </w:tcPr>
          <w:p>
            <w:pPr>
              <w:spacing w:after="0"/>
              <w:rPr>
                <w:sz w:val="12"/>
                <w:szCs w:val="12"/>
                <w:color w:val="auto"/>
              </w:rPr>
            </w:pPr>
          </w:p>
        </w:tc>
        <w:tc>
          <w:tcPr>
            <w:tcW w:w="1300" w:type="dxa"/>
            <w:vAlign w:val="bottom"/>
            <w:gridSpan w:val="2"/>
            <w:vMerge w:val="continue"/>
          </w:tcPr>
          <w:p>
            <w:pPr>
              <w:spacing w:after="0"/>
              <w:rPr>
                <w:sz w:val="12"/>
                <w:szCs w:val="12"/>
                <w:color w:val="auto"/>
              </w:rPr>
            </w:pPr>
          </w:p>
        </w:tc>
        <w:tc>
          <w:tcPr>
            <w:tcW w:w="78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4"/>
              </w:rPr>
              <w:t>Useful Life</w:t>
            </w:r>
          </w:p>
        </w:tc>
        <w:tc>
          <w:tcPr>
            <w:tcW w:w="0" w:type="dxa"/>
            <w:vAlign w:val="bottom"/>
          </w:tcPr>
          <w:p>
            <w:pPr>
              <w:spacing w:after="0"/>
              <w:rPr>
                <w:sz w:val="1"/>
                <w:szCs w:val="1"/>
                <w:color w:val="auto"/>
              </w:rPr>
            </w:pPr>
          </w:p>
        </w:tc>
      </w:tr>
      <w:tr>
        <w:trPr>
          <w:trHeight w:val="171"/>
        </w:trPr>
        <w:tc>
          <w:tcPr>
            <w:tcW w:w="422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300" w:type="dxa"/>
            <w:vAlign w:val="bottom"/>
            <w:gridSpan w:val="2"/>
          </w:tcPr>
          <w:p>
            <w:pPr>
              <w:jc w:val="right"/>
              <w:ind w:right="660"/>
              <w:spacing w:after="0"/>
              <w:rPr>
                <w:sz w:val="20"/>
                <w:szCs w:val="20"/>
                <w:color w:val="auto"/>
              </w:rPr>
            </w:pPr>
            <w:r>
              <w:rPr>
                <w:rFonts w:ascii="Arial" w:cs="Arial" w:eastAsia="Arial" w:hAnsi="Arial"/>
                <w:sz w:val="14"/>
                <w:szCs w:val="14"/>
                <w:b w:val="1"/>
                <w:bCs w:val="1"/>
                <w:color w:val="auto"/>
              </w:rPr>
              <w:t>Value</w:t>
            </w: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2"/>
              </w:rPr>
              <w:t>(Years)</w:t>
            </w:r>
          </w:p>
        </w:tc>
        <w:tc>
          <w:tcPr>
            <w:tcW w:w="0" w:type="dxa"/>
            <w:vAlign w:val="bottom"/>
          </w:tcPr>
          <w:p>
            <w:pPr>
              <w:spacing w:after="0"/>
              <w:rPr>
                <w:sz w:val="1"/>
                <w:szCs w:val="1"/>
                <w:color w:val="auto"/>
              </w:rPr>
            </w:pPr>
          </w:p>
        </w:tc>
      </w:tr>
      <w:tr>
        <w:trPr>
          <w:trHeight w:val="209"/>
        </w:trPr>
        <w:tc>
          <w:tcPr>
            <w:tcW w:w="42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Contract manufacturing rights</w:t>
            </w:r>
          </w:p>
        </w:tc>
        <w:tc>
          <w:tcPr>
            <w:tcW w:w="206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   105,160</w:t>
            </w:r>
          </w:p>
        </w:tc>
        <w:tc>
          <w:tcPr>
            <w:tcW w:w="38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20" w:type="dxa"/>
            <w:vAlign w:val="bottom"/>
          </w:tcPr>
          <w:p>
            <w:pPr>
              <w:spacing w:after="0"/>
              <w:rPr>
                <w:sz w:val="20"/>
                <w:szCs w:val="20"/>
                <w:color w:val="auto"/>
              </w:rPr>
            </w:pPr>
            <w:r>
              <w:rPr>
                <w:rFonts w:ascii="Arial" w:cs="Arial" w:eastAsia="Arial" w:hAnsi="Arial"/>
                <w:sz w:val="18"/>
                <w:szCs w:val="18"/>
                <w:color w:val="auto"/>
              </w:rPr>
              <w:t>Developed technology</w:t>
            </w:r>
          </w:p>
        </w:tc>
        <w:tc>
          <w:tcPr>
            <w:tcW w:w="3360" w:type="dxa"/>
            <w:vAlign w:val="bottom"/>
            <w:gridSpan w:val="3"/>
          </w:tcPr>
          <w:p>
            <w:pPr>
              <w:jc w:val="right"/>
              <w:ind w:right="380"/>
              <w:spacing w:after="0"/>
              <w:rPr>
                <w:sz w:val="20"/>
                <w:szCs w:val="20"/>
                <w:color w:val="auto"/>
              </w:rPr>
            </w:pPr>
            <w:r>
              <w:rPr>
                <w:rFonts w:ascii="Arial" w:cs="Arial" w:eastAsia="Arial" w:hAnsi="Arial"/>
                <w:sz w:val="18"/>
                <w:szCs w:val="18"/>
                <w:color w:val="auto"/>
              </w:rPr>
              <w:t>33,630</w:t>
            </w:r>
          </w:p>
        </w:tc>
        <w:tc>
          <w:tcPr>
            <w:tcW w:w="780" w:type="dxa"/>
            <w:vAlign w:val="bottom"/>
            <w:gridSpan w:val="2"/>
          </w:tcPr>
          <w:p>
            <w:pPr>
              <w:jc w:val="right"/>
              <w:ind w:right="40"/>
              <w:spacing w:after="0"/>
              <w:rPr>
                <w:sz w:val="20"/>
                <w:szCs w:val="20"/>
                <w:color w:val="auto"/>
              </w:rPr>
            </w:pPr>
            <w:r>
              <w:rPr>
                <w:rFonts w:ascii="Arial" w:cs="Arial" w:eastAsia="Arial" w:hAnsi="Arial"/>
                <w:sz w:val="18"/>
                <w:szCs w:val="18"/>
                <w:color w:val="auto"/>
              </w:rPr>
              <w:t>8.0</w:t>
            </w:r>
          </w:p>
        </w:tc>
        <w:tc>
          <w:tcPr>
            <w:tcW w:w="0" w:type="dxa"/>
            <w:vAlign w:val="bottom"/>
          </w:tcPr>
          <w:p>
            <w:pPr>
              <w:spacing w:after="0"/>
              <w:rPr>
                <w:sz w:val="1"/>
                <w:szCs w:val="1"/>
                <w:color w:val="auto"/>
              </w:rPr>
            </w:pPr>
          </w:p>
        </w:tc>
      </w:tr>
      <w:tr>
        <w:trPr>
          <w:trHeight w:val="216"/>
        </w:trPr>
        <w:tc>
          <w:tcPr>
            <w:tcW w:w="4220" w:type="dxa"/>
            <w:vAlign w:val="bottom"/>
            <w:shd w:val="clear" w:color="auto" w:fill="CCEEFF"/>
          </w:tcPr>
          <w:p>
            <w:pPr>
              <w:spacing w:after="0"/>
              <w:rPr>
                <w:sz w:val="20"/>
                <w:szCs w:val="20"/>
                <w:color w:val="auto"/>
              </w:rPr>
            </w:pPr>
            <w:r>
              <w:rPr>
                <w:rFonts w:ascii="Arial" w:cs="Arial" w:eastAsia="Arial" w:hAnsi="Arial"/>
                <w:sz w:val="18"/>
                <w:szCs w:val="18"/>
                <w:color w:val="auto"/>
              </w:rPr>
              <w:t>Software</w:t>
            </w:r>
          </w:p>
        </w:tc>
        <w:tc>
          <w:tcPr>
            <w:tcW w:w="336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9,930</w:t>
            </w: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5"/>
              </w:rPr>
              <w:t>0.5 to 2.0</w:t>
            </w:r>
          </w:p>
        </w:tc>
        <w:tc>
          <w:tcPr>
            <w:tcW w:w="0" w:type="dxa"/>
            <w:vAlign w:val="bottom"/>
          </w:tcPr>
          <w:p>
            <w:pPr>
              <w:spacing w:after="0"/>
              <w:rPr>
                <w:sz w:val="1"/>
                <w:szCs w:val="1"/>
                <w:color w:val="auto"/>
              </w:rPr>
            </w:pPr>
          </w:p>
        </w:tc>
      </w:tr>
      <w:tr>
        <w:trPr>
          <w:trHeight w:val="223"/>
        </w:trPr>
        <w:tc>
          <w:tcPr>
            <w:tcW w:w="4220" w:type="dxa"/>
            <w:vAlign w:val="bottom"/>
          </w:tcPr>
          <w:p>
            <w:pPr>
              <w:spacing w:after="0"/>
              <w:rPr>
                <w:sz w:val="19"/>
                <w:szCs w:val="19"/>
                <w:color w:val="auto"/>
              </w:rPr>
            </w:pPr>
          </w:p>
        </w:tc>
        <w:tc>
          <w:tcPr>
            <w:tcW w:w="2060" w:type="dxa"/>
            <w:vAlign w:val="bottom"/>
          </w:tcPr>
          <w:p>
            <w:pPr>
              <w:spacing w:after="0"/>
              <w:rPr>
                <w:sz w:val="19"/>
                <w:szCs w:val="19"/>
                <w:color w:val="auto"/>
              </w:rPr>
            </w:pPr>
          </w:p>
        </w:tc>
        <w:tc>
          <w:tcPr>
            <w:tcW w:w="920" w:type="dxa"/>
            <w:vAlign w:val="bottom"/>
            <w:tcBorders>
              <w:top w:val="single" w:sz="8" w:color="auto"/>
              <w:bottom w:val="single" w:sz="8" w:color="auto"/>
            </w:tcBorders>
          </w:tcPr>
          <w:p>
            <w:pPr>
              <w:jc w:val="right"/>
              <w:ind w:right="39"/>
              <w:spacing w:after="0"/>
              <w:rPr>
                <w:sz w:val="20"/>
                <w:szCs w:val="20"/>
                <w:color w:val="auto"/>
              </w:rPr>
            </w:pPr>
            <w:r>
              <w:rPr>
                <w:rFonts w:ascii="Arial" w:cs="Arial" w:eastAsia="Arial" w:hAnsi="Arial"/>
                <w:sz w:val="18"/>
                <w:szCs w:val="18"/>
                <w:b w:val="1"/>
                <w:bCs w:val="1"/>
                <w:color w:val="auto"/>
              </w:rPr>
              <w:t>$148,720</w:t>
            </w:r>
          </w:p>
        </w:tc>
        <w:tc>
          <w:tcPr>
            <w:tcW w:w="3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220" w:type="dxa"/>
            <w:vAlign w:val="bottom"/>
          </w:tcPr>
          <w:p>
            <w:pPr>
              <w:spacing w:after="0" w:line="20" w:lineRule="exact"/>
              <w:rPr>
                <w:sz w:val="1"/>
                <w:szCs w:val="1"/>
                <w:color w:val="auto"/>
              </w:rPr>
            </w:pPr>
          </w:p>
        </w:tc>
        <w:tc>
          <w:tcPr>
            <w:tcW w:w="2060" w:type="dxa"/>
            <w:vAlign w:val="bottom"/>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firstLine="440"/>
        <w:spacing w:after="0" w:line="289" w:lineRule="auto"/>
        <w:rPr>
          <w:sz w:val="20"/>
          <w:szCs w:val="20"/>
          <w:color w:val="auto"/>
        </w:rPr>
      </w:pPr>
      <w:r>
        <w:rPr>
          <w:rFonts w:ascii="Arial" w:cs="Arial" w:eastAsia="Arial" w:hAnsi="Arial"/>
          <w:sz w:val="16"/>
          <w:szCs w:val="16"/>
          <w:color w:val="auto"/>
        </w:rPr>
        <w:t>Developed technology was valued using the multi-period excess earnings method under the income approach. This method involves discounting the direct cash flows expected to be generated by the technologies over their remaining lives, net of returns on contributory assets. The estimated useful life was determined based on the technology cycle related to product family and its expected contribution to forecasted revenue. Contract manufacturing rights were valued using a multi-period excess earnings method, which involved discounting the direct cash flow expected to be generated by these rights over their remaining economic lives, net of returns on contributory assets. The estimated useful life was determined to be five years based on the estimated life of the product, assuming that the existing customers will remain with the Company until the product becomes obsolete. The cash flows for the two intangible assets were distinctly separate and bifurcated for the purposes of the valuation of each asset. Management applied significant judgment in estimating the fair value of developed technology and the contract manufacturing rights intangible assets acquired, which involved the use of significant estimates and assumptions with respect to the timing and amounts of the future revenue cash flows and revenue growth rates.</w:t>
      </w:r>
    </w:p>
    <w:p>
      <w:pPr>
        <w:spacing w:after="0" w:line="166" w:lineRule="exact"/>
        <w:rPr>
          <w:sz w:val="20"/>
          <w:szCs w:val="20"/>
          <w:color w:val="auto"/>
        </w:rPr>
      </w:pPr>
    </w:p>
    <w:p>
      <w:pPr>
        <w:ind w:right="40" w:firstLine="440"/>
        <w:spacing w:after="0" w:line="259" w:lineRule="auto"/>
        <w:rPr>
          <w:sz w:val="20"/>
          <w:szCs w:val="20"/>
          <w:color w:val="auto"/>
        </w:rPr>
      </w:pPr>
      <w:r>
        <w:rPr>
          <w:rFonts w:ascii="Arial" w:cs="Arial" w:eastAsia="Arial" w:hAnsi="Arial"/>
          <w:sz w:val="18"/>
          <w:szCs w:val="18"/>
          <w:color w:val="auto"/>
        </w:rPr>
        <w:t>Goodwill is calculated as the excess of the consideration transferred over the net assets recognized and is attributable to the workforce of eSilicon, the Company’s going concern value with the opportunity to leverage its workforce to develop new technologies and the ability of the Company to grow the business faster and more profitable than was possible by eSilicon as a stand-alone company. Goodwill is not amortized and is not deductible for tax purposes.</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00"/>
          </w:cols>
          <w:pgMar w:left="440" w:top="270" w:right="459" w:bottom="1440" w:gutter="0" w:footer="0" w:header="0"/>
        </w:sectPr>
      </w:pPr>
    </w:p>
    <w:bookmarkStart w:id="13" w:name="page14"/>
    <w:bookmarkEnd w:id="13"/>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INPHI CORPORATION</w:t>
      </w:r>
    </w:p>
    <w:p>
      <w:pPr>
        <w:spacing w:after="0" w:line="2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(Dollars in thousands except share and per share amounts)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40005</wp:posOffset>
            </wp:positionV>
            <wp:extent cx="6995160" cy="825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31" w:lineRule="exact"/>
        <w:rPr>
          <w:sz w:val="20"/>
          <w:szCs w:val="20"/>
          <w:color w:val="auto"/>
        </w:rPr>
      </w:pPr>
    </w:p>
    <w:p>
      <w:pPr>
        <w:ind w:right="240" w:firstLine="440"/>
        <w:spacing w:after="0" w:line="263" w:lineRule="auto"/>
        <w:rPr>
          <w:sz w:val="20"/>
          <w:szCs w:val="20"/>
          <w:color w:val="auto"/>
        </w:rPr>
      </w:pPr>
      <w:r>
        <w:rPr>
          <w:rFonts w:ascii="Arial" w:cs="Arial" w:eastAsia="Arial" w:hAnsi="Arial"/>
          <w:sz w:val="18"/>
          <w:szCs w:val="18"/>
          <w:color w:val="auto"/>
        </w:rPr>
        <w:t>The Company incurred acquisition costs of $1,550, of which $1,015 was incurred during the year ended December 31, 2019 and $535 was incurred during the three months ended March 31, 2020. The acquisition costs were included in general and administrative expense in the condensed consolidated statement of operations for the three months ended March 31, 2020.</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eSilicon contributed revenue of $18,673 and pre-tax loss of $13,995 for the period from January 10, 2020 to March 31, 2020.</w:t>
      </w:r>
    </w:p>
    <w:p>
      <w:pPr>
        <w:spacing w:after="0" w:line="225"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Prior to the acquisition, the Company owned a minority equity interest in eSilicon. The fair value of the equity interest immediately before the acquisition date was $14,999, which resulted in a gain of $4,999 and was included in Other income, net in the condensed consolidated statement of operations for the three months ended March 31, 2020. The fair value was determined based on the proceeds received as a holder of eSilicon’s preferred stock.</w:t>
      </w:r>
    </w:p>
    <w:p>
      <w:pPr>
        <w:spacing w:after="0" w:line="295"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Arrive</w:t>
      </w:r>
    </w:p>
    <w:p>
      <w:pPr>
        <w:spacing w:after="0" w:line="117" w:lineRule="exact"/>
        <w:rPr>
          <w:sz w:val="20"/>
          <w:szCs w:val="20"/>
          <w:color w:val="auto"/>
        </w:rPr>
      </w:pPr>
    </w:p>
    <w:p>
      <w:pPr>
        <w:ind w:right="440" w:firstLine="440"/>
        <w:spacing w:after="0" w:line="291" w:lineRule="auto"/>
        <w:rPr>
          <w:sz w:val="20"/>
          <w:szCs w:val="20"/>
          <w:color w:val="auto"/>
        </w:rPr>
      </w:pPr>
      <w:r>
        <w:rPr>
          <w:rFonts w:ascii="Arial" w:cs="Arial" w:eastAsia="Arial" w:hAnsi="Arial"/>
          <w:sz w:val="16"/>
          <w:szCs w:val="16"/>
          <w:color w:val="auto"/>
        </w:rPr>
        <w:t>On May 18, 2020, the Company purchased certain assets and rights of Arrive for $20,141. The Company acquired Arrive for the purpose of expanding its presence into strategic geographic regions for talent acquisition. An amount of $3,000 was withheld by the Company for 12</w:t>
      </w:r>
    </w:p>
    <w:p>
      <w:pPr>
        <w:ind w:right="180"/>
        <w:spacing w:after="0" w:line="260" w:lineRule="auto"/>
        <w:rPr>
          <w:sz w:val="20"/>
          <w:szCs w:val="20"/>
          <w:color w:val="auto"/>
        </w:rPr>
      </w:pPr>
      <w:r>
        <w:rPr>
          <w:rFonts w:ascii="Arial" w:cs="Arial" w:eastAsia="Arial" w:hAnsi="Arial"/>
          <w:sz w:val="18"/>
          <w:szCs w:val="18"/>
          <w:color w:val="auto"/>
        </w:rPr>
        <w:t>months following the closing for the satisfaction of certain potential indemnification claims. The condensed consolidated financial statements include the results of operations of Arrive from the acquisition date.</w:t>
      </w:r>
    </w:p>
    <w:p>
      <w:pPr>
        <w:spacing w:after="0" w:line="77" w:lineRule="exact"/>
        <w:rPr>
          <w:sz w:val="20"/>
          <w:szCs w:val="20"/>
          <w:color w:val="auto"/>
        </w:rPr>
      </w:pPr>
    </w:p>
    <w:p>
      <w:pPr>
        <w:ind w:right="60" w:firstLine="440"/>
        <w:spacing w:after="0" w:line="259" w:lineRule="auto"/>
        <w:rPr>
          <w:sz w:val="20"/>
          <w:szCs w:val="20"/>
          <w:color w:val="auto"/>
        </w:rPr>
      </w:pPr>
      <w:r>
        <w:rPr>
          <w:rFonts w:ascii="Arial" w:cs="Arial" w:eastAsia="Arial" w:hAnsi="Arial"/>
          <w:sz w:val="18"/>
          <w:szCs w:val="18"/>
          <w:color w:val="auto"/>
        </w:rPr>
        <w:t>The acquisition has been accounted for using the purchase method of accounting, which requires, among other things, that assets acquired and liabilities assumed be recognized at their fair values as of the acquisition date. The Company allocated the purchase price to tangible and intangible assets acquired based on their estimated fair values. The fair value of the identifiable intangible asset acquired was based on estimates and assumptions made by management at the time of acquisition.</w:t>
      </w:r>
    </w:p>
    <w:p>
      <w:pPr>
        <w:spacing w:after="0" w:line="187" w:lineRule="exact"/>
        <w:rPr>
          <w:sz w:val="20"/>
          <w:szCs w:val="20"/>
          <w:color w:val="auto"/>
        </w:rPr>
      </w:pPr>
    </w:p>
    <w:tbl>
      <w:tblPr>
        <w:tblLayout w:type="fixed"/>
        <w:tblInd w:w="440" w:type="dxa"/>
        <w:tblCellMar>
          <w:top w:w="0" w:type="dxa"/>
          <w:left w:w="0" w:type="dxa"/>
          <w:bottom w:w="0" w:type="dxa"/>
          <w:right w:w="0" w:type="dxa"/>
        </w:tblCellMar>
      </w:tblPr>
      <w:tr>
        <w:trPr>
          <w:trHeight w:val="230"/>
        </w:trPr>
        <w:tc>
          <w:tcPr>
            <w:tcW w:w="7240" w:type="dxa"/>
            <w:vAlign w:val="bottom"/>
            <w:gridSpan w:val="2"/>
          </w:tcPr>
          <w:p>
            <w:pPr>
              <w:spacing w:after="0"/>
              <w:rPr>
                <w:sz w:val="20"/>
                <w:szCs w:val="20"/>
                <w:color w:val="auto"/>
              </w:rPr>
            </w:pPr>
            <w:r>
              <w:rPr>
                <w:rFonts w:ascii="Arial" w:cs="Arial" w:eastAsia="Arial" w:hAnsi="Arial"/>
                <w:sz w:val="18"/>
                <w:szCs w:val="18"/>
                <w:color w:val="auto"/>
              </w:rPr>
              <w:t>The following table summarizes the purchase price allocation as of the acquisition date:</w:t>
            </w:r>
          </w:p>
        </w:tc>
        <w:tc>
          <w:tcPr>
            <w:tcW w:w="9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1320" w:type="dxa"/>
            <w:vAlign w:val="bottom"/>
            <w:vMerge w:val="restart"/>
          </w:tcPr>
          <w:p>
            <w:pPr>
              <w:spacing w:after="0"/>
              <w:rPr>
                <w:sz w:val="21"/>
                <w:szCs w:val="21"/>
                <w:color w:val="auto"/>
              </w:rPr>
            </w:pPr>
          </w:p>
        </w:tc>
        <w:tc>
          <w:tcPr>
            <w:tcW w:w="592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1320" w:type="dxa"/>
            <w:vAlign w:val="bottom"/>
            <w:vMerge w:val="continue"/>
          </w:tcPr>
          <w:p>
            <w:pPr>
              <w:spacing w:after="0"/>
              <w:rPr>
                <w:sz w:val="18"/>
                <w:szCs w:val="18"/>
                <w:color w:val="auto"/>
              </w:rPr>
            </w:pPr>
          </w:p>
        </w:tc>
        <w:tc>
          <w:tcPr>
            <w:tcW w:w="5920" w:type="dxa"/>
            <w:vAlign w:val="bottom"/>
            <w:shd w:val="clear" w:color="auto" w:fill="CCEEFF"/>
          </w:tcPr>
          <w:p>
            <w:pPr>
              <w:spacing w:after="0"/>
              <w:rPr>
                <w:sz w:val="20"/>
                <w:szCs w:val="20"/>
                <w:color w:val="auto"/>
              </w:rPr>
            </w:pPr>
            <w:r>
              <w:rPr>
                <w:rFonts w:ascii="Arial" w:cs="Arial" w:eastAsia="Arial" w:hAnsi="Arial"/>
                <w:sz w:val="18"/>
                <w:szCs w:val="18"/>
                <w:color w:val="auto"/>
              </w:rPr>
              <w:t>Inventories</w:t>
            </w:r>
          </w:p>
        </w:tc>
        <w:tc>
          <w:tcPr>
            <w:tcW w:w="10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126</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5920" w:type="dxa"/>
            <w:vAlign w:val="bottom"/>
          </w:tcPr>
          <w:p>
            <w:pPr>
              <w:spacing w:after="0"/>
              <w:rPr>
                <w:sz w:val="20"/>
                <w:szCs w:val="20"/>
                <w:color w:val="auto"/>
              </w:rPr>
            </w:pPr>
            <w:r>
              <w:rPr>
                <w:rFonts w:ascii="Arial" w:cs="Arial" w:eastAsia="Arial" w:hAnsi="Arial"/>
                <w:sz w:val="18"/>
                <w:szCs w:val="18"/>
                <w:color w:val="auto"/>
              </w:rPr>
              <w:t>Developed technology</w:t>
            </w: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gridSpan w:val="2"/>
          </w:tcPr>
          <w:p>
            <w:pPr>
              <w:jc w:val="right"/>
              <w:ind w:right="60"/>
              <w:spacing w:after="0"/>
              <w:rPr>
                <w:sz w:val="20"/>
                <w:szCs w:val="20"/>
                <w:color w:val="auto"/>
              </w:rPr>
            </w:pPr>
            <w:r>
              <w:rPr>
                <w:rFonts w:ascii="Arial" w:cs="Arial" w:eastAsia="Arial" w:hAnsi="Arial"/>
                <w:sz w:val="18"/>
                <w:szCs w:val="18"/>
                <w:color w:val="auto"/>
              </w:rPr>
              <w:t>8,840</w:t>
            </w:r>
          </w:p>
        </w:tc>
        <w:tc>
          <w:tcPr>
            <w:tcW w:w="0" w:type="dxa"/>
            <w:vAlign w:val="bottom"/>
          </w:tcPr>
          <w:p>
            <w:pPr>
              <w:spacing w:after="0"/>
              <w:rPr>
                <w:sz w:val="1"/>
                <w:szCs w:val="1"/>
                <w:color w:val="auto"/>
              </w:rPr>
            </w:pPr>
          </w:p>
        </w:tc>
      </w:tr>
      <w:tr>
        <w:trPr>
          <w:trHeight w:val="27"/>
        </w:trPr>
        <w:tc>
          <w:tcPr>
            <w:tcW w:w="1320" w:type="dxa"/>
            <w:vAlign w:val="bottom"/>
            <w:vMerge w:val="restart"/>
          </w:tcPr>
          <w:p>
            <w:pPr>
              <w:spacing w:after="0"/>
              <w:rPr>
                <w:sz w:val="2"/>
                <w:szCs w:val="2"/>
                <w:color w:val="auto"/>
              </w:rPr>
            </w:pPr>
          </w:p>
        </w:tc>
        <w:tc>
          <w:tcPr>
            <w:tcW w:w="592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320" w:type="dxa"/>
            <w:vAlign w:val="bottom"/>
            <w:vMerge w:val="continue"/>
          </w:tcPr>
          <w:p>
            <w:pPr>
              <w:spacing w:after="0"/>
              <w:rPr>
                <w:sz w:val="18"/>
                <w:szCs w:val="18"/>
                <w:color w:val="auto"/>
              </w:rPr>
            </w:pPr>
          </w:p>
        </w:tc>
        <w:tc>
          <w:tcPr>
            <w:tcW w:w="5920" w:type="dxa"/>
            <w:vAlign w:val="bottom"/>
            <w:shd w:val="clear" w:color="auto" w:fill="CCEEFF"/>
          </w:tcPr>
          <w:p>
            <w:pPr>
              <w:spacing w:after="0"/>
              <w:rPr>
                <w:sz w:val="20"/>
                <w:szCs w:val="20"/>
                <w:color w:val="auto"/>
              </w:rPr>
            </w:pPr>
            <w:r>
              <w:rPr>
                <w:rFonts w:ascii="Arial" w:cs="Arial" w:eastAsia="Arial" w:hAnsi="Arial"/>
                <w:sz w:val="18"/>
                <w:szCs w:val="18"/>
                <w:color w:val="auto"/>
              </w:rPr>
              <w:t>Total identifiable net assets</w:t>
            </w:r>
          </w:p>
        </w:tc>
        <w:tc>
          <w:tcPr>
            <w:tcW w:w="9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8,966</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5920" w:type="dxa"/>
            <w:vAlign w:val="bottom"/>
          </w:tcPr>
          <w:p>
            <w:pPr>
              <w:spacing w:after="0"/>
              <w:rPr>
                <w:sz w:val="20"/>
                <w:szCs w:val="20"/>
                <w:color w:val="auto"/>
              </w:rPr>
            </w:pPr>
            <w:r>
              <w:rPr>
                <w:rFonts w:ascii="Arial" w:cs="Arial" w:eastAsia="Arial" w:hAnsi="Arial"/>
                <w:sz w:val="18"/>
                <w:szCs w:val="18"/>
                <w:color w:val="auto"/>
              </w:rPr>
              <w:t>Goodwill</w:t>
            </w: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gridSpan w:val="2"/>
          </w:tcPr>
          <w:p>
            <w:pPr>
              <w:jc w:val="right"/>
              <w:ind w:right="60"/>
              <w:spacing w:after="0"/>
              <w:rPr>
                <w:sz w:val="20"/>
                <w:szCs w:val="20"/>
                <w:color w:val="auto"/>
              </w:rPr>
            </w:pPr>
            <w:r>
              <w:rPr>
                <w:rFonts w:ascii="Arial" w:cs="Arial" w:eastAsia="Arial" w:hAnsi="Arial"/>
                <w:sz w:val="18"/>
                <w:szCs w:val="18"/>
                <w:color w:val="auto"/>
                <w:w w:val="83"/>
              </w:rPr>
              <w:t>11,175</w:t>
            </w:r>
          </w:p>
        </w:tc>
        <w:tc>
          <w:tcPr>
            <w:tcW w:w="0" w:type="dxa"/>
            <w:vAlign w:val="bottom"/>
          </w:tcPr>
          <w:p>
            <w:pPr>
              <w:spacing w:after="0"/>
              <w:rPr>
                <w:sz w:val="1"/>
                <w:szCs w:val="1"/>
                <w:color w:val="auto"/>
              </w:rPr>
            </w:pPr>
          </w:p>
        </w:tc>
      </w:tr>
      <w:tr>
        <w:trPr>
          <w:trHeight w:val="27"/>
        </w:trPr>
        <w:tc>
          <w:tcPr>
            <w:tcW w:w="1320" w:type="dxa"/>
            <w:vAlign w:val="bottom"/>
            <w:vMerge w:val="restart"/>
          </w:tcPr>
          <w:p>
            <w:pPr>
              <w:spacing w:after="0"/>
              <w:rPr>
                <w:sz w:val="2"/>
                <w:szCs w:val="2"/>
                <w:color w:val="auto"/>
              </w:rPr>
            </w:pPr>
          </w:p>
        </w:tc>
        <w:tc>
          <w:tcPr>
            <w:tcW w:w="592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320" w:type="dxa"/>
            <w:vAlign w:val="bottom"/>
            <w:vMerge w:val="continue"/>
          </w:tcPr>
          <w:p>
            <w:pPr>
              <w:spacing w:after="0"/>
              <w:rPr>
                <w:sz w:val="18"/>
                <w:szCs w:val="18"/>
                <w:color w:val="auto"/>
              </w:rPr>
            </w:pPr>
          </w:p>
        </w:tc>
        <w:tc>
          <w:tcPr>
            <w:tcW w:w="5920" w:type="dxa"/>
            <w:vAlign w:val="bottom"/>
            <w:shd w:val="clear" w:color="auto" w:fill="CCEEFF"/>
          </w:tcPr>
          <w:p>
            <w:pPr>
              <w:spacing w:after="0"/>
              <w:rPr>
                <w:sz w:val="20"/>
                <w:szCs w:val="20"/>
                <w:color w:val="auto"/>
              </w:rPr>
            </w:pPr>
            <w:r>
              <w:rPr>
                <w:rFonts w:ascii="Arial" w:cs="Arial" w:eastAsia="Arial" w:hAnsi="Arial"/>
                <w:sz w:val="18"/>
                <w:szCs w:val="18"/>
                <w:color w:val="auto"/>
              </w:rPr>
              <w:t>Net assets acquired</w:t>
            </w:r>
          </w:p>
        </w:tc>
        <w:tc>
          <w:tcPr>
            <w:tcW w:w="10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3"/>
              </w:rPr>
              <w:t>20,141</w:t>
            </w:r>
          </w:p>
        </w:tc>
        <w:tc>
          <w:tcPr>
            <w:tcW w:w="0" w:type="dxa"/>
            <w:vAlign w:val="bottom"/>
          </w:tcPr>
          <w:p>
            <w:pPr>
              <w:spacing w:after="0"/>
              <w:rPr>
                <w:sz w:val="1"/>
                <w:szCs w:val="1"/>
                <w:color w:val="auto"/>
              </w:rPr>
            </w:pPr>
          </w:p>
        </w:tc>
      </w:tr>
      <w:tr>
        <w:trPr>
          <w:trHeight w:val="20"/>
        </w:trPr>
        <w:tc>
          <w:tcPr>
            <w:tcW w:w="1320" w:type="dxa"/>
            <w:vAlign w:val="bottom"/>
          </w:tcPr>
          <w:p>
            <w:pPr>
              <w:spacing w:after="0" w:line="20" w:lineRule="exact"/>
              <w:rPr>
                <w:sz w:val="1"/>
                <w:szCs w:val="1"/>
                <w:color w:val="auto"/>
              </w:rPr>
            </w:pPr>
          </w:p>
        </w:tc>
        <w:tc>
          <w:tcPr>
            <w:tcW w:w="592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right="20" w:firstLine="440"/>
        <w:spacing w:after="0" w:line="301" w:lineRule="auto"/>
        <w:rPr>
          <w:sz w:val="20"/>
          <w:szCs w:val="20"/>
          <w:color w:val="auto"/>
        </w:rPr>
      </w:pPr>
      <w:r>
        <w:rPr>
          <w:rFonts w:ascii="Arial" w:cs="Arial" w:eastAsia="Arial" w:hAnsi="Arial"/>
          <w:sz w:val="16"/>
          <w:szCs w:val="16"/>
          <w:color w:val="auto"/>
        </w:rPr>
        <w:t>The estimated fair value of developed technology was $8,840 with an estimated useful life of five years. The developed technology was valued using the multi-period excess earnings method under the income approach. This method involves discounting the direct cash flows expected to be generated by the technologies over their remaining lives, net of returns on contributory assets. The estimated useful life was determined to be five years based on the estimated life of the product, assuming that the existing customers will remain with the Company until the product becomes obsolete.</w:t>
      </w:r>
    </w:p>
    <w:p>
      <w:pPr>
        <w:spacing w:after="0" w:line="157" w:lineRule="exact"/>
        <w:rPr>
          <w:sz w:val="20"/>
          <w:szCs w:val="20"/>
          <w:color w:val="auto"/>
        </w:rPr>
      </w:pPr>
    </w:p>
    <w:p>
      <w:pPr>
        <w:jc w:val="both"/>
        <w:ind w:right="20" w:firstLine="440"/>
        <w:spacing w:after="0" w:line="259" w:lineRule="auto"/>
        <w:rPr>
          <w:sz w:val="20"/>
          <w:szCs w:val="20"/>
          <w:color w:val="auto"/>
        </w:rPr>
      </w:pPr>
      <w:r>
        <w:rPr>
          <w:rFonts w:ascii="Arial" w:cs="Arial" w:eastAsia="Arial" w:hAnsi="Arial"/>
          <w:sz w:val="18"/>
          <w:szCs w:val="18"/>
          <w:color w:val="auto"/>
        </w:rPr>
        <w:t>Goodwill is calculated as the excess of the consideration transferred over the net assets recognized and is attributable to the workforce of Arrive, the Company’s going concern value with the opportunity to leverage its workforce to develop new technologies and the ability of the Company to grow the business faster and more profitable than was possible by Arrive as a stand-alone company. Since this is an asset purchase agreement, the goodwill is amortized and is deductible for tax purposes.</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 Forma Information</w:t>
      </w:r>
    </w:p>
    <w:p>
      <w:pPr>
        <w:spacing w:after="0" w:line="121" w:lineRule="exact"/>
        <w:rPr>
          <w:sz w:val="20"/>
          <w:szCs w:val="20"/>
          <w:color w:val="auto"/>
        </w:rPr>
      </w:pPr>
    </w:p>
    <w:p>
      <w:pPr>
        <w:ind w:right="40" w:firstLine="440"/>
        <w:spacing w:after="0" w:line="259" w:lineRule="auto"/>
        <w:rPr>
          <w:sz w:val="20"/>
          <w:szCs w:val="20"/>
          <w:color w:val="auto"/>
        </w:rPr>
      </w:pPr>
      <w:r>
        <w:rPr>
          <w:rFonts w:ascii="Arial" w:cs="Arial" w:eastAsia="Arial" w:hAnsi="Arial"/>
          <w:sz w:val="18"/>
          <w:szCs w:val="18"/>
          <w:color w:val="auto"/>
        </w:rPr>
        <w:t>The following unaudited pro forma financial information presents a summary of the Company’s condensed consolidated results of operations for the three months ended March 31, 2020, assuming the eSilicon and Arrive acquisitions have been completed as of January 1, 2019. The pro forma information includes adjustments to revenue, amortization and depreciation for intangible assets and property and equipment acquired and amortization of the purchase accounting effect on inventory acquired from eSilicon.</w:t>
      </w:r>
    </w:p>
    <w:p>
      <w:pPr>
        <w:spacing w:after="0" w:line="223" w:lineRule="exact"/>
        <w:rPr>
          <w:sz w:val="20"/>
          <w:szCs w:val="20"/>
          <w:color w:val="auto"/>
        </w:rPr>
      </w:pPr>
    </w:p>
    <w:tbl>
      <w:tblPr>
        <w:tblLayout w:type="fixed"/>
        <w:tblInd w:w="1760" w:type="dxa"/>
        <w:tblCellMar>
          <w:top w:w="0" w:type="dxa"/>
          <w:left w:w="0" w:type="dxa"/>
          <w:bottom w:w="0" w:type="dxa"/>
          <w:right w:w="0" w:type="dxa"/>
        </w:tblCellMar>
      </w:tblPr>
      <w:tr>
        <w:trPr>
          <w:trHeight w:val="207"/>
        </w:trPr>
        <w:tc>
          <w:tcPr>
            <w:tcW w:w="6080" w:type="dxa"/>
            <w:vAlign w:val="bottom"/>
            <w:shd w:val="clear" w:color="auto" w:fill="CCEEFF"/>
          </w:tcPr>
          <w:p>
            <w:pPr>
              <w:spacing w:after="0"/>
              <w:rPr>
                <w:sz w:val="20"/>
                <w:szCs w:val="20"/>
                <w:color w:val="auto"/>
              </w:rPr>
            </w:pPr>
            <w:r>
              <w:rPr>
                <w:rFonts w:ascii="Arial" w:cs="Arial" w:eastAsia="Arial" w:hAnsi="Arial"/>
                <w:sz w:val="18"/>
                <w:szCs w:val="18"/>
                <w:color w:val="auto"/>
              </w:rPr>
              <w:t>Pro forma financial information for the three months ended March 31, 2020</w:t>
            </w:r>
          </w:p>
        </w:tc>
        <w:tc>
          <w:tcPr>
            <w:tcW w:w="1400" w:type="dxa"/>
            <w:vAlign w:val="bottom"/>
            <w:shd w:val="clear" w:color="auto" w:fill="CCEEFF"/>
          </w:tcPr>
          <w:p>
            <w:pPr>
              <w:spacing w:after="0"/>
              <w:rPr>
                <w:sz w:val="17"/>
                <w:szCs w:val="17"/>
                <w:color w:val="auto"/>
              </w:rPr>
            </w:pPr>
          </w:p>
        </w:tc>
      </w:tr>
      <w:tr>
        <w:trPr>
          <w:trHeight w:val="230"/>
        </w:trPr>
        <w:tc>
          <w:tcPr>
            <w:tcW w:w="60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(unaudited):</w:t>
            </w:r>
          </w:p>
        </w:tc>
        <w:tc>
          <w:tcPr>
            <w:tcW w:w="1400" w:type="dxa"/>
            <w:vAlign w:val="bottom"/>
            <w:shd w:val="clear" w:color="auto" w:fill="CCEEFF"/>
          </w:tcPr>
          <w:p>
            <w:pPr>
              <w:spacing w:after="0"/>
              <w:rPr>
                <w:sz w:val="20"/>
                <w:szCs w:val="20"/>
                <w:color w:val="auto"/>
              </w:rPr>
            </w:pPr>
          </w:p>
        </w:tc>
      </w:tr>
      <w:tr>
        <w:trPr>
          <w:trHeight w:val="216"/>
        </w:trPr>
        <w:tc>
          <w:tcPr>
            <w:tcW w:w="6080" w:type="dxa"/>
            <w:vAlign w:val="bottom"/>
          </w:tcPr>
          <w:p>
            <w:pPr>
              <w:spacing w:after="0"/>
              <w:rPr>
                <w:sz w:val="20"/>
                <w:szCs w:val="20"/>
                <w:color w:val="auto"/>
              </w:rPr>
            </w:pPr>
            <w:r>
              <w:rPr>
                <w:rFonts w:ascii="Arial" w:cs="Arial" w:eastAsia="Arial" w:hAnsi="Arial"/>
                <w:sz w:val="18"/>
                <w:szCs w:val="18"/>
                <w:color w:val="auto"/>
              </w:rPr>
              <w:t>Revenue</w:t>
            </w:r>
          </w:p>
        </w:tc>
        <w:tc>
          <w:tcPr>
            <w:tcW w:w="1400" w:type="dxa"/>
            <w:vAlign w:val="bottom"/>
          </w:tcPr>
          <w:p>
            <w:pPr>
              <w:jc w:val="right"/>
              <w:ind w:right="10"/>
              <w:spacing w:after="0"/>
              <w:rPr>
                <w:sz w:val="20"/>
                <w:szCs w:val="20"/>
                <w:color w:val="auto"/>
              </w:rPr>
            </w:pPr>
            <w:r>
              <w:rPr>
                <w:rFonts w:ascii="Arial" w:cs="Arial" w:eastAsia="Arial" w:hAnsi="Arial"/>
                <w:sz w:val="18"/>
                <w:szCs w:val="18"/>
                <w:color w:val="auto"/>
              </w:rPr>
              <w:t>$144,664</w:t>
            </w:r>
          </w:p>
        </w:tc>
      </w:tr>
      <w:tr>
        <w:trPr>
          <w:trHeight w:val="216"/>
        </w:trPr>
        <w:tc>
          <w:tcPr>
            <w:tcW w:w="6080" w:type="dxa"/>
            <w:vAlign w:val="bottom"/>
            <w:shd w:val="clear" w:color="auto" w:fill="CCEEFF"/>
          </w:tcPr>
          <w:p>
            <w:pPr>
              <w:spacing w:after="0"/>
              <w:rPr>
                <w:sz w:val="20"/>
                <w:szCs w:val="20"/>
                <w:color w:val="auto"/>
              </w:rPr>
            </w:pPr>
            <w:r>
              <w:rPr>
                <w:rFonts w:ascii="Arial" w:cs="Arial" w:eastAsia="Arial" w:hAnsi="Arial"/>
                <w:sz w:val="18"/>
                <w:szCs w:val="18"/>
                <w:color w:val="auto"/>
              </w:rPr>
              <w:t>Net loss</w:t>
            </w:r>
          </w:p>
        </w:tc>
        <w:tc>
          <w:tcPr>
            <w:tcW w:w="1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(26,198)</w:t>
            </w:r>
          </w:p>
        </w:tc>
      </w:tr>
      <w:tr>
        <w:trPr>
          <w:trHeight w:val="365"/>
        </w:trPr>
        <w:tc>
          <w:tcPr>
            <w:tcW w:w="6080" w:type="dxa"/>
            <w:vAlign w:val="bottom"/>
          </w:tcPr>
          <w:p>
            <w:pPr>
              <w:ind w:left="3660"/>
              <w:spacing w:after="0"/>
              <w:rPr>
                <w:sz w:val="20"/>
                <w:szCs w:val="20"/>
                <w:color w:val="auto"/>
              </w:rPr>
            </w:pPr>
            <w:r>
              <w:rPr>
                <w:rFonts w:ascii="Arial" w:cs="Arial" w:eastAsia="Arial" w:hAnsi="Arial"/>
                <w:sz w:val="18"/>
                <w:szCs w:val="18"/>
                <w:color w:val="auto"/>
              </w:rPr>
              <w:t>10</w:t>
            </w:r>
          </w:p>
        </w:tc>
        <w:tc>
          <w:tcPr>
            <w:tcW w:w="1400" w:type="dxa"/>
            <w:vAlign w:val="bottom"/>
          </w:tcPr>
          <w:p>
            <w:pPr>
              <w:spacing w:after="0"/>
              <w:rPr>
                <w:sz w:val="24"/>
                <w:szCs w:val="24"/>
                <w:color w:val="auto"/>
              </w:rPr>
            </w:pPr>
          </w:p>
        </w:tc>
      </w:tr>
    </w:tbl>
    <w:p>
      <w:pPr>
        <w:sectPr>
          <w:pgSz w:w="11900" w:h="16838" w:orient="portrait"/>
          <w:cols w:equalWidth="0" w:num="1">
            <w:col w:w="10940"/>
          </w:cols>
          <w:pgMar w:left="440" w:top="270" w:right="519" w:bottom="1440" w:gutter="0" w:footer="0" w:header="0"/>
        </w:sectPr>
      </w:pPr>
    </w:p>
    <w:bookmarkStart w:id="14" w:name="page15"/>
    <w:bookmarkEnd w:id="14"/>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INPHI CORPORATION</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(Dollars in thousands except share and per share amounts)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40005</wp:posOffset>
            </wp:positionV>
            <wp:extent cx="6995160" cy="825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31" w:lineRule="exact"/>
        <w:rPr>
          <w:sz w:val="20"/>
          <w:szCs w:val="20"/>
          <w:color w:val="auto"/>
        </w:rPr>
      </w:pPr>
    </w:p>
    <w:p>
      <w:pPr>
        <w:ind w:right="140" w:firstLine="440"/>
        <w:spacing w:after="0" w:line="255" w:lineRule="auto"/>
        <w:rPr>
          <w:sz w:val="20"/>
          <w:szCs w:val="20"/>
          <w:color w:val="auto"/>
        </w:rPr>
      </w:pPr>
      <w:r>
        <w:rPr>
          <w:rFonts w:ascii="Arial" w:cs="Arial" w:eastAsia="Arial" w:hAnsi="Arial"/>
          <w:sz w:val="18"/>
          <w:szCs w:val="18"/>
          <w:color w:val="auto"/>
        </w:rPr>
        <w:t>The unaudited pro forma financial information was prepared using the acquisition method of accounting and are based on the historical financial information of the Company, eSilicon and Arrive, reflecting the results of operations for the three months ended March 31, 2020. The unaudited pro forma financial information is not necessarily indicative of what the Company’s consolidated results of operations actually would have been had the Company completed the acquisitions as of the beginning of the period presented. In addition, the unaudited pro forma financial information does not purport to project the future results of operations of the combined company nor do they reflect the expected realization of any cost savings associated with the acquisitions.</w:t>
      </w:r>
    </w:p>
    <w:p>
      <w:pPr>
        <w:spacing w:after="0" w:line="29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Investments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table summarizes the investments in marketable securities by investment category:</w:t>
      </w:r>
    </w:p>
    <w:p>
      <w:pPr>
        <w:spacing w:after="0" w:line="244" w:lineRule="exact"/>
        <w:rPr>
          <w:sz w:val="20"/>
          <w:szCs w:val="20"/>
          <w:color w:val="auto"/>
        </w:rPr>
      </w:pPr>
    </w:p>
    <w:tbl>
      <w:tblPr>
        <w:tblLayout w:type="fixed"/>
        <w:tblInd w:w="440" w:type="dxa"/>
        <w:tblCellMar>
          <w:top w:w="0" w:type="dxa"/>
          <w:left w:w="0" w:type="dxa"/>
          <w:bottom w:w="0" w:type="dxa"/>
          <w:right w:w="0" w:type="dxa"/>
        </w:tblCellMar>
      </w:tblPr>
      <w:tr>
        <w:trPr>
          <w:trHeight w:val="171"/>
        </w:trPr>
        <w:tc>
          <w:tcPr>
            <w:tcW w:w="63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800" w:type="dxa"/>
            <w:vAlign w:val="bottom"/>
            <w:gridSpan w:val="6"/>
          </w:tcPr>
          <w:p>
            <w:pPr>
              <w:jc w:val="right"/>
              <w:ind w:right="580"/>
              <w:spacing w:after="0"/>
              <w:rPr>
                <w:sz w:val="20"/>
                <w:szCs w:val="20"/>
                <w:color w:val="auto"/>
              </w:rPr>
            </w:pPr>
            <w:r>
              <w:rPr>
                <w:rFonts w:ascii="Arial" w:cs="Arial" w:eastAsia="Arial" w:hAnsi="Arial"/>
                <w:sz w:val="14"/>
                <w:szCs w:val="14"/>
                <w:b w:val="1"/>
                <w:bCs w:val="1"/>
                <w:color w:val="auto"/>
              </w:rPr>
              <w:t>March 31, 2021</w:t>
            </w:r>
          </w:p>
        </w:tc>
        <w:tc>
          <w:tcPr>
            <w:tcW w:w="220" w:type="dxa"/>
            <w:vAlign w:val="bottom"/>
          </w:tcPr>
          <w:p>
            <w:pPr>
              <w:spacing w:after="0"/>
              <w:rPr>
                <w:sz w:val="14"/>
                <w:szCs w:val="14"/>
                <w:color w:val="auto"/>
              </w:rPr>
            </w:pPr>
          </w:p>
        </w:tc>
        <w:tc>
          <w:tcPr>
            <w:tcW w:w="1720" w:type="dxa"/>
            <w:vAlign w:val="bottom"/>
            <w:gridSpan w:val="5"/>
          </w:tcPr>
          <w:p>
            <w:pPr>
              <w:ind w:left="260"/>
              <w:spacing w:after="0"/>
              <w:rPr>
                <w:sz w:val="20"/>
                <w:szCs w:val="20"/>
                <w:color w:val="auto"/>
              </w:rPr>
            </w:pPr>
            <w:r>
              <w:rPr>
                <w:rFonts w:ascii="Arial" w:cs="Arial" w:eastAsia="Arial" w:hAnsi="Arial"/>
                <w:sz w:val="14"/>
                <w:szCs w:val="14"/>
                <w:b w:val="1"/>
                <w:bCs w:val="1"/>
                <w:color w:val="auto"/>
              </w:rPr>
              <w:t>December 31, 2020</w:t>
            </w:r>
          </w:p>
        </w:tc>
      </w:tr>
      <w:tr>
        <w:trPr>
          <w:trHeight w:val="142"/>
        </w:trPr>
        <w:tc>
          <w:tcPr>
            <w:tcW w:w="63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Borders>
              <w:top w:val="single" w:sz="8" w:color="auto"/>
            </w:tcBorders>
          </w:tcPr>
          <w:p>
            <w:pPr>
              <w:spacing w:after="0"/>
              <w:rPr>
                <w:sz w:val="12"/>
                <w:szCs w:val="12"/>
                <w:color w:val="auto"/>
              </w:rPr>
            </w:pPr>
          </w:p>
        </w:tc>
        <w:tc>
          <w:tcPr>
            <w:tcW w:w="520" w:type="dxa"/>
            <w:vAlign w:val="bottom"/>
            <w:tcBorders>
              <w:top w:val="single" w:sz="8" w:color="auto"/>
            </w:tcBorders>
            <w:gridSpan w:val="2"/>
          </w:tcPr>
          <w:p>
            <w:pPr>
              <w:jc w:val="right"/>
              <w:ind w:right="180"/>
              <w:spacing w:after="0" w:line="142" w:lineRule="exact"/>
              <w:rPr>
                <w:sz w:val="20"/>
                <w:szCs w:val="20"/>
                <w:color w:val="auto"/>
              </w:rPr>
            </w:pPr>
            <w:r>
              <w:rPr>
                <w:rFonts w:ascii="Arial" w:cs="Arial" w:eastAsia="Arial" w:hAnsi="Arial"/>
                <w:sz w:val="14"/>
                <w:szCs w:val="14"/>
                <w:b w:val="1"/>
                <w:bCs w:val="1"/>
                <w:color w:val="auto"/>
              </w:rPr>
              <w:t>Cost</w:t>
            </w:r>
          </w:p>
        </w:tc>
        <w:tc>
          <w:tcPr>
            <w:tcW w:w="420" w:type="dxa"/>
            <w:vAlign w:val="bottom"/>
            <w:tcBorders>
              <w:top w:val="single" w:sz="8" w:color="auto"/>
            </w:tcBorders>
          </w:tcPr>
          <w:p>
            <w:pPr>
              <w:spacing w:after="0"/>
              <w:rPr>
                <w:sz w:val="12"/>
                <w:szCs w:val="12"/>
                <w:color w:val="auto"/>
              </w:rPr>
            </w:pPr>
          </w:p>
        </w:tc>
        <w:tc>
          <w:tcPr>
            <w:tcW w:w="64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92"/>
              </w:rPr>
              <w:t>Fair Value</w:t>
            </w:r>
          </w:p>
        </w:tc>
        <w:tc>
          <w:tcPr>
            <w:tcW w:w="2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0" w:type="dxa"/>
            <w:vAlign w:val="bottom"/>
            <w:tcBorders>
              <w:top w:val="single" w:sz="8" w:color="auto"/>
            </w:tcBorders>
            <w:gridSpan w:val="2"/>
          </w:tcPr>
          <w:p>
            <w:pPr>
              <w:ind w:left="160"/>
              <w:spacing w:after="0" w:line="142" w:lineRule="exact"/>
              <w:rPr>
                <w:sz w:val="20"/>
                <w:szCs w:val="20"/>
                <w:color w:val="auto"/>
              </w:rPr>
            </w:pPr>
            <w:r>
              <w:rPr>
                <w:rFonts w:ascii="Arial" w:cs="Arial" w:eastAsia="Arial" w:hAnsi="Arial"/>
                <w:sz w:val="14"/>
                <w:szCs w:val="14"/>
                <w:b w:val="1"/>
                <w:bCs w:val="1"/>
                <w:color w:val="auto"/>
              </w:rPr>
              <w:t>Cost</w:t>
            </w:r>
          </w:p>
        </w:tc>
        <w:tc>
          <w:tcPr>
            <w:tcW w:w="22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92"/>
              </w:rPr>
              <w:t>Fair Value</w:t>
            </w:r>
          </w:p>
        </w:tc>
        <w:tc>
          <w:tcPr>
            <w:tcW w:w="40" w:type="dxa"/>
            <w:vAlign w:val="bottom"/>
          </w:tcPr>
          <w:p>
            <w:pPr>
              <w:spacing w:after="0"/>
              <w:rPr>
                <w:sz w:val="12"/>
                <w:szCs w:val="12"/>
                <w:color w:val="auto"/>
              </w:rPr>
            </w:pPr>
          </w:p>
        </w:tc>
      </w:tr>
      <w:tr>
        <w:trPr>
          <w:trHeight w:val="196"/>
        </w:trPr>
        <w:tc>
          <w:tcPr>
            <w:tcW w:w="63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Available-for-sale securities:</w:t>
            </w:r>
          </w:p>
        </w:tc>
        <w:tc>
          <w:tcPr>
            <w:tcW w:w="2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r>
      <w:tr>
        <w:trPr>
          <w:trHeight w:val="216"/>
        </w:trPr>
        <w:tc>
          <w:tcPr>
            <w:tcW w:w="6300" w:type="dxa"/>
            <w:vAlign w:val="bottom"/>
          </w:tcPr>
          <w:p>
            <w:pPr>
              <w:ind w:left="360"/>
              <w:spacing w:after="0"/>
              <w:rPr>
                <w:sz w:val="20"/>
                <w:szCs w:val="20"/>
                <w:color w:val="auto"/>
              </w:rPr>
            </w:pPr>
            <w:r>
              <w:rPr>
                <w:rFonts w:ascii="Arial" w:cs="Arial" w:eastAsia="Arial" w:hAnsi="Arial"/>
                <w:sz w:val="18"/>
                <w:szCs w:val="18"/>
                <w:color w:val="auto"/>
              </w:rPr>
              <w:t>Municipal bonds</w:t>
            </w:r>
          </w:p>
        </w:tc>
        <w:tc>
          <w:tcPr>
            <w:tcW w:w="80" w:type="dxa"/>
            <w:vAlign w:val="bottom"/>
            <w:gridSpan w:val="2"/>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gridSpan w:val="2"/>
          </w:tcPr>
          <w:p>
            <w:pPr>
              <w:jc w:val="right"/>
              <w:ind w:right="20"/>
              <w:spacing w:after="0"/>
              <w:rPr>
                <w:sz w:val="20"/>
                <w:szCs w:val="20"/>
                <w:color w:val="auto"/>
              </w:rPr>
            </w:pPr>
            <w:r>
              <w:rPr>
                <w:rFonts w:ascii="Arial" w:cs="Arial" w:eastAsia="Arial" w:hAnsi="Arial"/>
                <w:sz w:val="18"/>
                <w:szCs w:val="18"/>
                <w:color w:val="auto"/>
              </w:rPr>
              <w:t>2,895</w:t>
            </w:r>
          </w:p>
        </w:tc>
        <w:tc>
          <w:tcPr>
            <w:tcW w:w="540" w:type="dxa"/>
            <w:vAlign w:val="bottom"/>
            <w:gridSpan w:val="2"/>
          </w:tcPr>
          <w:p>
            <w:pPr>
              <w:ind w:left="420"/>
              <w:spacing w:after="0"/>
              <w:rPr>
                <w:sz w:val="20"/>
                <w:szCs w:val="20"/>
                <w:color w:val="auto"/>
              </w:rPr>
            </w:pPr>
            <w:r>
              <w:rPr>
                <w:rFonts w:ascii="Arial" w:cs="Arial" w:eastAsia="Arial" w:hAnsi="Arial"/>
                <w:sz w:val="18"/>
                <w:szCs w:val="18"/>
                <w:color w:val="auto"/>
                <w:w w:val="99"/>
              </w:rPr>
              <w:t>$</w:t>
            </w:r>
          </w:p>
        </w:tc>
        <w:tc>
          <w:tcPr>
            <w:tcW w:w="740" w:type="dxa"/>
            <w:vAlign w:val="bottom"/>
            <w:gridSpan w:val="2"/>
          </w:tcPr>
          <w:p>
            <w:pPr>
              <w:jc w:val="right"/>
              <w:ind w:right="220"/>
              <w:spacing w:after="0"/>
              <w:rPr>
                <w:sz w:val="20"/>
                <w:szCs w:val="20"/>
                <w:color w:val="auto"/>
              </w:rPr>
            </w:pPr>
            <w:r>
              <w:rPr>
                <w:rFonts w:ascii="Arial" w:cs="Arial" w:eastAsia="Arial" w:hAnsi="Arial"/>
                <w:sz w:val="18"/>
                <w:szCs w:val="18"/>
                <w:color w:val="auto"/>
              </w:rPr>
              <w:t>2,945</w:t>
            </w:r>
          </w:p>
        </w:tc>
        <w:tc>
          <w:tcPr>
            <w:tcW w:w="1020" w:type="dxa"/>
            <w:vAlign w:val="bottom"/>
            <w:gridSpan w:val="3"/>
          </w:tcPr>
          <w:p>
            <w:pPr>
              <w:jc w:val="right"/>
              <w:ind w:right="200"/>
              <w:spacing w:after="0"/>
              <w:rPr>
                <w:sz w:val="20"/>
                <w:szCs w:val="20"/>
                <w:color w:val="auto"/>
              </w:rPr>
            </w:pPr>
            <w:r>
              <w:rPr>
                <w:rFonts w:ascii="Arial" w:cs="Arial" w:eastAsia="Arial" w:hAnsi="Arial"/>
                <w:sz w:val="18"/>
                <w:szCs w:val="18"/>
                <w:color w:val="auto"/>
              </w:rPr>
              <w:t>$18,844</w:t>
            </w:r>
          </w:p>
        </w:tc>
        <w:tc>
          <w:tcPr>
            <w:tcW w:w="920" w:type="dxa"/>
            <w:vAlign w:val="bottom"/>
            <w:gridSpan w:val="3"/>
          </w:tcPr>
          <w:p>
            <w:pPr>
              <w:jc w:val="right"/>
              <w:ind w:right="40"/>
              <w:spacing w:after="0"/>
              <w:rPr>
                <w:sz w:val="20"/>
                <w:szCs w:val="20"/>
                <w:color w:val="auto"/>
              </w:rPr>
            </w:pPr>
            <w:r>
              <w:rPr>
                <w:rFonts w:ascii="Arial" w:cs="Arial" w:eastAsia="Arial" w:hAnsi="Arial"/>
                <w:sz w:val="18"/>
                <w:szCs w:val="18"/>
                <w:color w:val="auto"/>
              </w:rPr>
              <w:t>$ 18,940</w:t>
            </w:r>
          </w:p>
        </w:tc>
      </w:tr>
      <w:tr>
        <w:trPr>
          <w:trHeight w:val="216"/>
        </w:trPr>
        <w:tc>
          <w:tcPr>
            <w:tcW w:w="63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Corporate notes/bonds</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7"/>
              </w:rPr>
              <w:t>14,485</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0"/>
              </w:rPr>
              <w:t>14,651</w:t>
            </w:r>
          </w:p>
        </w:tc>
        <w:tc>
          <w:tcPr>
            <w:tcW w:w="102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39,138</w:t>
            </w:r>
          </w:p>
        </w:tc>
        <w:tc>
          <w:tcPr>
            <w:tcW w:w="92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39,546</w:t>
            </w:r>
          </w:p>
        </w:tc>
      </w:tr>
      <w:tr>
        <w:trPr>
          <w:trHeight w:val="216"/>
        </w:trPr>
        <w:tc>
          <w:tcPr>
            <w:tcW w:w="6300" w:type="dxa"/>
            <w:vAlign w:val="bottom"/>
          </w:tcPr>
          <w:p>
            <w:pPr>
              <w:ind w:left="360"/>
              <w:spacing w:after="0"/>
              <w:rPr>
                <w:sz w:val="20"/>
                <w:szCs w:val="20"/>
                <w:color w:val="auto"/>
              </w:rPr>
            </w:pPr>
            <w:r>
              <w:rPr>
                <w:rFonts w:ascii="Arial" w:cs="Arial" w:eastAsia="Arial" w:hAnsi="Arial"/>
                <w:sz w:val="18"/>
                <w:szCs w:val="18"/>
                <w:color w:val="auto"/>
              </w:rPr>
              <w:t>Asset backed securities</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strike w:val="1"/>
              </w:rPr>
              <w:t>—</w:t>
            </w:r>
          </w:p>
        </w:tc>
        <w:tc>
          <w:tcPr>
            <w:tcW w:w="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strike w:val="1"/>
              </w:rPr>
              <w:t>—</w:t>
            </w:r>
          </w:p>
        </w:tc>
        <w:tc>
          <w:tcPr>
            <w:tcW w:w="220" w:type="dxa"/>
            <w:vAlign w:val="bottom"/>
          </w:tcPr>
          <w:p>
            <w:pPr>
              <w:spacing w:after="0"/>
              <w:rPr>
                <w:sz w:val="18"/>
                <w:szCs w:val="18"/>
                <w:color w:val="auto"/>
              </w:rPr>
            </w:pPr>
          </w:p>
        </w:tc>
        <w:tc>
          <w:tcPr>
            <w:tcW w:w="1020" w:type="dxa"/>
            <w:vAlign w:val="bottom"/>
            <w:gridSpan w:val="3"/>
          </w:tcPr>
          <w:p>
            <w:pPr>
              <w:jc w:val="right"/>
              <w:ind w:right="200"/>
              <w:spacing w:after="0"/>
              <w:rPr>
                <w:sz w:val="20"/>
                <w:szCs w:val="20"/>
                <w:color w:val="auto"/>
              </w:rPr>
            </w:pPr>
            <w:r>
              <w:rPr>
                <w:rFonts w:ascii="Arial" w:cs="Arial" w:eastAsia="Arial" w:hAnsi="Arial"/>
                <w:sz w:val="18"/>
                <w:szCs w:val="18"/>
                <w:color w:val="auto"/>
              </w:rPr>
              <w:t>2,500</w:t>
            </w:r>
          </w:p>
        </w:tc>
        <w:tc>
          <w:tcPr>
            <w:tcW w:w="920" w:type="dxa"/>
            <w:vAlign w:val="bottom"/>
            <w:gridSpan w:val="3"/>
          </w:tcPr>
          <w:p>
            <w:pPr>
              <w:jc w:val="right"/>
              <w:ind w:right="40"/>
              <w:spacing w:after="0"/>
              <w:rPr>
                <w:sz w:val="20"/>
                <w:szCs w:val="20"/>
                <w:color w:val="auto"/>
              </w:rPr>
            </w:pPr>
            <w:r>
              <w:rPr>
                <w:rFonts w:ascii="Arial" w:cs="Arial" w:eastAsia="Arial" w:hAnsi="Arial"/>
                <w:sz w:val="18"/>
                <w:szCs w:val="18"/>
                <w:color w:val="auto"/>
              </w:rPr>
              <w:t>2,504</w:t>
            </w:r>
          </w:p>
        </w:tc>
      </w:tr>
      <w:tr>
        <w:trPr>
          <w:trHeight w:val="216"/>
        </w:trPr>
        <w:tc>
          <w:tcPr>
            <w:tcW w:w="63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Commercial paper</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strike w:val="1"/>
              </w:rPr>
              <w:t>—</w:t>
            </w:r>
          </w:p>
        </w:tc>
        <w:tc>
          <w:tcPr>
            <w:tcW w:w="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strike w:val="1"/>
              </w:rPr>
              <w:t>—</w:t>
            </w:r>
          </w:p>
        </w:tc>
        <w:tc>
          <w:tcPr>
            <w:tcW w:w="220" w:type="dxa"/>
            <w:vAlign w:val="bottom"/>
            <w:shd w:val="clear" w:color="auto" w:fill="CCEEFF"/>
          </w:tcPr>
          <w:p>
            <w:pPr>
              <w:spacing w:after="0"/>
              <w:rPr>
                <w:sz w:val="18"/>
                <w:szCs w:val="18"/>
                <w:color w:val="auto"/>
              </w:rPr>
            </w:pPr>
          </w:p>
        </w:tc>
        <w:tc>
          <w:tcPr>
            <w:tcW w:w="102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2,399</w:t>
            </w:r>
          </w:p>
        </w:tc>
        <w:tc>
          <w:tcPr>
            <w:tcW w:w="92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2,399</w:t>
            </w:r>
          </w:p>
        </w:tc>
      </w:tr>
      <w:tr>
        <w:trPr>
          <w:trHeight w:val="223"/>
        </w:trPr>
        <w:tc>
          <w:tcPr>
            <w:tcW w:w="6300" w:type="dxa"/>
            <w:vAlign w:val="bottom"/>
          </w:tcPr>
          <w:p>
            <w:pPr>
              <w:spacing w:after="0"/>
              <w:rPr>
                <w:sz w:val="20"/>
                <w:szCs w:val="20"/>
                <w:color w:val="auto"/>
              </w:rPr>
            </w:pPr>
            <w:r>
              <w:rPr>
                <w:rFonts w:ascii="Arial" w:cs="Arial" w:eastAsia="Arial" w:hAnsi="Arial"/>
                <w:sz w:val="18"/>
                <w:szCs w:val="18"/>
                <w:color w:val="auto"/>
              </w:rPr>
              <w:t>Total investments</w:t>
            </w:r>
          </w:p>
        </w:tc>
        <w:tc>
          <w:tcPr>
            <w:tcW w:w="20" w:type="dxa"/>
            <w:vAlign w:val="bottom"/>
            <w:tcBorders>
              <w:bottom w:val="single" w:sz="8" w:color="auto"/>
            </w:tcBorders>
          </w:tcPr>
          <w:p>
            <w:pPr>
              <w:spacing w:after="0"/>
              <w:rPr>
                <w:sz w:val="19"/>
                <w:szCs w:val="19"/>
                <w:color w:val="auto"/>
              </w:rPr>
            </w:pPr>
          </w:p>
        </w:tc>
        <w:tc>
          <w:tcPr>
            <w:tcW w:w="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u w:val="single" w:color="auto"/>
                <w:color w:val="auto"/>
                <w:w w:val="71"/>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17,380</w:t>
            </w:r>
          </w:p>
        </w:tc>
        <w:tc>
          <w:tcPr>
            <w:tcW w:w="20" w:type="dxa"/>
            <w:vAlign w:val="bottom"/>
            <w:tcBorders>
              <w:bottom w:val="single" w:sz="8" w:color="auto"/>
            </w:tcBorders>
          </w:tcPr>
          <w:p>
            <w:pPr>
              <w:spacing w:after="0"/>
              <w:rPr>
                <w:sz w:val="19"/>
                <w:szCs w:val="19"/>
                <w:color w:val="auto"/>
              </w:rPr>
            </w:pPr>
          </w:p>
        </w:tc>
        <w:tc>
          <w:tcPr>
            <w:tcW w:w="42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5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0"/>
              </w:rPr>
              <w:t>17,596</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62,881</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1"/>
              </w:rPr>
              <w:t>$ 63,389</w:t>
            </w:r>
          </w:p>
        </w:tc>
        <w:tc>
          <w:tcPr>
            <w:tcW w:w="40" w:type="dxa"/>
            <w:vAlign w:val="bottom"/>
          </w:tcPr>
          <w:p>
            <w:pPr>
              <w:spacing w:after="0"/>
              <w:rPr>
                <w:sz w:val="19"/>
                <w:szCs w:val="19"/>
                <w:color w:val="auto"/>
              </w:rPr>
            </w:pPr>
          </w:p>
        </w:tc>
      </w:tr>
      <w:tr>
        <w:trPr>
          <w:trHeight w:val="20"/>
        </w:trPr>
        <w:tc>
          <w:tcPr>
            <w:tcW w:w="6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15" w:lineRule="exact"/>
        <w:rPr>
          <w:sz w:val="20"/>
          <w:szCs w:val="20"/>
          <w:color w:val="auto"/>
        </w:rPr>
      </w:pPr>
    </w:p>
    <w:p>
      <w:pPr>
        <w:ind w:right="200" w:firstLine="440"/>
        <w:spacing w:after="0" w:line="301" w:lineRule="auto"/>
        <w:rPr>
          <w:sz w:val="20"/>
          <w:szCs w:val="20"/>
          <w:color w:val="auto"/>
        </w:rPr>
      </w:pPr>
      <w:r>
        <w:rPr>
          <w:rFonts w:ascii="Arial" w:cs="Arial" w:eastAsia="Arial" w:hAnsi="Arial"/>
          <w:sz w:val="16"/>
          <w:szCs w:val="16"/>
          <w:color w:val="auto"/>
        </w:rPr>
        <w:t>As of March 31, 2021, there were no investments that had an unrealized loss position. The Company reviews the investments to identify and evaluate investments that have an indication of possible other-than-temporary impairment. Factors considered in determining whether a loss is other-than-temporary include the extent to which fair value has been less than the cost basis, the financial condition and near-term prospects of the investee, and the intent and ability to hold the investment for a period of time sufficient to allow for any anticipated recovery in market value.</w:t>
      </w:r>
    </w:p>
    <w:p>
      <w:pPr>
        <w:spacing w:after="0" w:line="15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contractual maturities of available-for-sale securities at March 31, 2021 are presented in the following table:</w:t>
      </w:r>
    </w:p>
    <w:p>
      <w:pPr>
        <w:spacing w:after="0" w:line="244" w:lineRule="exact"/>
        <w:rPr>
          <w:sz w:val="20"/>
          <w:szCs w:val="20"/>
          <w:color w:val="auto"/>
        </w:rPr>
      </w:pPr>
    </w:p>
    <w:tbl>
      <w:tblPr>
        <w:tblLayout w:type="fixed"/>
        <w:tblInd w:w="1320" w:type="dxa"/>
        <w:tblCellMar>
          <w:top w:w="0" w:type="dxa"/>
          <w:left w:w="0" w:type="dxa"/>
          <w:bottom w:w="0" w:type="dxa"/>
          <w:right w:w="0" w:type="dxa"/>
        </w:tblCellMar>
      </w:tblPr>
      <w:tr>
        <w:trPr>
          <w:trHeight w:val="171"/>
        </w:trPr>
        <w:tc>
          <w:tcPr>
            <w:tcW w:w="6620" w:type="dxa"/>
            <w:vAlign w:val="bottom"/>
          </w:tcPr>
          <w:p>
            <w:pPr>
              <w:spacing w:after="0"/>
              <w:rPr>
                <w:sz w:val="14"/>
                <w:szCs w:val="14"/>
                <w:color w:val="auto"/>
              </w:rPr>
            </w:pPr>
          </w:p>
        </w:tc>
        <w:tc>
          <w:tcPr>
            <w:tcW w:w="104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9"/>
              </w:rPr>
              <w:t>Cost</w:t>
            </w:r>
          </w:p>
        </w:tc>
        <w:tc>
          <w:tcPr>
            <w:tcW w:w="700" w:type="dxa"/>
            <w:vAlign w:val="bottom"/>
            <w:gridSpan w:val="2"/>
          </w:tcPr>
          <w:p>
            <w:pPr>
              <w:ind w:left="20"/>
              <w:spacing w:after="0"/>
              <w:rPr>
                <w:sz w:val="20"/>
                <w:szCs w:val="20"/>
                <w:color w:val="auto"/>
              </w:rPr>
            </w:pPr>
            <w:r>
              <w:rPr>
                <w:rFonts w:ascii="Arial" w:cs="Arial" w:eastAsia="Arial" w:hAnsi="Arial"/>
                <w:sz w:val="14"/>
                <w:szCs w:val="14"/>
                <w:b w:val="1"/>
                <w:bCs w:val="1"/>
                <w:color w:val="auto"/>
                <w:w w:val="98"/>
              </w:rPr>
              <w:t>Fair Value</w:t>
            </w:r>
          </w:p>
        </w:tc>
      </w:tr>
      <w:tr>
        <w:trPr>
          <w:trHeight w:val="210"/>
        </w:trPr>
        <w:tc>
          <w:tcPr>
            <w:tcW w:w="66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580" w:type="dxa"/>
            <w:vAlign w:val="bottom"/>
            <w:tcBorders>
              <w:top w:val="single" w:sz="8" w:color="auto"/>
              <w:bottom w:val="single" w:sz="8" w:color="auto"/>
            </w:tcBorders>
            <w:shd w:val="clear" w:color="auto" w:fill="CCEEFF"/>
          </w:tcPr>
          <w:p>
            <w:pPr>
              <w:jc w:val="center"/>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17,380</w:t>
            </w:r>
          </w:p>
        </w:tc>
        <w:tc>
          <w:tcPr>
            <w:tcW w:w="46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1"/>
              </w:rPr>
              <w:t>$ 17,596</w:t>
            </w:r>
          </w:p>
        </w:tc>
        <w:tc>
          <w:tcPr>
            <w:tcW w:w="40" w:type="dxa"/>
            <w:vAlign w:val="bottom"/>
            <w:tcBorders>
              <w:top w:val="single" w:sz="8" w:color="CCEEFF"/>
            </w:tcBorders>
            <w:shd w:val="clear" w:color="auto" w:fill="CCEEFF"/>
          </w:tcPr>
          <w:p>
            <w:pPr>
              <w:spacing w:after="0"/>
              <w:rPr>
                <w:sz w:val="18"/>
                <w:szCs w:val="18"/>
                <w:color w:val="auto"/>
              </w:rPr>
            </w:pPr>
          </w:p>
        </w:tc>
      </w:tr>
      <w:tr>
        <w:trPr>
          <w:trHeight w:val="20"/>
        </w:trPr>
        <w:tc>
          <w:tcPr>
            <w:tcW w:w="662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15" w:lineRule="exact"/>
        <w:rPr>
          <w:sz w:val="20"/>
          <w:szCs w:val="20"/>
          <w:color w:val="auto"/>
        </w:rPr>
      </w:pPr>
    </w:p>
    <w:p>
      <w:pPr>
        <w:ind w:right="40" w:firstLine="440"/>
        <w:spacing w:after="0" w:line="263" w:lineRule="auto"/>
        <w:rPr>
          <w:sz w:val="20"/>
          <w:szCs w:val="20"/>
          <w:color w:val="auto"/>
        </w:rPr>
      </w:pPr>
      <w:r>
        <w:rPr>
          <w:rFonts w:ascii="Arial" w:cs="Arial" w:eastAsia="Arial" w:hAnsi="Arial"/>
          <w:sz w:val="18"/>
          <w:szCs w:val="18"/>
          <w:color w:val="auto"/>
        </w:rPr>
        <w:t>The Company has a marketable equity investment in a company located in Taiwan. The fair value of the investment and unrealized loss as of March 31, 2021 was $1,649 and $345, respectively. The fair value of the investment and unrealized loss as of December 31, 2020 was $1,871 and $123, respectively. This investment is included in Other assets, net in the condensed consolidated balance sheets.</w:t>
      </w:r>
    </w:p>
    <w:p>
      <w:pPr>
        <w:spacing w:after="0" w:line="184" w:lineRule="exact"/>
        <w:rPr>
          <w:sz w:val="20"/>
          <w:szCs w:val="20"/>
          <w:color w:val="auto"/>
        </w:rPr>
      </w:pPr>
    </w:p>
    <w:p>
      <w:pPr>
        <w:ind w:firstLine="440"/>
        <w:spacing w:after="0" w:line="290" w:lineRule="auto"/>
        <w:rPr>
          <w:sz w:val="20"/>
          <w:szCs w:val="20"/>
          <w:color w:val="auto"/>
        </w:rPr>
      </w:pPr>
      <w:r>
        <w:rPr>
          <w:rFonts w:ascii="Arial" w:cs="Arial" w:eastAsia="Arial" w:hAnsi="Arial"/>
          <w:sz w:val="16"/>
          <w:szCs w:val="16"/>
          <w:color w:val="auto"/>
        </w:rPr>
        <w:t>The Company has non-marketable equity investments in privately held companies without readily determinable market values. The Company adjusts the carrying value of non-marketable equity investments to fair value upon observable transactions for identical or similar investments of the same issuer or impairment (referred to as the measurement alternative). All gains and losses on non-marketable equity investments, realized and unrealized, are recognized in Other income, net in the condensed consolidated statements of operations. As of March 31, 2021, non-marketable equity investments had a carrying value of approximately $27,741, of which $8,648 was remeasured to fair value based on an observable transaction during the three months ended March 31, 2021. As of December 31, 2020, non-marketable equity investments had a carrying value of $23,593. These investments are included in Other assets, net in the condensed consolidated balance sheets. An unrealized gain of $3,648 was recorded in Other income and included as an adjustment to the carrying value of non-marketable equity investments for the three months ended March 31, 2021.</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 Inventories</w:t>
      </w:r>
    </w:p>
    <w:p>
      <w:pPr>
        <w:spacing w:after="0" w:line="121" w:lineRule="exact"/>
        <w:rPr>
          <w:sz w:val="20"/>
          <w:szCs w:val="20"/>
          <w:color w:val="auto"/>
        </w:rPr>
      </w:pPr>
    </w:p>
    <w:p>
      <w:pPr>
        <w:ind w:left="860"/>
        <w:spacing w:after="0"/>
        <w:rPr>
          <w:sz w:val="20"/>
          <w:szCs w:val="20"/>
          <w:color w:val="auto"/>
        </w:rPr>
      </w:pPr>
      <w:r>
        <w:rPr>
          <w:rFonts w:ascii="Arial" w:cs="Arial" w:eastAsia="Arial" w:hAnsi="Arial"/>
          <w:sz w:val="18"/>
          <w:szCs w:val="18"/>
          <w:color w:val="auto"/>
        </w:rPr>
        <w:t>Inventories consist of the following:</w:t>
      </w:r>
    </w:p>
    <w:p>
      <w:pPr>
        <w:spacing w:after="0" w:line="244" w:lineRule="exact"/>
        <w:rPr>
          <w:sz w:val="20"/>
          <w:szCs w:val="20"/>
          <w:color w:val="auto"/>
        </w:rPr>
      </w:pPr>
    </w:p>
    <w:tbl>
      <w:tblPr>
        <w:tblLayout w:type="fixed"/>
        <w:tblInd w:w="1320" w:type="dxa"/>
        <w:tblCellMar>
          <w:top w:w="0" w:type="dxa"/>
          <w:left w:w="0" w:type="dxa"/>
          <w:bottom w:w="0" w:type="dxa"/>
          <w:right w:w="0" w:type="dxa"/>
        </w:tblCellMar>
      </w:tblPr>
      <w:tr>
        <w:trPr>
          <w:trHeight w:val="171"/>
        </w:trPr>
        <w:tc>
          <w:tcPr>
            <w:tcW w:w="2640" w:type="dxa"/>
            <w:vAlign w:val="bottom"/>
          </w:tcPr>
          <w:p>
            <w:pPr>
              <w:spacing w:after="0"/>
              <w:rPr>
                <w:sz w:val="14"/>
                <w:szCs w:val="14"/>
                <w:color w:val="auto"/>
              </w:rPr>
            </w:pPr>
          </w:p>
        </w:tc>
        <w:tc>
          <w:tcPr>
            <w:tcW w:w="2800" w:type="dxa"/>
            <w:vAlign w:val="bottom"/>
          </w:tcPr>
          <w:p>
            <w:pPr>
              <w:spacing w:after="0"/>
              <w:rPr>
                <w:sz w:val="14"/>
                <w:szCs w:val="14"/>
                <w:color w:val="auto"/>
              </w:rPr>
            </w:pPr>
          </w:p>
        </w:tc>
        <w:tc>
          <w:tcPr>
            <w:tcW w:w="1720" w:type="dxa"/>
            <w:vAlign w:val="bottom"/>
            <w:gridSpan w:val="3"/>
          </w:tcPr>
          <w:p>
            <w:pPr>
              <w:jc w:val="right"/>
              <w:ind w:right="760"/>
              <w:spacing w:after="0"/>
              <w:rPr>
                <w:sz w:val="20"/>
                <w:szCs w:val="20"/>
                <w:color w:val="auto"/>
              </w:rPr>
            </w:pPr>
            <w:r>
              <w:rPr>
                <w:rFonts w:ascii="Arial" w:cs="Arial" w:eastAsia="Arial" w:hAnsi="Arial"/>
                <w:sz w:val="14"/>
                <w:szCs w:val="14"/>
                <w:b w:val="1"/>
                <w:bCs w:val="1"/>
                <w:color w:val="auto"/>
                <w:w w:val="94"/>
              </w:rPr>
              <w:t>March 31, 2021</w:t>
            </w:r>
          </w:p>
        </w:tc>
        <w:tc>
          <w:tcPr>
            <w:tcW w:w="1200" w:type="dxa"/>
            <w:vAlign w:val="bottom"/>
            <w:gridSpan w:val="3"/>
          </w:tcPr>
          <w:p>
            <w:pPr>
              <w:jc w:val="right"/>
              <w:ind w:right="40"/>
              <w:spacing w:after="0"/>
              <w:rPr>
                <w:sz w:val="20"/>
                <w:szCs w:val="20"/>
                <w:color w:val="auto"/>
              </w:rPr>
            </w:pPr>
            <w:r>
              <w:rPr>
                <w:rFonts w:ascii="Arial" w:cs="Arial" w:eastAsia="Arial" w:hAnsi="Arial"/>
                <w:sz w:val="14"/>
                <w:szCs w:val="14"/>
                <w:b w:val="1"/>
                <w:bCs w:val="1"/>
                <w:color w:val="auto"/>
                <w:w w:val="90"/>
              </w:rPr>
              <w:t>December 31, 2020</w:t>
            </w:r>
          </w:p>
        </w:tc>
        <w:tc>
          <w:tcPr>
            <w:tcW w:w="0" w:type="dxa"/>
            <w:vAlign w:val="bottom"/>
          </w:tcPr>
          <w:p>
            <w:pPr>
              <w:spacing w:after="0"/>
              <w:rPr>
                <w:sz w:val="1"/>
                <w:szCs w:val="1"/>
                <w:color w:val="auto"/>
              </w:rPr>
            </w:pPr>
          </w:p>
        </w:tc>
      </w:tr>
      <w:tr>
        <w:trPr>
          <w:trHeight w:val="210"/>
        </w:trPr>
        <w:tc>
          <w:tcPr>
            <w:tcW w:w="26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Raw materials</w:t>
            </w:r>
          </w:p>
        </w:tc>
        <w:tc>
          <w:tcPr>
            <w:tcW w:w="28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47,711</w:t>
            </w:r>
          </w:p>
        </w:tc>
        <w:tc>
          <w:tcPr>
            <w:tcW w:w="76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50,626</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40" w:type="dxa"/>
            <w:vAlign w:val="bottom"/>
          </w:tcPr>
          <w:p>
            <w:pPr>
              <w:spacing w:after="0"/>
              <w:rPr>
                <w:sz w:val="20"/>
                <w:szCs w:val="20"/>
                <w:color w:val="auto"/>
              </w:rPr>
            </w:pPr>
            <w:r>
              <w:rPr>
                <w:rFonts w:ascii="Arial" w:cs="Arial" w:eastAsia="Arial" w:hAnsi="Arial"/>
                <w:sz w:val="18"/>
                <w:szCs w:val="18"/>
                <w:color w:val="auto"/>
              </w:rPr>
              <w:t>Work in process</w:t>
            </w:r>
          </w:p>
        </w:tc>
        <w:tc>
          <w:tcPr>
            <w:tcW w:w="2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0" w:type="dxa"/>
            <w:vAlign w:val="bottom"/>
            <w:gridSpan w:val="2"/>
          </w:tcPr>
          <w:p>
            <w:pPr>
              <w:jc w:val="right"/>
              <w:ind w:right="760"/>
              <w:spacing w:after="0"/>
              <w:rPr>
                <w:sz w:val="20"/>
                <w:szCs w:val="20"/>
                <w:color w:val="auto"/>
              </w:rPr>
            </w:pPr>
            <w:r>
              <w:rPr>
                <w:rFonts w:ascii="Arial" w:cs="Arial" w:eastAsia="Arial" w:hAnsi="Arial"/>
                <w:sz w:val="18"/>
                <w:szCs w:val="18"/>
                <w:color w:val="auto"/>
              </w:rPr>
              <w:t>33,887</w:t>
            </w:r>
          </w:p>
        </w:tc>
        <w:tc>
          <w:tcPr>
            <w:tcW w:w="160" w:type="dxa"/>
            <w:vAlign w:val="bottom"/>
          </w:tcPr>
          <w:p>
            <w:pPr>
              <w:spacing w:after="0"/>
              <w:rPr>
                <w:sz w:val="18"/>
                <w:szCs w:val="18"/>
                <w:color w:val="auto"/>
              </w:rPr>
            </w:pPr>
          </w:p>
        </w:tc>
        <w:tc>
          <w:tcPr>
            <w:tcW w:w="1040" w:type="dxa"/>
            <w:vAlign w:val="bottom"/>
            <w:gridSpan w:val="2"/>
          </w:tcPr>
          <w:p>
            <w:pPr>
              <w:jc w:val="right"/>
              <w:ind w:right="40"/>
              <w:spacing w:after="0"/>
              <w:rPr>
                <w:sz w:val="20"/>
                <w:szCs w:val="20"/>
                <w:color w:val="auto"/>
              </w:rPr>
            </w:pPr>
            <w:r>
              <w:rPr>
                <w:rFonts w:ascii="Arial" w:cs="Arial" w:eastAsia="Arial" w:hAnsi="Arial"/>
                <w:sz w:val="18"/>
                <w:szCs w:val="18"/>
                <w:color w:val="auto"/>
              </w:rPr>
              <w:t>33,946</w:t>
            </w:r>
          </w:p>
        </w:tc>
        <w:tc>
          <w:tcPr>
            <w:tcW w:w="0" w:type="dxa"/>
            <w:vAlign w:val="bottom"/>
          </w:tcPr>
          <w:p>
            <w:pPr>
              <w:spacing w:after="0"/>
              <w:rPr>
                <w:sz w:val="1"/>
                <w:szCs w:val="1"/>
                <w:color w:val="auto"/>
              </w:rPr>
            </w:pPr>
          </w:p>
        </w:tc>
      </w:tr>
      <w:tr>
        <w:trPr>
          <w:trHeight w:val="216"/>
        </w:trPr>
        <w:tc>
          <w:tcPr>
            <w:tcW w:w="2640" w:type="dxa"/>
            <w:vAlign w:val="bottom"/>
            <w:shd w:val="clear" w:color="auto" w:fill="CCEEFF"/>
          </w:tcPr>
          <w:p>
            <w:pPr>
              <w:spacing w:after="0"/>
              <w:rPr>
                <w:sz w:val="20"/>
                <w:szCs w:val="20"/>
                <w:color w:val="auto"/>
              </w:rPr>
            </w:pPr>
            <w:r>
              <w:rPr>
                <w:rFonts w:ascii="Arial" w:cs="Arial" w:eastAsia="Arial" w:hAnsi="Arial"/>
                <w:sz w:val="18"/>
                <w:szCs w:val="18"/>
                <w:color w:val="auto"/>
              </w:rPr>
              <w:t>Finished goods</w:t>
            </w:r>
          </w:p>
        </w:tc>
        <w:tc>
          <w:tcPr>
            <w:tcW w:w="28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0" w:type="dxa"/>
            <w:vAlign w:val="bottom"/>
            <w:gridSpan w:val="2"/>
            <w:shd w:val="clear" w:color="auto" w:fill="CCEEFF"/>
          </w:tcPr>
          <w:p>
            <w:pPr>
              <w:jc w:val="right"/>
              <w:ind w:right="760"/>
              <w:spacing w:after="0"/>
              <w:rPr>
                <w:sz w:val="20"/>
                <w:szCs w:val="20"/>
                <w:color w:val="auto"/>
              </w:rPr>
            </w:pPr>
            <w:r>
              <w:rPr>
                <w:rFonts w:ascii="Arial" w:cs="Arial" w:eastAsia="Arial" w:hAnsi="Arial"/>
                <w:sz w:val="18"/>
                <w:szCs w:val="18"/>
                <w:color w:val="auto"/>
              </w:rPr>
              <w:t>29,381</w:t>
            </w:r>
          </w:p>
        </w:tc>
        <w:tc>
          <w:tcPr>
            <w:tcW w:w="1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26,831</w:t>
            </w:r>
          </w:p>
        </w:tc>
        <w:tc>
          <w:tcPr>
            <w:tcW w:w="0" w:type="dxa"/>
            <w:vAlign w:val="bottom"/>
          </w:tcPr>
          <w:p>
            <w:pPr>
              <w:spacing w:after="0"/>
              <w:rPr>
                <w:sz w:val="1"/>
                <w:szCs w:val="1"/>
                <w:color w:val="auto"/>
              </w:rPr>
            </w:pPr>
          </w:p>
        </w:tc>
      </w:tr>
      <w:tr>
        <w:trPr>
          <w:trHeight w:val="223"/>
        </w:trPr>
        <w:tc>
          <w:tcPr>
            <w:tcW w:w="2640" w:type="dxa"/>
            <w:vAlign w:val="bottom"/>
          </w:tcPr>
          <w:p>
            <w:pPr>
              <w:spacing w:after="0"/>
              <w:rPr>
                <w:sz w:val="19"/>
                <w:szCs w:val="19"/>
                <w:color w:val="auto"/>
              </w:rPr>
            </w:pPr>
          </w:p>
        </w:tc>
        <w:tc>
          <w:tcPr>
            <w:tcW w:w="28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19"/>
                <w:szCs w:val="19"/>
                <w:color w:val="auto"/>
              </w:rPr>
            </w:pPr>
          </w:p>
        </w:tc>
        <w:tc>
          <w:tcPr>
            <w:tcW w:w="840" w:type="dxa"/>
            <w:vAlign w:val="bottom"/>
            <w:tcBorders>
              <w:top w:val="single" w:sz="8" w:color="auto"/>
              <w:bottom w:val="single" w:sz="8" w:color="auto"/>
            </w:tcBorders>
          </w:tcPr>
          <w:p>
            <w:pPr>
              <w:jc w:val="right"/>
              <w:ind w:right="50"/>
              <w:spacing w:after="0"/>
              <w:rPr>
                <w:sz w:val="20"/>
                <w:szCs w:val="20"/>
                <w:color w:val="auto"/>
              </w:rPr>
            </w:pPr>
            <w:r>
              <w:rPr>
                <w:rFonts w:ascii="Arial" w:cs="Arial" w:eastAsia="Arial" w:hAnsi="Arial"/>
                <w:sz w:val="18"/>
                <w:szCs w:val="18"/>
                <w:b w:val="1"/>
                <w:bCs w:val="1"/>
                <w:color w:val="auto"/>
                <w:w w:val="90"/>
              </w:rPr>
              <w:t>$110,979</w:t>
            </w:r>
          </w:p>
        </w:tc>
        <w:tc>
          <w:tcPr>
            <w:tcW w:w="760" w:type="dxa"/>
            <w:vAlign w:val="bottom"/>
          </w:tcPr>
          <w:p>
            <w:pPr>
              <w:spacing w:after="0"/>
              <w:rPr>
                <w:sz w:val="19"/>
                <w:szCs w:val="19"/>
                <w:color w:val="auto"/>
              </w:rPr>
            </w:pPr>
          </w:p>
        </w:tc>
        <w:tc>
          <w:tcPr>
            <w:tcW w:w="160" w:type="dxa"/>
            <w:vAlign w:val="bottom"/>
            <w:tcBorders>
              <w:top w:val="single" w:sz="8" w:color="auto"/>
              <w:bottom w:val="single" w:sz="8" w:color="auto"/>
            </w:tcBorders>
          </w:tcPr>
          <w:p>
            <w:pPr>
              <w:spacing w:after="0"/>
              <w:rPr>
                <w:sz w:val="19"/>
                <w:szCs w:val="19"/>
                <w:color w:val="auto"/>
              </w:rPr>
            </w:pPr>
          </w:p>
        </w:tc>
        <w:tc>
          <w:tcPr>
            <w:tcW w:w="1000" w:type="dxa"/>
            <w:vAlign w:val="bottom"/>
            <w:tcBorders>
              <w:top w:val="single" w:sz="8" w:color="auto"/>
              <w:bottom w:val="single" w:sz="8" w:color="auto"/>
            </w:tcBorders>
          </w:tcPr>
          <w:p>
            <w:pPr>
              <w:jc w:val="right"/>
              <w:ind w:right="170"/>
              <w:spacing w:after="0"/>
              <w:rPr>
                <w:sz w:val="20"/>
                <w:szCs w:val="20"/>
                <w:color w:val="auto"/>
              </w:rPr>
            </w:pPr>
            <w:r>
              <w:rPr>
                <w:rFonts w:ascii="Arial" w:cs="Arial" w:eastAsia="Arial" w:hAnsi="Arial"/>
                <w:sz w:val="18"/>
                <w:szCs w:val="18"/>
                <w:b w:val="1"/>
                <w:bCs w:val="1"/>
                <w:color w:val="auto"/>
                <w:w w:val="95"/>
              </w:rPr>
              <w:t>$111,403</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640" w:type="dxa"/>
            <w:vAlign w:val="bottom"/>
          </w:tcPr>
          <w:p>
            <w:pPr>
              <w:spacing w:after="0" w:line="20" w:lineRule="exact"/>
              <w:rPr>
                <w:sz w:val="1"/>
                <w:szCs w:val="1"/>
                <w:color w:val="auto"/>
              </w:rPr>
            </w:pPr>
          </w:p>
        </w:tc>
        <w:tc>
          <w:tcPr>
            <w:tcW w:w="2800" w:type="dxa"/>
            <w:vAlign w:val="bottom"/>
            <w:vMerge w:val="restart"/>
          </w:tcPr>
          <w:p>
            <w:pPr>
              <w:jc w:val="right"/>
              <w:ind w:right="1070"/>
              <w:spacing w:after="0"/>
              <w:rPr>
                <w:sz w:val="20"/>
                <w:szCs w:val="20"/>
                <w:color w:val="auto"/>
              </w:rPr>
            </w:pPr>
            <w:r>
              <w:rPr>
                <w:rFonts w:ascii="Arial" w:cs="Arial" w:eastAsia="Arial" w:hAnsi="Arial"/>
                <w:sz w:val="18"/>
                <w:szCs w:val="18"/>
                <w:color w:val="auto"/>
              </w:rPr>
              <w:t>11</w:t>
            </w:r>
          </w:p>
        </w:tc>
        <w:tc>
          <w:tcPr>
            <w:tcW w:w="12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640" w:type="dxa"/>
            <w:vAlign w:val="bottom"/>
          </w:tcPr>
          <w:p>
            <w:pPr>
              <w:spacing w:after="0"/>
              <w:rPr>
                <w:sz w:val="24"/>
                <w:szCs w:val="24"/>
                <w:color w:val="auto"/>
              </w:rPr>
            </w:pPr>
          </w:p>
        </w:tc>
        <w:tc>
          <w:tcPr>
            <w:tcW w:w="2800" w:type="dxa"/>
            <w:vAlign w:val="bottom"/>
            <w:vMerge w:val="continue"/>
          </w:tcPr>
          <w:p>
            <w:pPr>
              <w:spacing w:after="0"/>
              <w:rPr>
                <w:sz w:val="24"/>
                <w:szCs w:val="24"/>
                <w:color w:val="auto"/>
              </w:rPr>
            </w:pPr>
          </w:p>
        </w:tc>
        <w:tc>
          <w:tcPr>
            <w:tcW w:w="1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80"/>
          </w:cols>
          <w:pgMar w:left="440" w:top="270" w:right="479" w:bottom="1440" w:gutter="0" w:footer="0" w:header="0"/>
        </w:sectPr>
      </w:pPr>
    </w:p>
    <w:bookmarkStart w:id="15" w:name="page16"/>
    <w:bookmarkEnd w:id="1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INPHI CORPORATION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(Dollars in thousands except share and per share amounts)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40005</wp:posOffset>
            </wp:positionV>
            <wp:extent cx="6995160" cy="825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2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 Property and Equipment, net</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Property and equipment consist of the following:</w:t>
      </w:r>
    </w:p>
    <w:p>
      <w:pPr>
        <w:spacing w:after="0" w:line="231" w:lineRule="exact"/>
        <w:rPr>
          <w:sz w:val="20"/>
          <w:szCs w:val="20"/>
          <w:color w:val="auto"/>
        </w:rPr>
      </w:pPr>
    </w:p>
    <w:tbl>
      <w:tblPr>
        <w:tblLayout w:type="fixed"/>
        <w:tblInd w:w="1320" w:type="dxa"/>
        <w:tblCellMar>
          <w:top w:w="0" w:type="dxa"/>
          <w:left w:w="0" w:type="dxa"/>
          <w:bottom w:w="0" w:type="dxa"/>
          <w:right w:w="0" w:type="dxa"/>
        </w:tblCellMar>
      </w:tblPr>
      <w:tr>
        <w:trPr>
          <w:trHeight w:val="161"/>
        </w:trPr>
        <w:tc>
          <w:tcPr>
            <w:tcW w:w="6260" w:type="dxa"/>
            <w:vAlign w:val="bottom"/>
          </w:tcPr>
          <w:p>
            <w:pPr>
              <w:spacing w:after="0"/>
              <w:rPr>
                <w:sz w:val="14"/>
                <w:szCs w:val="14"/>
                <w:color w:val="auto"/>
              </w:rPr>
            </w:pPr>
          </w:p>
        </w:tc>
        <w:tc>
          <w:tcPr>
            <w:tcW w:w="116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March 31,</w:t>
            </w:r>
          </w:p>
        </w:tc>
        <w:tc>
          <w:tcPr>
            <w:tcW w:w="940" w:type="dxa"/>
            <w:vAlign w:val="bottom"/>
            <w:gridSpan w:val="3"/>
          </w:tcPr>
          <w:p>
            <w:pPr>
              <w:spacing w:after="0"/>
              <w:rPr>
                <w:sz w:val="20"/>
                <w:szCs w:val="20"/>
                <w:color w:val="auto"/>
              </w:rPr>
            </w:pPr>
            <w:r>
              <w:rPr>
                <w:rFonts w:ascii="Arial" w:cs="Arial" w:eastAsia="Arial" w:hAnsi="Arial"/>
                <w:sz w:val="14"/>
                <w:szCs w:val="14"/>
                <w:b w:val="1"/>
                <w:bCs w:val="1"/>
                <w:color w:val="auto"/>
              </w:rPr>
              <w:t>December 31,</w:t>
            </w:r>
          </w:p>
        </w:tc>
      </w:tr>
      <w:tr>
        <w:trPr>
          <w:trHeight w:val="171"/>
        </w:trPr>
        <w:tc>
          <w:tcPr>
            <w:tcW w:w="6260" w:type="dxa"/>
            <w:vAlign w:val="bottom"/>
            <w:tcBorders>
              <w:bottom w:val="single" w:sz="8" w:color="CCEEFF"/>
            </w:tcBorders>
          </w:tcPr>
          <w:p>
            <w:pPr>
              <w:spacing w:after="0"/>
              <w:rPr>
                <w:sz w:val="14"/>
                <w:szCs w:val="14"/>
                <w:color w:val="auto"/>
              </w:rPr>
            </w:pPr>
          </w:p>
        </w:tc>
        <w:tc>
          <w:tcPr>
            <w:tcW w:w="74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2021</w:t>
            </w:r>
          </w:p>
        </w:tc>
        <w:tc>
          <w:tcPr>
            <w:tcW w:w="4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92"/>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4"/>
                <w:szCs w:val="14"/>
                <w:color w:val="auto"/>
              </w:rPr>
            </w:pPr>
          </w:p>
        </w:tc>
      </w:tr>
      <w:tr>
        <w:trPr>
          <w:trHeight w:val="209"/>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Laboratory and production equipment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$ 199,833</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195,132</w:t>
            </w:r>
          </w:p>
        </w:tc>
        <w:tc>
          <w:tcPr>
            <w:tcW w:w="100" w:type="dxa"/>
            <w:vAlign w:val="bottom"/>
            <w:shd w:val="clear" w:color="auto" w:fill="CCEEFF"/>
          </w:tcPr>
          <w:p>
            <w:pPr>
              <w:spacing w:after="0"/>
              <w:rPr>
                <w:sz w:val="18"/>
                <w:szCs w:val="18"/>
                <w:color w:val="auto"/>
              </w:rPr>
            </w:pPr>
          </w:p>
        </w:tc>
      </w:tr>
      <w:tr>
        <w:trPr>
          <w:trHeight w:val="216"/>
        </w:trPr>
        <w:tc>
          <w:tcPr>
            <w:tcW w:w="6260" w:type="dxa"/>
            <w:vAlign w:val="bottom"/>
          </w:tcPr>
          <w:p>
            <w:pPr>
              <w:spacing w:after="0"/>
              <w:rPr>
                <w:sz w:val="20"/>
                <w:szCs w:val="20"/>
                <w:color w:val="auto"/>
              </w:rPr>
            </w:pPr>
            <w:r>
              <w:rPr>
                <w:rFonts w:ascii="Arial" w:cs="Arial" w:eastAsia="Arial" w:hAnsi="Arial"/>
                <w:sz w:val="18"/>
                <w:szCs w:val="18"/>
                <w:color w:val="auto"/>
              </w:rPr>
              <w:t>Office, software and computer equipment</w:t>
            </w:r>
          </w:p>
        </w:tc>
        <w:tc>
          <w:tcPr>
            <w:tcW w:w="1160" w:type="dxa"/>
            <w:vAlign w:val="bottom"/>
            <w:gridSpan w:val="2"/>
          </w:tcPr>
          <w:p>
            <w:pPr>
              <w:jc w:val="right"/>
              <w:ind w:right="420"/>
              <w:spacing w:after="0"/>
              <w:rPr>
                <w:sz w:val="20"/>
                <w:szCs w:val="20"/>
                <w:color w:val="auto"/>
              </w:rPr>
            </w:pPr>
            <w:r>
              <w:rPr>
                <w:rFonts w:ascii="Arial" w:cs="Arial" w:eastAsia="Arial" w:hAnsi="Arial"/>
                <w:sz w:val="18"/>
                <w:szCs w:val="18"/>
                <w:color w:val="auto"/>
              </w:rPr>
              <w:t>49,516</w:t>
            </w:r>
          </w:p>
        </w:tc>
        <w:tc>
          <w:tcPr>
            <w:tcW w:w="140" w:type="dxa"/>
            <w:vAlign w:val="bottom"/>
          </w:tcPr>
          <w:p>
            <w:pPr>
              <w:spacing w:after="0"/>
              <w:rPr>
                <w:sz w:val="18"/>
                <w:szCs w:val="18"/>
                <w:color w:val="auto"/>
              </w:rPr>
            </w:pP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47,656</w:t>
            </w:r>
          </w:p>
        </w:tc>
      </w:tr>
      <w:tr>
        <w:trPr>
          <w:trHeight w:val="216"/>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Furniture and fixtures</w:t>
            </w:r>
          </w:p>
        </w:tc>
        <w:tc>
          <w:tcPr>
            <w:tcW w:w="11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3,574</w:t>
            </w: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3,566</w:t>
            </w:r>
          </w:p>
        </w:tc>
      </w:tr>
      <w:tr>
        <w:trPr>
          <w:trHeight w:val="216"/>
        </w:trPr>
        <w:tc>
          <w:tcPr>
            <w:tcW w:w="6260" w:type="dxa"/>
            <w:vAlign w:val="bottom"/>
          </w:tcPr>
          <w:p>
            <w:pPr>
              <w:spacing w:after="0"/>
              <w:rPr>
                <w:sz w:val="20"/>
                <w:szCs w:val="20"/>
                <w:color w:val="auto"/>
              </w:rPr>
            </w:pPr>
            <w:r>
              <w:rPr>
                <w:rFonts w:ascii="Arial" w:cs="Arial" w:eastAsia="Arial" w:hAnsi="Arial"/>
                <w:sz w:val="18"/>
                <w:szCs w:val="18"/>
                <w:color w:val="auto"/>
              </w:rPr>
              <w:t>Leasehold improvements</w:t>
            </w:r>
          </w:p>
        </w:tc>
        <w:tc>
          <w:tcPr>
            <w:tcW w:w="1160" w:type="dxa"/>
            <w:vAlign w:val="bottom"/>
            <w:gridSpan w:val="2"/>
          </w:tcPr>
          <w:p>
            <w:pPr>
              <w:jc w:val="right"/>
              <w:ind w:right="420"/>
              <w:spacing w:after="0"/>
              <w:rPr>
                <w:sz w:val="20"/>
                <w:szCs w:val="20"/>
                <w:color w:val="auto"/>
              </w:rPr>
            </w:pPr>
            <w:r>
              <w:rPr>
                <w:rFonts w:ascii="Arial" w:cs="Arial" w:eastAsia="Arial" w:hAnsi="Arial"/>
                <w:sz w:val="18"/>
                <w:szCs w:val="18"/>
                <w:color w:val="auto"/>
              </w:rPr>
              <w:t>20,613</w:t>
            </w:r>
          </w:p>
        </w:tc>
        <w:tc>
          <w:tcPr>
            <w:tcW w:w="140" w:type="dxa"/>
            <w:vAlign w:val="bottom"/>
          </w:tcPr>
          <w:p>
            <w:pPr>
              <w:spacing w:after="0"/>
              <w:rPr>
                <w:sz w:val="18"/>
                <w:szCs w:val="18"/>
                <w:color w:val="auto"/>
              </w:rPr>
            </w:pP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20,338</w:t>
            </w:r>
          </w:p>
        </w:tc>
      </w:tr>
      <w:tr>
        <w:trPr>
          <w:trHeight w:val="27"/>
        </w:trPr>
        <w:tc>
          <w:tcPr>
            <w:tcW w:w="626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626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273,536</w:t>
            </w: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266,692</w:t>
            </w:r>
          </w:p>
        </w:tc>
      </w:tr>
      <w:tr>
        <w:trPr>
          <w:trHeight w:val="216"/>
        </w:trPr>
        <w:tc>
          <w:tcPr>
            <w:tcW w:w="6260" w:type="dxa"/>
            <w:vAlign w:val="bottom"/>
          </w:tcPr>
          <w:p>
            <w:pPr>
              <w:spacing w:after="0"/>
              <w:rPr>
                <w:sz w:val="20"/>
                <w:szCs w:val="20"/>
                <w:color w:val="auto"/>
              </w:rPr>
            </w:pPr>
            <w:r>
              <w:rPr>
                <w:rFonts w:ascii="Arial" w:cs="Arial" w:eastAsia="Arial" w:hAnsi="Arial"/>
                <w:sz w:val="18"/>
                <w:szCs w:val="18"/>
                <w:color w:val="auto"/>
              </w:rPr>
              <w:t>Less accumulated depreciation and amortization</w:t>
            </w:r>
          </w:p>
        </w:tc>
        <w:tc>
          <w:tcPr>
            <w:tcW w:w="1160" w:type="dxa"/>
            <w:vAlign w:val="bottom"/>
            <w:gridSpan w:val="2"/>
          </w:tcPr>
          <w:p>
            <w:pPr>
              <w:jc w:val="right"/>
              <w:ind w:right="360"/>
              <w:spacing w:after="0"/>
              <w:rPr>
                <w:sz w:val="20"/>
                <w:szCs w:val="20"/>
                <w:color w:val="auto"/>
              </w:rPr>
            </w:pPr>
            <w:r>
              <w:rPr>
                <w:rFonts w:ascii="Arial" w:cs="Arial" w:eastAsia="Arial" w:hAnsi="Arial"/>
                <w:sz w:val="18"/>
                <w:szCs w:val="18"/>
                <w:color w:val="auto"/>
              </w:rPr>
              <w:t>(141,185)</w:t>
            </w:r>
          </w:p>
        </w:tc>
        <w:tc>
          <w:tcPr>
            <w:tcW w:w="140" w:type="dxa"/>
            <w:vAlign w:val="bottom"/>
          </w:tcPr>
          <w:p>
            <w:pPr>
              <w:spacing w:after="0"/>
              <w:rPr>
                <w:sz w:val="18"/>
                <w:szCs w:val="18"/>
                <w:color w:val="auto"/>
              </w:rPr>
            </w:pPr>
          </w:p>
        </w:tc>
        <w:tc>
          <w:tcPr>
            <w:tcW w:w="800" w:type="dxa"/>
            <w:vAlign w:val="bottom"/>
            <w:gridSpan w:val="2"/>
          </w:tcPr>
          <w:p>
            <w:pPr>
              <w:jc w:val="right"/>
              <w:ind w:right="40"/>
              <w:spacing w:after="0"/>
              <w:rPr>
                <w:sz w:val="20"/>
                <w:szCs w:val="20"/>
                <w:color w:val="auto"/>
              </w:rPr>
            </w:pPr>
            <w:r>
              <w:rPr>
                <w:rFonts w:ascii="Arial" w:cs="Arial" w:eastAsia="Arial" w:hAnsi="Arial"/>
                <w:sz w:val="18"/>
                <w:szCs w:val="18"/>
                <w:color w:val="auto"/>
                <w:w w:val="95"/>
              </w:rPr>
              <w:t>(133,136)</w:t>
            </w:r>
          </w:p>
        </w:tc>
      </w:tr>
      <w:tr>
        <w:trPr>
          <w:trHeight w:val="27"/>
        </w:trPr>
        <w:tc>
          <w:tcPr>
            <w:tcW w:w="626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626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9"/>
              </w:rPr>
              <w:t>$ 132,351</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133,556</w:t>
            </w:r>
          </w:p>
        </w:tc>
      </w:tr>
      <w:tr>
        <w:trPr>
          <w:trHeight w:val="20"/>
        </w:trPr>
        <w:tc>
          <w:tcPr>
            <w:tcW w:w="626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15" w:lineRule="exact"/>
        <w:rPr>
          <w:sz w:val="20"/>
          <w:szCs w:val="20"/>
          <w:color w:val="auto"/>
        </w:rPr>
      </w:pPr>
    </w:p>
    <w:p>
      <w:pPr>
        <w:ind w:right="180" w:firstLine="440"/>
        <w:spacing w:after="0" w:line="277" w:lineRule="auto"/>
        <w:rPr>
          <w:sz w:val="20"/>
          <w:szCs w:val="20"/>
          <w:color w:val="auto"/>
        </w:rPr>
      </w:pPr>
      <w:r>
        <w:rPr>
          <w:rFonts w:ascii="Arial" w:cs="Arial" w:eastAsia="Arial" w:hAnsi="Arial"/>
          <w:sz w:val="18"/>
          <w:szCs w:val="18"/>
          <w:color w:val="auto"/>
        </w:rPr>
        <w:t>Depreciation and amortization expense of property and equipment for the three months ended March 31, 2021 and 2020 was $8,261 and $6,880, respectively.</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6"/>
          <w:szCs w:val="16"/>
          <w:color w:val="auto"/>
        </w:rPr>
        <w:t>As of March 31, 2021 and December 31, 2020, computer software costs included in property and equipment were $8,472 and $8,367, respectively.</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Amortization expense of capitalized computer software costs was $187 and $250 for the three months ended March 31, 2021 and 2020, respectively.</w:t>
      </w:r>
    </w:p>
    <w:p>
      <w:pPr>
        <w:spacing w:after="0" w:line="23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Property and equipment not yet paid in cash as of March 31, 2021 and 2020 was $4,354 and $2,158, respectively.</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 Intangible Assets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table presents details of intangible assets:</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72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4"/>
          </w:tcPr>
          <w:p>
            <w:pPr>
              <w:jc w:val="right"/>
              <w:ind w:right="100"/>
              <w:spacing w:after="0"/>
              <w:rPr>
                <w:sz w:val="20"/>
                <w:szCs w:val="20"/>
                <w:color w:val="auto"/>
              </w:rPr>
            </w:pPr>
            <w:r>
              <w:rPr>
                <w:rFonts w:ascii="Arial" w:cs="Arial" w:eastAsia="Arial" w:hAnsi="Arial"/>
                <w:sz w:val="14"/>
                <w:szCs w:val="14"/>
                <w:b w:val="1"/>
                <w:bCs w:val="1"/>
                <w:color w:val="auto"/>
              </w:rPr>
              <w:t>March 31, 2021</w:t>
            </w: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240" w:type="dxa"/>
            <w:vAlign w:val="bottom"/>
            <w:tcBorders>
              <w:bottom w:val="single" w:sz="8" w:color="auto"/>
            </w:tcBorders>
            <w:gridSpan w:val="4"/>
          </w:tcPr>
          <w:p>
            <w:pPr>
              <w:ind w:left="40"/>
              <w:spacing w:after="0"/>
              <w:rPr>
                <w:sz w:val="20"/>
                <w:szCs w:val="20"/>
                <w:color w:val="auto"/>
              </w:rPr>
            </w:pPr>
            <w:r>
              <w:rPr>
                <w:rFonts w:ascii="Arial" w:cs="Arial" w:eastAsia="Arial" w:hAnsi="Arial"/>
                <w:sz w:val="14"/>
                <w:szCs w:val="14"/>
                <w:b w:val="1"/>
                <w:bCs w:val="1"/>
                <w:color w:val="auto"/>
                <w:w w:val="93"/>
              </w:rPr>
              <w:t>December 31, 2020</w:t>
            </w:r>
          </w:p>
        </w:tc>
        <w:tc>
          <w:tcPr>
            <w:tcW w:w="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720" w:type="dxa"/>
            <w:vAlign w:val="bottom"/>
          </w:tcPr>
          <w:p>
            <w:pPr>
              <w:spacing w:after="0"/>
              <w:rPr>
                <w:sz w:val="10"/>
                <w:szCs w:val="10"/>
                <w:color w:val="auto"/>
              </w:rPr>
            </w:pPr>
          </w:p>
        </w:tc>
        <w:tc>
          <w:tcPr>
            <w:tcW w:w="1560" w:type="dxa"/>
            <w:vAlign w:val="bottom"/>
          </w:tcPr>
          <w:p>
            <w:pPr>
              <w:spacing w:after="0"/>
              <w:rPr>
                <w:sz w:val="10"/>
                <w:szCs w:val="10"/>
                <w:color w:val="auto"/>
              </w:rPr>
            </w:pPr>
          </w:p>
        </w:tc>
        <w:tc>
          <w:tcPr>
            <w:tcW w:w="780" w:type="dxa"/>
            <w:vAlign w:val="bottom"/>
            <w:gridSpan w:val="2"/>
            <w:vMerge w:val="restart"/>
          </w:tcPr>
          <w:p>
            <w:pPr>
              <w:jc w:val="right"/>
              <w:ind w:right="260"/>
              <w:spacing w:after="0"/>
              <w:rPr>
                <w:sz w:val="20"/>
                <w:szCs w:val="20"/>
                <w:color w:val="auto"/>
              </w:rPr>
            </w:pPr>
            <w:r>
              <w:rPr>
                <w:rFonts w:ascii="Arial" w:cs="Arial" w:eastAsia="Arial" w:hAnsi="Arial"/>
                <w:sz w:val="14"/>
                <w:szCs w:val="14"/>
                <w:b w:val="1"/>
                <w:bCs w:val="1"/>
                <w:color w:val="auto"/>
              </w:rPr>
              <w:t>Gross</w:t>
            </w:r>
          </w:p>
        </w:tc>
        <w:tc>
          <w:tcPr>
            <w:tcW w:w="160" w:type="dxa"/>
            <w:vAlign w:val="bottom"/>
          </w:tcPr>
          <w:p>
            <w:pPr>
              <w:spacing w:after="0"/>
              <w:rPr>
                <w:sz w:val="10"/>
                <w:szCs w:val="10"/>
                <w:color w:val="auto"/>
              </w:rPr>
            </w:pPr>
          </w:p>
        </w:tc>
        <w:tc>
          <w:tcPr>
            <w:tcW w:w="98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Accumulated</w:t>
            </w: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20" w:type="dxa"/>
            <w:vAlign w:val="bottom"/>
            <w:gridSpan w:val="2"/>
            <w:vMerge w:val="restart"/>
          </w:tcPr>
          <w:p>
            <w:pPr>
              <w:jc w:val="right"/>
              <w:ind w:right="360"/>
              <w:spacing w:after="0"/>
              <w:rPr>
                <w:sz w:val="20"/>
                <w:szCs w:val="20"/>
                <w:color w:val="auto"/>
              </w:rPr>
            </w:pPr>
            <w:r>
              <w:rPr>
                <w:rFonts w:ascii="Arial" w:cs="Arial" w:eastAsia="Arial" w:hAnsi="Arial"/>
                <w:sz w:val="14"/>
                <w:szCs w:val="14"/>
                <w:b w:val="1"/>
                <w:bCs w:val="1"/>
                <w:color w:val="auto"/>
              </w:rPr>
              <w:t>Net</w:t>
            </w:r>
          </w:p>
        </w:tc>
        <w:tc>
          <w:tcPr>
            <w:tcW w:w="120" w:type="dxa"/>
            <w:vAlign w:val="bottom"/>
          </w:tcPr>
          <w:p>
            <w:pPr>
              <w:spacing w:after="0"/>
              <w:rPr>
                <w:sz w:val="10"/>
                <w:szCs w:val="10"/>
                <w:color w:val="auto"/>
              </w:rPr>
            </w:pPr>
          </w:p>
        </w:tc>
        <w:tc>
          <w:tcPr>
            <w:tcW w:w="74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Gross</w:t>
            </w:r>
          </w:p>
        </w:tc>
        <w:tc>
          <w:tcPr>
            <w:tcW w:w="200" w:type="dxa"/>
            <w:vAlign w:val="bottom"/>
          </w:tcPr>
          <w:p>
            <w:pPr>
              <w:spacing w:after="0"/>
              <w:rPr>
                <w:sz w:val="10"/>
                <w:szCs w:val="10"/>
                <w:color w:val="auto"/>
              </w:rPr>
            </w:pPr>
          </w:p>
        </w:tc>
        <w:tc>
          <w:tcPr>
            <w:tcW w:w="1040" w:type="dxa"/>
            <w:vAlign w:val="bottom"/>
            <w:gridSpan w:val="3"/>
          </w:tcPr>
          <w:p>
            <w:pPr>
              <w:ind w:left="20"/>
              <w:spacing w:after="0" w:line="119" w:lineRule="exact"/>
              <w:rPr>
                <w:sz w:val="20"/>
                <w:szCs w:val="20"/>
                <w:color w:val="auto"/>
              </w:rPr>
            </w:pPr>
            <w:r>
              <w:rPr>
                <w:rFonts w:ascii="Arial" w:cs="Arial" w:eastAsia="Arial" w:hAnsi="Arial"/>
                <w:sz w:val="13"/>
                <w:szCs w:val="13"/>
                <w:b w:val="1"/>
                <w:bCs w:val="1"/>
                <w:color w:val="auto"/>
              </w:rPr>
              <w:t>Accumulated</w:t>
            </w:r>
          </w:p>
        </w:tc>
        <w:tc>
          <w:tcPr>
            <w:tcW w:w="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6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Net</w:t>
            </w:r>
          </w:p>
        </w:tc>
        <w:tc>
          <w:tcPr>
            <w:tcW w:w="0" w:type="dxa"/>
            <w:vAlign w:val="bottom"/>
          </w:tcPr>
          <w:p>
            <w:pPr>
              <w:spacing w:after="0"/>
              <w:rPr>
                <w:sz w:val="1"/>
                <w:szCs w:val="1"/>
                <w:color w:val="auto"/>
              </w:rPr>
            </w:pPr>
          </w:p>
        </w:tc>
      </w:tr>
      <w:tr>
        <w:trPr>
          <w:trHeight w:val="171"/>
        </w:trPr>
        <w:tc>
          <w:tcPr>
            <w:tcW w:w="372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160" w:type="dxa"/>
            <w:vAlign w:val="bottom"/>
          </w:tcPr>
          <w:p>
            <w:pPr>
              <w:spacing w:after="0"/>
              <w:rPr>
                <w:sz w:val="14"/>
                <w:szCs w:val="14"/>
                <w:color w:val="auto"/>
              </w:rPr>
            </w:pPr>
          </w:p>
        </w:tc>
        <w:tc>
          <w:tcPr>
            <w:tcW w:w="980" w:type="dxa"/>
            <w:vAlign w:val="bottom"/>
            <w:gridSpan w:val="3"/>
          </w:tcPr>
          <w:p>
            <w:pPr>
              <w:spacing w:after="0"/>
              <w:rPr>
                <w:sz w:val="20"/>
                <w:szCs w:val="20"/>
                <w:color w:val="auto"/>
              </w:rPr>
            </w:pPr>
            <w:r>
              <w:rPr>
                <w:rFonts w:ascii="Arial" w:cs="Arial" w:eastAsia="Arial" w:hAnsi="Arial"/>
                <w:sz w:val="14"/>
                <w:szCs w:val="14"/>
                <w:b w:val="1"/>
                <w:bCs w:val="1"/>
                <w:color w:val="auto"/>
              </w:rPr>
              <w:t>Amortization</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gridSpan w:val="2"/>
            <w:vMerge w:val="continue"/>
          </w:tcPr>
          <w:p>
            <w:pPr>
              <w:spacing w:after="0"/>
              <w:rPr>
                <w:sz w:val="14"/>
                <w:szCs w:val="14"/>
                <w:color w:val="auto"/>
              </w:rPr>
            </w:pPr>
          </w:p>
        </w:tc>
        <w:tc>
          <w:tcPr>
            <w:tcW w:w="200" w:type="dxa"/>
            <w:vAlign w:val="bottom"/>
          </w:tcPr>
          <w:p>
            <w:pPr>
              <w:spacing w:after="0"/>
              <w:rPr>
                <w:sz w:val="14"/>
                <w:szCs w:val="14"/>
                <w:color w:val="auto"/>
              </w:rPr>
            </w:pPr>
          </w:p>
        </w:tc>
        <w:tc>
          <w:tcPr>
            <w:tcW w:w="1040" w:type="dxa"/>
            <w:vAlign w:val="bottom"/>
            <w:gridSpan w:val="3"/>
          </w:tcPr>
          <w:p>
            <w:pPr>
              <w:spacing w:after="0"/>
              <w:rPr>
                <w:sz w:val="20"/>
                <w:szCs w:val="20"/>
                <w:color w:val="auto"/>
              </w:rPr>
            </w:pPr>
            <w:r>
              <w:rPr>
                <w:rFonts w:ascii="Arial" w:cs="Arial" w:eastAsia="Arial" w:hAnsi="Arial"/>
                <w:sz w:val="14"/>
                <w:szCs w:val="14"/>
                <w:b w:val="1"/>
                <w:bCs w:val="1"/>
                <w:color w:val="auto"/>
              </w:rPr>
              <w:t>Amortization</w:t>
            </w: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6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7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Developed technology</w:t>
            </w:r>
          </w:p>
        </w:tc>
        <w:tc>
          <w:tcPr>
            <w:tcW w:w="156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$229,270</w:t>
            </w:r>
          </w:p>
        </w:tc>
        <w:tc>
          <w:tcPr>
            <w:tcW w:w="1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158,178</w:t>
            </w:r>
          </w:p>
        </w:tc>
        <w:tc>
          <w:tcPr>
            <w:tcW w:w="1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71,092</w:t>
            </w:r>
          </w:p>
        </w:tc>
        <w:tc>
          <w:tcPr>
            <w:tcW w:w="1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$229,270</w:t>
            </w:r>
          </w:p>
        </w:tc>
        <w:tc>
          <w:tcPr>
            <w:tcW w:w="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151,529</w:t>
            </w:r>
          </w:p>
        </w:tc>
        <w:tc>
          <w:tcPr>
            <w:tcW w:w="20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77,741</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20" w:type="dxa"/>
            <w:vAlign w:val="bottom"/>
          </w:tcPr>
          <w:p>
            <w:pPr>
              <w:spacing w:after="0"/>
              <w:rPr>
                <w:sz w:val="20"/>
                <w:szCs w:val="20"/>
                <w:color w:val="auto"/>
              </w:rPr>
            </w:pPr>
            <w:r>
              <w:rPr>
                <w:rFonts w:ascii="Arial" w:cs="Arial" w:eastAsia="Arial" w:hAnsi="Arial"/>
                <w:sz w:val="18"/>
                <w:szCs w:val="18"/>
                <w:color w:val="auto"/>
              </w:rPr>
              <w:t>Customer relationships</w:t>
            </w:r>
          </w:p>
        </w:tc>
        <w:tc>
          <w:tcPr>
            <w:tcW w:w="2340" w:type="dxa"/>
            <w:vAlign w:val="bottom"/>
            <w:gridSpan w:val="3"/>
          </w:tcPr>
          <w:p>
            <w:pPr>
              <w:jc w:val="right"/>
              <w:ind w:right="100"/>
              <w:spacing w:after="0"/>
              <w:rPr>
                <w:sz w:val="20"/>
                <w:szCs w:val="20"/>
                <w:color w:val="auto"/>
              </w:rPr>
            </w:pPr>
            <w:r>
              <w:rPr>
                <w:rFonts w:ascii="Arial" w:cs="Arial" w:eastAsia="Arial" w:hAnsi="Arial"/>
                <w:sz w:val="18"/>
                <w:szCs w:val="18"/>
                <w:color w:val="auto"/>
              </w:rPr>
              <w:t>70,540</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gridSpan w:val="2"/>
          </w:tcPr>
          <w:p>
            <w:pPr>
              <w:jc w:val="right"/>
              <w:ind w:right="160"/>
              <w:spacing w:after="0"/>
              <w:rPr>
                <w:sz w:val="20"/>
                <w:szCs w:val="20"/>
                <w:color w:val="auto"/>
              </w:rPr>
            </w:pPr>
            <w:r>
              <w:rPr>
                <w:rFonts w:ascii="Arial" w:cs="Arial" w:eastAsia="Arial" w:hAnsi="Arial"/>
                <w:sz w:val="18"/>
                <w:szCs w:val="18"/>
                <w:color w:val="auto"/>
              </w:rPr>
              <w:t>43,568</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26,972</w:t>
            </w:r>
          </w:p>
        </w:tc>
        <w:tc>
          <w:tcPr>
            <w:tcW w:w="860" w:type="dxa"/>
            <w:vAlign w:val="bottom"/>
            <w:gridSpan w:val="3"/>
          </w:tcPr>
          <w:p>
            <w:pPr>
              <w:jc w:val="right"/>
              <w:ind w:right="40"/>
              <w:spacing w:after="0"/>
              <w:rPr>
                <w:sz w:val="20"/>
                <w:szCs w:val="20"/>
                <w:color w:val="auto"/>
              </w:rPr>
            </w:pPr>
            <w:r>
              <w:rPr>
                <w:rFonts w:ascii="Arial" w:cs="Arial" w:eastAsia="Arial" w:hAnsi="Arial"/>
                <w:sz w:val="18"/>
                <w:szCs w:val="18"/>
                <w:color w:val="auto"/>
              </w:rPr>
              <w:t>70,540</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41,136</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ind w:right="60"/>
              <w:spacing w:after="0"/>
              <w:rPr>
                <w:sz w:val="20"/>
                <w:szCs w:val="20"/>
                <w:color w:val="auto"/>
              </w:rPr>
            </w:pPr>
            <w:r>
              <w:rPr>
                <w:rFonts w:ascii="Arial" w:cs="Arial" w:eastAsia="Arial" w:hAnsi="Arial"/>
                <w:sz w:val="18"/>
                <w:szCs w:val="18"/>
                <w:color w:val="auto"/>
              </w:rPr>
              <w:t>29,404</w:t>
            </w:r>
          </w:p>
        </w:tc>
        <w:tc>
          <w:tcPr>
            <w:tcW w:w="0" w:type="dxa"/>
            <w:vAlign w:val="bottom"/>
          </w:tcPr>
          <w:p>
            <w:pPr>
              <w:spacing w:after="0"/>
              <w:rPr>
                <w:sz w:val="1"/>
                <w:szCs w:val="1"/>
                <w:color w:val="auto"/>
              </w:rPr>
            </w:pPr>
          </w:p>
        </w:tc>
      </w:tr>
      <w:tr>
        <w:trPr>
          <w:trHeight w:val="216"/>
        </w:trPr>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Contract manufacturing rights</w:t>
            </w:r>
          </w:p>
        </w:tc>
        <w:tc>
          <w:tcPr>
            <w:tcW w:w="23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98,749</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24,144</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74,605</w:t>
            </w:r>
          </w:p>
        </w:tc>
        <w:tc>
          <w:tcPr>
            <w:tcW w:w="8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98,749</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19,207</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79,542</w:t>
            </w:r>
          </w:p>
        </w:tc>
        <w:tc>
          <w:tcPr>
            <w:tcW w:w="0" w:type="dxa"/>
            <w:vAlign w:val="bottom"/>
          </w:tcPr>
          <w:p>
            <w:pPr>
              <w:spacing w:after="0"/>
              <w:rPr>
                <w:sz w:val="1"/>
                <w:szCs w:val="1"/>
                <w:color w:val="auto"/>
              </w:rPr>
            </w:pPr>
          </w:p>
        </w:tc>
      </w:tr>
      <w:tr>
        <w:trPr>
          <w:trHeight w:val="216"/>
        </w:trPr>
        <w:tc>
          <w:tcPr>
            <w:tcW w:w="3720" w:type="dxa"/>
            <w:vAlign w:val="bottom"/>
          </w:tcPr>
          <w:p>
            <w:pPr>
              <w:spacing w:after="0"/>
              <w:rPr>
                <w:sz w:val="20"/>
                <w:szCs w:val="20"/>
                <w:color w:val="auto"/>
              </w:rPr>
            </w:pPr>
            <w:r>
              <w:rPr>
                <w:rFonts w:ascii="Arial" w:cs="Arial" w:eastAsia="Arial" w:hAnsi="Arial"/>
                <w:sz w:val="18"/>
                <w:szCs w:val="18"/>
                <w:color w:val="auto"/>
              </w:rPr>
              <w:t>Trade name</w:t>
            </w:r>
          </w:p>
        </w:tc>
        <w:tc>
          <w:tcPr>
            <w:tcW w:w="2340" w:type="dxa"/>
            <w:vAlign w:val="bottom"/>
            <w:gridSpan w:val="3"/>
          </w:tcPr>
          <w:p>
            <w:pPr>
              <w:jc w:val="right"/>
              <w:ind w:right="100"/>
              <w:spacing w:after="0"/>
              <w:rPr>
                <w:sz w:val="20"/>
                <w:szCs w:val="20"/>
                <w:color w:val="auto"/>
              </w:rPr>
            </w:pPr>
            <w:r>
              <w:rPr>
                <w:rFonts w:ascii="Arial" w:cs="Arial" w:eastAsia="Arial" w:hAnsi="Arial"/>
                <w:sz w:val="18"/>
                <w:szCs w:val="18"/>
                <w:color w:val="auto"/>
              </w:rPr>
              <w:t>2,310</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gridSpan w:val="2"/>
          </w:tcPr>
          <w:p>
            <w:pPr>
              <w:jc w:val="right"/>
              <w:ind w:right="160"/>
              <w:spacing w:after="0"/>
              <w:rPr>
                <w:sz w:val="20"/>
                <w:szCs w:val="20"/>
                <w:color w:val="auto"/>
              </w:rPr>
            </w:pPr>
            <w:r>
              <w:rPr>
                <w:rFonts w:ascii="Arial" w:cs="Arial" w:eastAsia="Arial" w:hAnsi="Arial"/>
                <w:sz w:val="18"/>
                <w:szCs w:val="18"/>
                <w:color w:val="auto"/>
              </w:rPr>
              <w:t>2,113</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197</w:t>
            </w:r>
          </w:p>
        </w:tc>
        <w:tc>
          <w:tcPr>
            <w:tcW w:w="860" w:type="dxa"/>
            <w:vAlign w:val="bottom"/>
            <w:gridSpan w:val="3"/>
          </w:tcPr>
          <w:p>
            <w:pPr>
              <w:jc w:val="right"/>
              <w:ind w:right="40"/>
              <w:spacing w:after="0"/>
              <w:rPr>
                <w:sz w:val="20"/>
                <w:szCs w:val="20"/>
                <w:color w:val="auto"/>
              </w:rPr>
            </w:pPr>
            <w:r>
              <w:rPr>
                <w:rFonts w:ascii="Arial" w:cs="Arial" w:eastAsia="Arial" w:hAnsi="Arial"/>
                <w:sz w:val="18"/>
                <w:szCs w:val="18"/>
                <w:color w:val="auto"/>
              </w:rPr>
              <w:t>2,310</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2,044</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ind w:right="60"/>
              <w:spacing w:after="0"/>
              <w:rPr>
                <w:sz w:val="20"/>
                <w:szCs w:val="20"/>
                <w:color w:val="auto"/>
              </w:rPr>
            </w:pPr>
            <w:r>
              <w:rPr>
                <w:rFonts w:ascii="Arial" w:cs="Arial" w:eastAsia="Arial" w:hAnsi="Arial"/>
                <w:sz w:val="18"/>
                <w:szCs w:val="18"/>
                <w:color w:val="auto"/>
              </w:rPr>
              <w:t>266</w:t>
            </w:r>
          </w:p>
        </w:tc>
        <w:tc>
          <w:tcPr>
            <w:tcW w:w="0" w:type="dxa"/>
            <w:vAlign w:val="bottom"/>
          </w:tcPr>
          <w:p>
            <w:pPr>
              <w:spacing w:after="0"/>
              <w:rPr>
                <w:sz w:val="1"/>
                <w:szCs w:val="1"/>
                <w:color w:val="auto"/>
              </w:rPr>
            </w:pPr>
          </w:p>
        </w:tc>
      </w:tr>
      <w:tr>
        <w:trPr>
          <w:trHeight w:val="216"/>
        </w:trPr>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Patents</w:t>
            </w:r>
          </w:p>
        </w:tc>
        <w:tc>
          <w:tcPr>
            <w:tcW w:w="23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1,579</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1,132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447</w:t>
            </w:r>
          </w:p>
        </w:tc>
        <w:tc>
          <w:tcPr>
            <w:tcW w:w="8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1,579</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1,109</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470</w:t>
            </w:r>
          </w:p>
        </w:tc>
        <w:tc>
          <w:tcPr>
            <w:tcW w:w="0" w:type="dxa"/>
            <w:vAlign w:val="bottom"/>
          </w:tcPr>
          <w:p>
            <w:pPr>
              <w:spacing w:after="0"/>
              <w:rPr>
                <w:sz w:val="1"/>
                <w:szCs w:val="1"/>
                <w:color w:val="auto"/>
              </w:rPr>
            </w:pPr>
          </w:p>
        </w:tc>
      </w:tr>
      <w:tr>
        <w:trPr>
          <w:trHeight w:val="216"/>
        </w:trPr>
        <w:tc>
          <w:tcPr>
            <w:tcW w:w="3720" w:type="dxa"/>
            <w:vAlign w:val="bottom"/>
          </w:tcPr>
          <w:p>
            <w:pPr>
              <w:spacing w:after="0"/>
              <w:rPr>
                <w:sz w:val="20"/>
                <w:szCs w:val="20"/>
                <w:color w:val="auto"/>
              </w:rPr>
            </w:pPr>
            <w:r>
              <w:rPr>
                <w:rFonts w:ascii="Arial" w:cs="Arial" w:eastAsia="Arial" w:hAnsi="Arial"/>
                <w:sz w:val="18"/>
                <w:szCs w:val="18"/>
                <w:color w:val="auto"/>
              </w:rPr>
              <w:t>Software</w:t>
            </w:r>
          </w:p>
        </w:tc>
        <w:tc>
          <w:tcPr>
            <w:tcW w:w="1560" w:type="dxa"/>
            <w:vAlign w:val="bottom"/>
          </w:tcPr>
          <w:p>
            <w:pPr>
              <w:spacing w:after="0"/>
              <w:rPr>
                <w:sz w:val="18"/>
                <w:szCs w:val="18"/>
                <w:color w:val="auto"/>
              </w:rPr>
            </w:pPr>
          </w:p>
        </w:tc>
        <w:tc>
          <w:tcPr>
            <w:tcW w:w="780" w:type="dxa"/>
            <w:vAlign w:val="bottom"/>
            <w:gridSpan w:val="2"/>
          </w:tcPr>
          <w:p>
            <w:pPr>
              <w:jc w:val="right"/>
              <w:ind w:right="100"/>
              <w:spacing w:after="0"/>
              <w:rPr>
                <w:sz w:val="20"/>
                <w:szCs w:val="20"/>
                <w:color w:val="auto"/>
              </w:rPr>
            </w:pPr>
            <w:r>
              <w:rPr>
                <w:rFonts w:ascii="Arial" w:cs="Arial" w:eastAsia="Arial" w:hAnsi="Arial"/>
                <w:sz w:val="18"/>
                <w:szCs w:val="18"/>
                <w:color w:val="auto"/>
              </w:rPr>
              <w:t>78,584</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gridSpan w:val="2"/>
          </w:tcPr>
          <w:p>
            <w:pPr>
              <w:jc w:val="right"/>
              <w:ind w:right="160"/>
              <w:spacing w:after="0"/>
              <w:rPr>
                <w:sz w:val="20"/>
                <w:szCs w:val="20"/>
                <w:color w:val="auto"/>
              </w:rPr>
            </w:pPr>
            <w:r>
              <w:rPr>
                <w:rFonts w:ascii="Arial" w:cs="Arial" w:eastAsia="Arial" w:hAnsi="Arial"/>
                <w:sz w:val="18"/>
                <w:szCs w:val="18"/>
                <w:color w:val="auto"/>
              </w:rPr>
              <w:t>41,512</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37,072</w:t>
            </w:r>
          </w:p>
        </w:tc>
        <w:tc>
          <w:tcPr>
            <w:tcW w:w="860" w:type="dxa"/>
            <w:vAlign w:val="bottom"/>
            <w:gridSpan w:val="3"/>
          </w:tcPr>
          <w:p>
            <w:pPr>
              <w:jc w:val="right"/>
              <w:ind w:right="40"/>
              <w:spacing w:after="0"/>
              <w:rPr>
                <w:sz w:val="20"/>
                <w:szCs w:val="20"/>
                <w:color w:val="auto"/>
              </w:rPr>
            </w:pPr>
            <w:r>
              <w:rPr>
                <w:rFonts w:ascii="Arial" w:cs="Arial" w:eastAsia="Arial" w:hAnsi="Arial"/>
                <w:sz w:val="18"/>
                <w:szCs w:val="18"/>
                <w:color w:val="auto"/>
              </w:rPr>
              <w:t>78,547</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34,337</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ind w:right="60"/>
              <w:spacing w:after="0"/>
              <w:rPr>
                <w:sz w:val="20"/>
                <w:szCs w:val="20"/>
                <w:color w:val="auto"/>
              </w:rPr>
            </w:pPr>
            <w:r>
              <w:rPr>
                <w:rFonts w:ascii="Arial" w:cs="Arial" w:eastAsia="Arial" w:hAnsi="Arial"/>
                <w:sz w:val="18"/>
                <w:szCs w:val="18"/>
                <w:color w:val="auto"/>
              </w:rPr>
              <w:t>44,210</w:t>
            </w:r>
          </w:p>
        </w:tc>
        <w:tc>
          <w:tcPr>
            <w:tcW w:w="0" w:type="dxa"/>
            <w:vAlign w:val="bottom"/>
          </w:tcPr>
          <w:p>
            <w:pPr>
              <w:spacing w:after="0"/>
              <w:rPr>
                <w:sz w:val="1"/>
                <w:szCs w:val="1"/>
                <w:color w:val="auto"/>
              </w:rPr>
            </w:pPr>
          </w:p>
        </w:tc>
      </w:tr>
      <w:tr>
        <w:trPr>
          <w:trHeight w:val="27"/>
        </w:trPr>
        <w:tc>
          <w:tcPr>
            <w:tcW w:w="3720" w:type="dxa"/>
            <w:vAlign w:val="bottom"/>
          </w:tcPr>
          <w:p>
            <w:pPr>
              <w:spacing w:after="0"/>
              <w:rPr>
                <w:sz w:val="2"/>
                <w:szCs w:val="2"/>
                <w:color w:val="auto"/>
              </w:rPr>
            </w:pPr>
          </w:p>
        </w:tc>
        <w:tc>
          <w:tcPr>
            <w:tcW w:w="156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720" w:type="dxa"/>
            <w:vAlign w:val="bottom"/>
            <w:shd w:val="clear" w:color="auto" w:fill="CCEEFF"/>
          </w:tcPr>
          <w:p>
            <w:pPr>
              <w:spacing w:after="0"/>
              <w:rPr>
                <w:sz w:val="18"/>
                <w:szCs w:val="18"/>
                <w:color w:val="auto"/>
              </w:rPr>
            </w:pPr>
          </w:p>
        </w:tc>
        <w:tc>
          <w:tcPr>
            <w:tcW w:w="23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481,032</w:t>
            </w:r>
          </w:p>
        </w:tc>
        <w:tc>
          <w:tcPr>
            <w:tcW w:w="32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8"/>
              </w:rPr>
              <w:t>270,647</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6"/>
              </w:rPr>
              <w:t>210,385</w:t>
            </w:r>
          </w:p>
        </w:tc>
        <w:tc>
          <w:tcPr>
            <w:tcW w:w="8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480,995</w:t>
            </w:r>
          </w:p>
        </w:tc>
        <w:tc>
          <w:tcPr>
            <w:tcW w:w="38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8"/>
              </w:rPr>
              <w:t>249,362</w:t>
            </w: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6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9"/>
              </w:rPr>
              <w:t>231,633</w:t>
            </w:r>
          </w:p>
        </w:tc>
        <w:tc>
          <w:tcPr>
            <w:tcW w:w="0" w:type="dxa"/>
            <w:vAlign w:val="bottom"/>
          </w:tcPr>
          <w:p>
            <w:pPr>
              <w:spacing w:after="0"/>
              <w:rPr>
                <w:sz w:val="1"/>
                <w:szCs w:val="1"/>
                <w:color w:val="auto"/>
              </w:rPr>
            </w:pPr>
          </w:p>
        </w:tc>
      </w:tr>
      <w:tr>
        <w:trPr>
          <w:trHeight w:val="20"/>
        </w:trPr>
        <w:tc>
          <w:tcPr>
            <w:tcW w:w="372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table presents amortization of intangible assets for the three months ended March 31, 2021 and 2020:</w:t>
      </w:r>
    </w:p>
    <w:p>
      <w:pPr>
        <w:spacing w:after="0" w:line="244" w:lineRule="exact"/>
        <w:rPr>
          <w:sz w:val="20"/>
          <w:szCs w:val="20"/>
          <w:color w:val="auto"/>
        </w:rPr>
      </w:pPr>
    </w:p>
    <w:tbl>
      <w:tblPr>
        <w:tblLayout w:type="fixed"/>
        <w:tblInd w:w="1320" w:type="dxa"/>
        <w:tblCellMar>
          <w:top w:w="0" w:type="dxa"/>
          <w:left w:w="0" w:type="dxa"/>
          <w:bottom w:w="0" w:type="dxa"/>
          <w:right w:w="0" w:type="dxa"/>
        </w:tblCellMar>
      </w:tblPr>
      <w:tr>
        <w:trPr>
          <w:trHeight w:val="171"/>
        </w:trPr>
        <w:tc>
          <w:tcPr>
            <w:tcW w:w="3020" w:type="dxa"/>
            <w:vAlign w:val="bottom"/>
          </w:tcPr>
          <w:p>
            <w:pPr>
              <w:spacing w:after="0"/>
              <w:rPr>
                <w:sz w:val="14"/>
                <w:szCs w:val="14"/>
                <w:color w:val="auto"/>
              </w:rPr>
            </w:pPr>
          </w:p>
        </w:tc>
        <w:tc>
          <w:tcPr>
            <w:tcW w:w="3140" w:type="dxa"/>
            <w:vAlign w:val="bottom"/>
          </w:tcPr>
          <w:p>
            <w:pPr>
              <w:spacing w:after="0"/>
              <w:rPr>
                <w:sz w:val="14"/>
                <w:szCs w:val="14"/>
                <w:color w:val="auto"/>
              </w:rPr>
            </w:pPr>
          </w:p>
        </w:tc>
        <w:tc>
          <w:tcPr>
            <w:tcW w:w="2200" w:type="dxa"/>
            <w:vAlign w:val="bottom"/>
            <w:gridSpan w:val="7"/>
          </w:tcPr>
          <w:p>
            <w:pPr>
              <w:ind w:left="100"/>
              <w:spacing w:after="0"/>
              <w:rPr>
                <w:sz w:val="20"/>
                <w:szCs w:val="20"/>
                <w:color w:val="auto"/>
              </w:rPr>
            </w:pPr>
            <w:r>
              <w:rPr>
                <w:rFonts w:ascii="Arial" w:cs="Arial" w:eastAsia="Arial" w:hAnsi="Arial"/>
                <w:sz w:val="14"/>
                <w:szCs w:val="14"/>
                <w:b w:val="1"/>
                <w:bCs w:val="1"/>
                <w:color w:val="auto"/>
              </w:rPr>
              <w:t>Three Months Ended March 31,</w:t>
            </w:r>
          </w:p>
        </w:tc>
        <w:tc>
          <w:tcPr>
            <w:tcW w:w="0" w:type="dxa"/>
            <w:vAlign w:val="bottom"/>
          </w:tcPr>
          <w:p>
            <w:pPr>
              <w:spacing w:after="0"/>
              <w:rPr>
                <w:sz w:val="1"/>
                <w:szCs w:val="1"/>
                <w:color w:val="auto"/>
              </w:rPr>
            </w:pPr>
          </w:p>
        </w:tc>
      </w:tr>
      <w:tr>
        <w:trPr>
          <w:trHeight w:val="142"/>
        </w:trPr>
        <w:tc>
          <w:tcPr>
            <w:tcW w:w="3020" w:type="dxa"/>
            <w:vAlign w:val="bottom"/>
            <w:tcBorders>
              <w:bottom w:val="single" w:sz="8" w:color="CCEEFF"/>
            </w:tcBorders>
          </w:tcPr>
          <w:p>
            <w:pPr>
              <w:spacing w:after="0"/>
              <w:rPr>
                <w:sz w:val="12"/>
                <w:szCs w:val="12"/>
                <w:color w:val="auto"/>
              </w:rPr>
            </w:pPr>
          </w:p>
        </w:tc>
        <w:tc>
          <w:tcPr>
            <w:tcW w:w="3140" w:type="dxa"/>
            <w:vAlign w:val="bottom"/>
            <w:tcBorders>
              <w:bottom w:val="single" w:sz="8" w:color="CCEEFF"/>
            </w:tcBorders>
          </w:tcPr>
          <w:p>
            <w:pPr>
              <w:spacing w:after="0"/>
              <w:rPr>
                <w:sz w:val="12"/>
                <w:szCs w:val="12"/>
                <w:color w:val="auto"/>
              </w:rPr>
            </w:pPr>
          </w:p>
        </w:tc>
        <w:tc>
          <w:tcPr>
            <w:tcW w:w="200" w:type="dxa"/>
            <w:vAlign w:val="bottom"/>
            <w:tcBorders>
              <w:top w:val="single" w:sz="8" w:color="auto"/>
              <w:bottom w:val="single" w:sz="8" w:color="auto"/>
            </w:tcBorders>
          </w:tcPr>
          <w:p>
            <w:pPr>
              <w:spacing w:after="0"/>
              <w:rPr>
                <w:sz w:val="12"/>
                <w:szCs w:val="12"/>
                <w:color w:val="auto"/>
              </w:rPr>
            </w:pPr>
          </w:p>
        </w:tc>
        <w:tc>
          <w:tcPr>
            <w:tcW w:w="680" w:type="dxa"/>
            <w:vAlign w:val="bottom"/>
            <w:tcBorders>
              <w:top w:val="single" w:sz="8" w:color="auto"/>
              <w:bottom w:val="single" w:sz="8" w:color="auto"/>
            </w:tcBorders>
          </w:tcPr>
          <w:p>
            <w:pPr>
              <w:jc w:val="right"/>
              <w:ind w:right="193"/>
              <w:spacing w:after="0" w:line="142" w:lineRule="exact"/>
              <w:rPr>
                <w:sz w:val="20"/>
                <w:szCs w:val="20"/>
                <w:color w:val="auto"/>
              </w:rPr>
            </w:pPr>
            <w:r>
              <w:rPr>
                <w:rFonts w:ascii="Arial" w:cs="Arial" w:eastAsia="Arial" w:hAnsi="Arial"/>
                <w:sz w:val="14"/>
                <w:szCs w:val="14"/>
                <w:b w:val="1"/>
                <w:bCs w:val="1"/>
                <w:color w:val="auto"/>
              </w:rPr>
              <w:t>2021</w:t>
            </w:r>
          </w:p>
        </w:tc>
        <w:tc>
          <w:tcPr>
            <w:tcW w:w="180" w:type="dxa"/>
            <w:vAlign w:val="bottom"/>
            <w:tcBorders>
              <w:top w:val="single" w:sz="8" w:color="auto"/>
              <w:bottom w:val="single" w:sz="8" w:color="CCEEFF"/>
            </w:tcBorders>
          </w:tcPr>
          <w:p>
            <w:pPr>
              <w:spacing w:after="0"/>
              <w:rPr>
                <w:sz w:val="12"/>
                <w:szCs w:val="12"/>
                <w:color w:val="auto"/>
              </w:rPr>
            </w:pPr>
          </w:p>
        </w:tc>
        <w:tc>
          <w:tcPr>
            <w:tcW w:w="200" w:type="dxa"/>
            <w:vAlign w:val="bottom"/>
            <w:tcBorders>
              <w:top w:val="single" w:sz="8" w:color="auto"/>
              <w:bottom w:val="single" w:sz="8" w:color="CCEEFF"/>
            </w:tcBorders>
          </w:tcPr>
          <w:p>
            <w:pPr>
              <w:spacing w:after="0"/>
              <w:rPr>
                <w:sz w:val="12"/>
                <w:szCs w:val="12"/>
                <w:color w:val="auto"/>
              </w:rPr>
            </w:pPr>
          </w:p>
        </w:tc>
        <w:tc>
          <w:tcPr>
            <w:tcW w:w="180" w:type="dxa"/>
            <w:vAlign w:val="bottom"/>
            <w:tcBorders>
              <w:top w:val="single" w:sz="8" w:color="auto"/>
              <w:bottom w:val="single" w:sz="8" w:color="auto"/>
            </w:tcBorders>
          </w:tcPr>
          <w:p>
            <w:pPr>
              <w:spacing w:after="0"/>
              <w:rPr>
                <w:sz w:val="12"/>
                <w:szCs w:val="12"/>
                <w:color w:val="auto"/>
              </w:rPr>
            </w:pPr>
          </w:p>
        </w:tc>
        <w:tc>
          <w:tcPr>
            <w:tcW w:w="720" w:type="dxa"/>
            <w:vAlign w:val="bottom"/>
            <w:tcBorders>
              <w:top w:val="single" w:sz="8" w:color="auto"/>
              <w:bottom w:val="single" w:sz="8" w:color="auto"/>
            </w:tcBorders>
          </w:tcPr>
          <w:p>
            <w:pPr>
              <w:jc w:val="right"/>
              <w:ind w:right="233"/>
              <w:spacing w:after="0" w:line="142" w:lineRule="exact"/>
              <w:rPr>
                <w:sz w:val="20"/>
                <w:szCs w:val="20"/>
                <w:color w:val="auto"/>
              </w:rPr>
            </w:pPr>
            <w:r>
              <w:rPr>
                <w:rFonts w:ascii="Arial" w:cs="Arial" w:eastAsia="Arial" w:hAnsi="Arial"/>
                <w:sz w:val="14"/>
                <w:szCs w:val="14"/>
                <w:b w:val="1"/>
                <w:bCs w:val="1"/>
                <w:color w:val="auto"/>
              </w:rPr>
              <w:t>2020</w:t>
            </w:r>
          </w:p>
        </w:tc>
        <w:tc>
          <w:tcPr>
            <w:tcW w:w="4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302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14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6"/>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11,586</w:t>
            </w: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27"/>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11,383</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2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3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gridSpan w:val="2"/>
          </w:tcPr>
          <w:p>
            <w:pPr>
              <w:jc w:val="right"/>
              <w:ind w:right="180"/>
              <w:spacing w:after="0"/>
              <w:rPr>
                <w:sz w:val="20"/>
                <w:szCs w:val="20"/>
                <w:color w:val="auto"/>
              </w:rPr>
            </w:pPr>
            <w:r>
              <w:rPr>
                <w:rFonts w:ascii="Arial" w:cs="Arial" w:eastAsia="Arial" w:hAnsi="Arial"/>
                <w:sz w:val="18"/>
                <w:szCs w:val="18"/>
                <w:color w:val="auto"/>
              </w:rPr>
              <w:t>7,485</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6,625</w:t>
            </w:r>
          </w:p>
        </w:tc>
        <w:tc>
          <w:tcPr>
            <w:tcW w:w="0" w:type="dxa"/>
            <w:vAlign w:val="bottom"/>
          </w:tcPr>
          <w:p>
            <w:pPr>
              <w:spacing w:after="0"/>
              <w:rPr>
                <w:sz w:val="1"/>
                <w:szCs w:val="1"/>
                <w:color w:val="auto"/>
              </w:rPr>
            </w:pPr>
          </w:p>
        </w:tc>
      </w:tr>
      <w:tr>
        <w:trPr>
          <w:trHeight w:val="216"/>
        </w:trPr>
        <w:tc>
          <w:tcPr>
            <w:tcW w:w="3020" w:type="dxa"/>
            <w:vAlign w:val="bottom"/>
            <w:shd w:val="clear" w:color="auto" w:fill="CCEEFF"/>
          </w:tcPr>
          <w:p>
            <w:pPr>
              <w:spacing w:after="0"/>
              <w:rPr>
                <w:sz w:val="20"/>
                <w:szCs w:val="20"/>
                <w:color w:val="auto"/>
              </w:rPr>
            </w:pPr>
            <w:r>
              <w:rPr>
                <w:rFonts w:ascii="Arial" w:cs="Arial" w:eastAsia="Arial" w:hAnsi="Arial"/>
                <w:sz w:val="18"/>
                <w:szCs w:val="18"/>
                <w:color w:val="auto"/>
              </w:rPr>
              <w:t>Sales and marketing</w:t>
            </w:r>
          </w:p>
        </w:tc>
        <w:tc>
          <w:tcPr>
            <w:tcW w:w="3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2,432</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2,432</w:t>
            </w:r>
          </w:p>
        </w:tc>
        <w:tc>
          <w:tcPr>
            <w:tcW w:w="0" w:type="dxa"/>
            <w:vAlign w:val="bottom"/>
          </w:tcPr>
          <w:p>
            <w:pPr>
              <w:spacing w:after="0"/>
              <w:rPr>
                <w:sz w:val="1"/>
                <w:szCs w:val="1"/>
                <w:color w:val="auto"/>
              </w:rPr>
            </w:pPr>
          </w:p>
        </w:tc>
      </w:tr>
      <w:tr>
        <w:trPr>
          <w:trHeight w:val="216"/>
        </w:trPr>
        <w:tc>
          <w:tcPr>
            <w:tcW w:w="302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3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gridSpan w:val="2"/>
          </w:tcPr>
          <w:p>
            <w:pPr>
              <w:jc w:val="right"/>
              <w:ind w:right="180"/>
              <w:spacing w:after="0"/>
              <w:rPr>
                <w:sz w:val="20"/>
                <w:szCs w:val="20"/>
                <w:color w:val="auto"/>
              </w:rPr>
            </w:pPr>
            <w:r>
              <w:rPr>
                <w:rFonts w:ascii="Arial" w:cs="Arial" w:eastAsia="Arial" w:hAnsi="Arial"/>
                <w:sz w:val="18"/>
                <w:szCs w:val="18"/>
                <w:color w:val="auto"/>
              </w:rPr>
              <w:t>92</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97</w:t>
            </w:r>
          </w:p>
        </w:tc>
        <w:tc>
          <w:tcPr>
            <w:tcW w:w="0" w:type="dxa"/>
            <w:vAlign w:val="bottom"/>
          </w:tcPr>
          <w:p>
            <w:pPr>
              <w:spacing w:after="0"/>
              <w:rPr>
                <w:sz w:val="1"/>
                <w:szCs w:val="1"/>
                <w:color w:val="auto"/>
              </w:rPr>
            </w:pPr>
          </w:p>
        </w:tc>
      </w:tr>
      <w:tr>
        <w:trPr>
          <w:trHeight w:val="27"/>
        </w:trPr>
        <w:tc>
          <w:tcPr>
            <w:tcW w:w="3020" w:type="dxa"/>
            <w:vAlign w:val="bottom"/>
          </w:tcPr>
          <w:p>
            <w:pPr>
              <w:spacing w:after="0"/>
              <w:rPr>
                <w:sz w:val="2"/>
                <w:szCs w:val="2"/>
                <w:color w:val="auto"/>
              </w:rPr>
            </w:pPr>
          </w:p>
        </w:tc>
        <w:tc>
          <w:tcPr>
            <w:tcW w:w="314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020" w:type="dxa"/>
            <w:vAlign w:val="bottom"/>
            <w:shd w:val="clear" w:color="auto" w:fill="CCEEFF"/>
          </w:tcPr>
          <w:p>
            <w:pPr>
              <w:spacing w:after="0"/>
              <w:rPr>
                <w:sz w:val="18"/>
                <w:szCs w:val="18"/>
                <w:color w:val="auto"/>
              </w:rPr>
            </w:pPr>
          </w:p>
        </w:tc>
        <w:tc>
          <w:tcPr>
            <w:tcW w:w="314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6"/>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21,595</w:t>
            </w:r>
          </w:p>
        </w:tc>
        <w:tc>
          <w:tcPr>
            <w:tcW w:w="380" w:type="dxa"/>
            <w:vAlign w:val="bottom"/>
            <w:gridSpan w:val="2"/>
            <w:shd w:val="clear" w:color="auto" w:fill="CCEEFF"/>
          </w:tcPr>
          <w:p>
            <w:pPr>
              <w:jc w:val="right"/>
              <w:ind w:right="27"/>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20,537</w:t>
            </w:r>
          </w:p>
        </w:tc>
        <w:tc>
          <w:tcPr>
            <w:tcW w:w="0" w:type="dxa"/>
            <w:vAlign w:val="bottom"/>
          </w:tcPr>
          <w:p>
            <w:pPr>
              <w:spacing w:after="0"/>
              <w:rPr>
                <w:sz w:val="1"/>
                <w:szCs w:val="1"/>
                <w:color w:val="auto"/>
              </w:rPr>
            </w:pPr>
          </w:p>
        </w:tc>
      </w:tr>
      <w:tr>
        <w:trPr>
          <w:trHeight w:val="20"/>
        </w:trPr>
        <w:tc>
          <w:tcPr>
            <w:tcW w:w="3020" w:type="dxa"/>
            <w:vAlign w:val="bottom"/>
          </w:tcPr>
          <w:p>
            <w:pPr>
              <w:spacing w:after="0" w:line="20" w:lineRule="exact"/>
              <w:rPr>
                <w:sz w:val="1"/>
                <w:szCs w:val="1"/>
                <w:color w:val="auto"/>
              </w:rPr>
            </w:pPr>
          </w:p>
        </w:tc>
        <w:tc>
          <w:tcPr>
            <w:tcW w:w="3140" w:type="dxa"/>
            <w:vAlign w:val="bottom"/>
            <w:vMerge w:val="restart"/>
          </w:tcPr>
          <w:p>
            <w:pPr>
              <w:jc w:val="right"/>
              <w:ind w:right="1790"/>
              <w:spacing w:after="0"/>
              <w:rPr>
                <w:sz w:val="20"/>
                <w:szCs w:val="20"/>
                <w:color w:val="auto"/>
              </w:rPr>
            </w:pPr>
            <w:r>
              <w:rPr>
                <w:rFonts w:ascii="Arial" w:cs="Arial" w:eastAsia="Arial" w:hAnsi="Arial"/>
                <w:sz w:val="18"/>
                <w:szCs w:val="18"/>
                <w:color w:val="auto"/>
              </w:rPr>
              <w:t>12</w:t>
            </w:r>
          </w:p>
        </w:tc>
        <w:tc>
          <w:tcPr>
            <w:tcW w:w="2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020" w:type="dxa"/>
            <w:vAlign w:val="bottom"/>
          </w:tcPr>
          <w:p>
            <w:pPr>
              <w:spacing w:after="0"/>
              <w:rPr>
                <w:sz w:val="24"/>
                <w:szCs w:val="24"/>
                <w:color w:val="auto"/>
              </w:rPr>
            </w:pPr>
          </w:p>
        </w:tc>
        <w:tc>
          <w:tcPr>
            <w:tcW w:w="3140" w:type="dxa"/>
            <w:vAlign w:val="bottom"/>
            <w:vMerge w:val="continue"/>
          </w:tcPr>
          <w:p>
            <w:pPr>
              <w:spacing w:after="0"/>
              <w:rPr>
                <w:sz w:val="24"/>
                <w:szCs w:val="24"/>
                <w:color w:val="auto"/>
              </w:rPr>
            </w:pPr>
          </w:p>
        </w:tc>
        <w:tc>
          <w:tcPr>
            <w:tcW w:w="2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020"/>
          </w:cols>
          <w:pgMar w:left="440" w:top="270" w:right="439" w:bottom="1440" w:gutter="0" w:footer="0" w:header="0"/>
        </w:sectPr>
      </w:pPr>
    </w:p>
    <w:bookmarkStart w:id="16" w:name="page17"/>
    <w:bookmarkEnd w:id="16"/>
    <w:p>
      <w:pPr>
        <w:jc w:val="center"/>
        <w:ind w:right="-2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INPHI CORPORATION</w:t>
      </w:r>
    </w:p>
    <w:p>
      <w:pPr>
        <w:spacing w:after="0" w:line="27"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9"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(Dollars in thousands except share and per share amounts)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40005</wp:posOffset>
            </wp:positionV>
            <wp:extent cx="6995160" cy="825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31"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Based on the amount of intangible assets subject to amortization at March 31, 2021, the expected amortization expense for each of the next five fiscal years and thereafter is as follows:</w:t>
      </w:r>
    </w:p>
    <w:p>
      <w:pPr>
        <w:spacing w:after="0" w:line="212" w:lineRule="exact"/>
        <w:rPr>
          <w:sz w:val="20"/>
          <w:szCs w:val="20"/>
          <w:color w:val="auto"/>
        </w:rPr>
      </w:pPr>
    </w:p>
    <w:tbl>
      <w:tblPr>
        <w:tblLayout w:type="fixed"/>
        <w:tblInd w:w="440" w:type="dxa"/>
        <w:tblCellMar>
          <w:top w:w="0" w:type="dxa"/>
          <w:left w:w="0" w:type="dxa"/>
          <w:bottom w:w="0" w:type="dxa"/>
          <w:right w:w="0" w:type="dxa"/>
        </w:tblCellMar>
      </w:tblPr>
      <w:tr>
        <w:trPr>
          <w:trHeight w:val="216"/>
        </w:trPr>
        <w:tc>
          <w:tcPr>
            <w:tcW w:w="1320" w:type="dxa"/>
            <w:vAlign w:val="bottom"/>
          </w:tcPr>
          <w:p>
            <w:pPr>
              <w:spacing w:after="0"/>
              <w:rPr>
                <w:sz w:val="18"/>
                <w:szCs w:val="18"/>
                <w:color w:val="auto"/>
              </w:rPr>
            </w:pPr>
          </w:p>
        </w:tc>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2021 (remaining)</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59,125</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6740" w:type="dxa"/>
            <w:vAlign w:val="bottom"/>
          </w:tcPr>
          <w:p>
            <w:pPr>
              <w:spacing w:after="0"/>
              <w:rPr>
                <w:sz w:val="20"/>
                <w:szCs w:val="20"/>
                <w:color w:val="auto"/>
              </w:rPr>
            </w:pPr>
            <w:r>
              <w:rPr>
                <w:rFonts w:ascii="Arial" w:cs="Arial" w:eastAsia="Arial" w:hAnsi="Arial"/>
                <w:sz w:val="18"/>
                <w:szCs w:val="18"/>
                <w:color w:val="auto"/>
              </w:rPr>
              <w:t>2022</w:t>
            </w:r>
          </w:p>
        </w:tc>
        <w:tc>
          <w:tcPr>
            <w:tcW w:w="10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69,025</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2023</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41,637</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6740" w:type="dxa"/>
            <w:vAlign w:val="bottom"/>
          </w:tcPr>
          <w:p>
            <w:pPr>
              <w:spacing w:after="0"/>
              <w:rPr>
                <w:sz w:val="20"/>
                <w:szCs w:val="20"/>
                <w:color w:val="auto"/>
              </w:rPr>
            </w:pPr>
            <w:r>
              <w:rPr>
                <w:rFonts w:ascii="Arial" w:cs="Arial" w:eastAsia="Arial" w:hAnsi="Arial"/>
                <w:sz w:val="18"/>
                <w:szCs w:val="18"/>
                <w:color w:val="auto"/>
              </w:rPr>
              <w:t>2024</w:t>
            </w:r>
          </w:p>
        </w:tc>
        <w:tc>
          <w:tcPr>
            <w:tcW w:w="10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26,368</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2025</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5,433</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6740" w:type="dxa"/>
            <w:vAlign w:val="bottom"/>
          </w:tcPr>
          <w:p>
            <w:pPr>
              <w:spacing w:after="0"/>
              <w:rPr>
                <w:sz w:val="20"/>
                <w:szCs w:val="20"/>
                <w:color w:val="auto"/>
              </w:rPr>
            </w:pPr>
            <w:r>
              <w:rPr>
                <w:rFonts w:ascii="Arial" w:cs="Arial" w:eastAsia="Arial" w:hAnsi="Arial"/>
                <w:sz w:val="18"/>
                <w:szCs w:val="18"/>
                <w:color w:val="auto"/>
              </w:rPr>
              <w:t>Thereafter</w:t>
            </w:r>
          </w:p>
        </w:tc>
        <w:tc>
          <w:tcPr>
            <w:tcW w:w="10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8,797</w:t>
            </w:r>
          </w:p>
        </w:tc>
        <w:tc>
          <w:tcPr>
            <w:tcW w:w="0" w:type="dxa"/>
            <w:vAlign w:val="bottom"/>
          </w:tcPr>
          <w:p>
            <w:pPr>
              <w:spacing w:after="0"/>
              <w:rPr>
                <w:sz w:val="1"/>
                <w:szCs w:val="1"/>
                <w:color w:val="auto"/>
              </w:rPr>
            </w:pPr>
          </w:p>
        </w:tc>
      </w:tr>
      <w:tr>
        <w:trPr>
          <w:trHeight w:val="27"/>
        </w:trPr>
        <w:tc>
          <w:tcPr>
            <w:tcW w:w="1320" w:type="dxa"/>
            <w:vAlign w:val="bottom"/>
          </w:tcPr>
          <w:p>
            <w:pPr>
              <w:spacing w:after="0"/>
              <w:rPr>
                <w:sz w:val="2"/>
                <w:szCs w:val="2"/>
                <w:color w:val="auto"/>
              </w:rPr>
            </w:pPr>
          </w:p>
        </w:tc>
        <w:tc>
          <w:tcPr>
            <w:tcW w:w="67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320" w:type="dxa"/>
            <w:vAlign w:val="bottom"/>
          </w:tcPr>
          <w:p>
            <w:pPr>
              <w:spacing w:after="0"/>
              <w:rPr>
                <w:sz w:val="18"/>
                <w:szCs w:val="18"/>
                <w:color w:val="auto"/>
              </w:rPr>
            </w:pPr>
          </w:p>
        </w:tc>
        <w:tc>
          <w:tcPr>
            <w:tcW w:w="67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6"/>
              </w:rPr>
              <w:t>210,385</w:t>
            </w:r>
          </w:p>
        </w:tc>
        <w:tc>
          <w:tcPr>
            <w:tcW w:w="0" w:type="dxa"/>
            <w:vAlign w:val="bottom"/>
          </w:tcPr>
          <w:p>
            <w:pPr>
              <w:spacing w:after="0"/>
              <w:rPr>
                <w:sz w:val="1"/>
                <w:szCs w:val="1"/>
                <w:color w:val="auto"/>
              </w:rPr>
            </w:pPr>
          </w:p>
        </w:tc>
      </w:tr>
      <w:tr>
        <w:trPr>
          <w:trHeight w:val="20"/>
        </w:trPr>
        <w:tc>
          <w:tcPr>
            <w:tcW w:w="8060" w:type="dxa"/>
            <w:vAlign w:val="bottom"/>
            <w:gridSpan w:val="2"/>
            <w:vMerge w:val="restart"/>
          </w:tcPr>
          <w:p>
            <w:pPr>
              <w:spacing w:after="0"/>
              <w:rPr>
                <w:sz w:val="20"/>
                <w:szCs w:val="20"/>
                <w:color w:val="auto"/>
              </w:rPr>
            </w:pPr>
            <w:r>
              <w:rPr>
                <w:rFonts w:ascii="Arial" w:cs="Arial" w:eastAsia="Arial" w:hAnsi="Arial"/>
                <w:sz w:val="18"/>
                <w:szCs w:val="18"/>
                <w:color w:val="auto"/>
                <w:w w:val="92"/>
              </w:rPr>
              <w:t>The weighted-average amortization periods remaining by intangible asset category were as follows (in years):</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26"/>
        </w:trPr>
        <w:tc>
          <w:tcPr>
            <w:tcW w:w="8060" w:type="dxa"/>
            <w:vAlign w:val="bottom"/>
            <w:gridSpan w:val="2"/>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1320" w:type="dxa"/>
            <w:vAlign w:val="bottom"/>
            <w:vMerge w:val="restart"/>
          </w:tcPr>
          <w:p>
            <w:pPr>
              <w:spacing w:after="0"/>
              <w:rPr>
                <w:sz w:val="21"/>
                <w:szCs w:val="21"/>
                <w:color w:val="auto"/>
              </w:rPr>
            </w:pPr>
          </w:p>
        </w:tc>
        <w:tc>
          <w:tcPr>
            <w:tcW w:w="67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40" w:type="dxa"/>
            <w:vAlign w:val="bottom"/>
            <w:gridSpan w:val="2"/>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1320" w:type="dxa"/>
            <w:vAlign w:val="bottom"/>
            <w:vMerge w:val="continue"/>
          </w:tcPr>
          <w:p>
            <w:pPr>
              <w:spacing w:after="0"/>
              <w:rPr>
                <w:sz w:val="18"/>
                <w:szCs w:val="18"/>
                <w:color w:val="auto"/>
              </w:rPr>
            </w:pPr>
          </w:p>
        </w:tc>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Developed technology</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6740" w:type="dxa"/>
            <w:vAlign w:val="bottom"/>
          </w:tcPr>
          <w:p>
            <w:pPr>
              <w:spacing w:after="0"/>
              <w:rPr>
                <w:sz w:val="20"/>
                <w:szCs w:val="20"/>
                <w:color w:val="auto"/>
              </w:rPr>
            </w:pPr>
            <w:r>
              <w:rPr>
                <w:rFonts w:ascii="Arial" w:cs="Arial" w:eastAsia="Arial" w:hAnsi="Arial"/>
                <w:sz w:val="18"/>
                <w:szCs w:val="18"/>
                <w:color w:val="auto"/>
              </w:rPr>
              <w:t>Customer relationship</w:t>
            </w:r>
          </w:p>
        </w:tc>
        <w:tc>
          <w:tcPr>
            <w:tcW w:w="10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Contract manufacturing rights</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6740" w:type="dxa"/>
            <w:vAlign w:val="bottom"/>
          </w:tcPr>
          <w:p>
            <w:pPr>
              <w:spacing w:after="0"/>
              <w:rPr>
                <w:sz w:val="20"/>
                <w:szCs w:val="20"/>
                <w:color w:val="auto"/>
              </w:rPr>
            </w:pPr>
            <w:r>
              <w:rPr>
                <w:rFonts w:ascii="Arial" w:cs="Arial" w:eastAsia="Arial" w:hAnsi="Arial"/>
                <w:sz w:val="18"/>
                <w:szCs w:val="18"/>
                <w:color w:val="auto"/>
              </w:rPr>
              <w:t>Trade name</w:t>
            </w:r>
          </w:p>
        </w:tc>
        <w:tc>
          <w:tcPr>
            <w:tcW w:w="10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0.7</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Patents</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6.9</w:t>
            </w:r>
          </w:p>
        </w:tc>
        <w:tc>
          <w:tcPr>
            <w:tcW w:w="0" w:type="dxa"/>
            <w:vAlign w:val="bottom"/>
          </w:tcPr>
          <w:p>
            <w:pPr>
              <w:spacing w:after="0"/>
              <w:rPr>
                <w:sz w:val="1"/>
                <w:szCs w:val="1"/>
                <w:color w:val="auto"/>
              </w:rPr>
            </w:pPr>
          </w:p>
        </w:tc>
      </w:tr>
      <w:tr>
        <w:trPr>
          <w:trHeight w:val="230"/>
        </w:trPr>
        <w:tc>
          <w:tcPr>
            <w:tcW w:w="1320" w:type="dxa"/>
            <w:vAlign w:val="bottom"/>
          </w:tcPr>
          <w:p>
            <w:pPr>
              <w:spacing w:after="0"/>
              <w:rPr>
                <w:sz w:val="20"/>
                <w:szCs w:val="20"/>
                <w:color w:val="auto"/>
              </w:rPr>
            </w:pPr>
          </w:p>
        </w:tc>
        <w:tc>
          <w:tcPr>
            <w:tcW w:w="6740" w:type="dxa"/>
            <w:vAlign w:val="bottom"/>
          </w:tcPr>
          <w:p>
            <w:pPr>
              <w:spacing w:after="0"/>
              <w:rPr>
                <w:sz w:val="20"/>
                <w:szCs w:val="20"/>
                <w:color w:val="auto"/>
              </w:rPr>
            </w:pPr>
            <w:r>
              <w:rPr>
                <w:rFonts w:ascii="Arial" w:cs="Arial" w:eastAsia="Arial" w:hAnsi="Arial"/>
                <w:sz w:val="18"/>
                <w:szCs w:val="18"/>
                <w:color w:val="auto"/>
              </w:rPr>
              <w:t>Software</w:t>
            </w:r>
          </w:p>
        </w:tc>
        <w:tc>
          <w:tcPr>
            <w:tcW w:w="100" w:type="dxa"/>
            <w:vAlign w:val="bottom"/>
          </w:tcPr>
          <w:p>
            <w:pPr>
              <w:spacing w:after="0"/>
              <w:rPr>
                <w:sz w:val="20"/>
                <w:szCs w:val="20"/>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bl>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 Leases</w:t>
      </w:r>
    </w:p>
    <w:p>
      <w:pPr>
        <w:spacing w:after="0" w:line="121" w:lineRule="exact"/>
        <w:rPr>
          <w:sz w:val="20"/>
          <w:szCs w:val="20"/>
          <w:color w:val="auto"/>
        </w:rPr>
      </w:pPr>
    </w:p>
    <w:p>
      <w:pPr>
        <w:ind w:right="220" w:firstLine="440"/>
        <w:spacing w:after="0" w:line="277" w:lineRule="auto"/>
        <w:rPr>
          <w:sz w:val="20"/>
          <w:szCs w:val="20"/>
          <w:color w:val="auto"/>
        </w:rPr>
      </w:pPr>
      <w:r>
        <w:rPr>
          <w:rFonts w:ascii="Arial" w:cs="Arial" w:eastAsia="Arial" w:hAnsi="Arial"/>
          <w:sz w:val="18"/>
          <w:szCs w:val="18"/>
          <w:color w:val="auto"/>
        </w:rPr>
        <w:t>The Company has operating leases for office facilities. The leases have remaining lease terms of one year to ten years and some may include options to extend the lease for up to five years.</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Information related to operating leases are as follows:</w:t>
      </w:r>
    </w:p>
    <w:p>
      <w:pPr>
        <w:spacing w:after="0" w:line="231" w:lineRule="exact"/>
        <w:rPr>
          <w:sz w:val="20"/>
          <w:szCs w:val="20"/>
          <w:color w:val="auto"/>
        </w:rPr>
      </w:pPr>
    </w:p>
    <w:tbl>
      <w:tblPr>
        <w:tblLayout w:type="fixed"/>
        <w:tblInd w:w="440" w:type="dxa"/>
        <w:tblCellMar>
          <w:top w:w="0" w:type="dxa"/>
          <w:left w:w="0" w:type="dxa"/>
          <w:bottom w:w="0" w:type="dxa"/>
          <w:right w:w="0" w:type="dxa"/>
        </w:tblCellMar>
      </w:tblPr>
      <w:tr>
        <w:trPr>
          <w:trHeight w:val="161"/>
        </w:trPr>
        <w:tc>
          <w:tcPr>
            <w:tcW w:w="8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200" w:type="dxa"/>
            <w:vAlign w:val="bottom"/>
          </w:tcPr>
          <w:p>
            <w:pPr>
              <w:spacing w:after="0"/>
              <w:rPr>
                <w:sz w:val="14"/>
                <w:szCs w:val="14"/>
                <w:color w:val="auto"/>
              </w:rPr>
            </w:pPr>
          </w:p>
        </w:tc>
        <w:tc>
          <w:tcPr>
            <w:tcW w:w="1340" w:type="dxa"/>
            <w:vAlign w:val="bottom"/>
            <w:gridSpan w:val="4"/>
          </w:tcPr>
          <w:p>
            <w:pPr>
              <w:jc w:val="right"/>
              <w:ind w:right="420"/>
              <w:spacing w:after="0"/>
              <w:rPr>
                <w:sz w:val="20"/>
                <w:szCs w:val="20"/>
                <w:color w:val="auto"/>
              </w:rPr>
            </w:pPr>
            <w:r>
              <w:rPr>
                <w:rFonts w:ascii="Arial" w:cs="Arial" w:eastAsia="Arial" w:hAnsi="Arial"/>
                <w:sz w:val="14"/>
                <w:szCs w:val="14"/>
                <w:b w:val="1"/>
                <w:bCs w:val="1"/>
                <w:color w:val="auto"/>
                <w:w w:val="98"/>
              </w:rPr>
              <w:t>Three Months</w:t>
            </w:r>
          </w:p>
        </w:tc>
        <w:tc>
          <w:tcPr>
            <w:tcW w:w="380" w:type="dxa"/>
            <w:vAlign w:val="bottom"/>
          </w:tcPr>
          <w:p>
            <w:pPr>
              <w:spacing w:after="0"/>
              <w:rPr>
                <w:sz w:val="14"/>
                <w:szCs w:val="14"/>
                <w:color w:val="auto"/>
              </w:rPr>
            </w:pPr>
          </w:p>
        </w:tc>
        <w:tc>
          <w:tcPr>
            <w:tcW w:w="1000" w:type="dxa"/>
            <w:vAlign w:val="bottom"/>
            <w:gridSpan w:val="6"/>
          </w:tcPr>
          <w:p>
            <w:pPr>
              <w:jc w:val="center"/>
              <w:ind w:right="40"/>
              <w:spacing w:after="0"/>
              <w:rPr>
                <w:sz w:val="20"/>
                <w:szCs w:val="20"/>
                <w:color w:val="auto"/>
              </w:rPr>
            </w:pPr>
            <w:r>
              <w:rPr>
                <w:rFonts w:ascii="Arial" w:cs="Arial" w:eastAsia="Arial" w:hAnsi="Arial"/>
                <w:sz w:val="14"/>
                <w:szCs w:val="14"/>
                <w:b w:val="1"/>
                <w:bCs w:val="1"/>
                <w:color w:val="auto"/>
                <w:w w:val="95"/>
              </w:rPr>
              <w:t>Three Months</w:t>
            </w:r>
          </w:p>
        </w:tc>
        <w:tc>
          <w:tcPr>
            <w:tcW w:w="0" w:type="dxa"/>
            <w:vAlign w:val="bottom"/>
          </w:tcPr>
          <w:p>
            <w:pPr>
              <w:spacing w:after="0"/>
              <w:rPr>
                <w:sz w:val="1"/>
                <w:szCs w:val="1"/>
                <w:color w:val="auto"/>
              </w:rPr>
            </w:pPr>
          </w:p>
        </w:tc>
      </w:tr>
      <w:tr>
        <w:trPr>
          <w:trHeight w:val="148"/>
        </w:trPr>
        <w:tc>
          <w:tcPr>
            <w:tcW w:w="8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2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100" w:type="dxa"/>
            <w:vAlign w:val="bottom"/>
            <w:gridSpan w:val="3"/>
          </w:tcPr>
          <w:p>
            <w:pPr>
              <w:jc w:val="right"/>
              <w:ind w:right="660"/>
              <w:spacing w:after="0" w:line="149" w:lineRule="exact"/>
              <w:rPr>
                <w:sz w:val="20"/>
                <w:szCs w:val="20"/>
                <w:color w:val="auto"/>
              </w:rPr>
            </w:pPr>
            <w:r>
              <w:rPr>
                <w:rFonts w:ascii="Arial" w:cs="Arial" w:eastAsia="Arial" w:hAnsi="Arial"/>
                <w:sz w:val="14"/>
                <w:szCs w:val="14"/>
                <w:b w:val="1"/>
                <w:bCs w:val="1"/>
                <w:color w:val="auto"/>
                <w:w w:val="98"/>
              </w:rPr>
              <w:t>Ended</w:t>
            </w: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gridSpan w:val="5"/>
          </w:tcPr>
          <w:p>
            <w:pPr>
              <w:jc w:val="center"/>
              <w:ind w:right="140"/>
              <w:spacing w:after="0" w:line="149" w:lineRule="exact"/>
              <w:rPr>
                <w:sz w:val="20"/>
                <w:szCs w:val="20"/>
                <w:color w:val="auto"/>
              </w:rPr>
            </w:pPr>
            <w:r>
              <w:rPr>
                <w:rFonts w:ascii="Arial" w:cs="Arial" w:eastAsia="Arial" w:hAnsi="Arial"/>
                <w:sz w:val="14"/>
                <w:szCs w:val="14"/>
                <w:b w:val="1"/>
                <w:bCs w:val="1"/>
                <w:color w:val="auto"/>
                <w:w w:val="93"/>
              </w:rPr>
              <w:t>Ended</w:t>
            </w:r>
          </w:p>
        </w:tc>
        <w:tc>
          <w:tcPr>
            <w:tcW w:w="0" w:type="dxa"/>
            <w:vAlign w:val="bottom"/>
          </w:tcPr>
          <w:p>
            <w:pPr>
              <w:spacing w:after="0"/>
              <w:rPr>
                <w:sz w:val="1"/>
                <w:szCs w:val="1"/>
                <w:color w:val="auto"/>
              </w:rPr>
            </w:pPr>
          </w:p>
        </w:tc>
      </w:tr>
      <w:tr>
        <w:trPr>
          <w:trHeight w:val="171"/>
        </w:trPr>
        <w:tc>
          <w:tcPr>
            <w:tcW w:w="8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200" w:type="dxa"/>
            <w:vAlign w:val="bottom"/>
          </w:tcPr>
          <w:p>
            <w:pPr>
              <w:spacing w:after="0"/>
              <w:rPr>
                <w:sz w:val="14"/>
                <w:szCs w:val="14"/>
                <w:color w:val="auto"/>
              </w:rPr>
            </w:pPr>
          </w:p>
        </w:tc>
        <w:tc>
          <w:tcPr>
            <w:tcW w:w="1340" w:type="dxa"/>
            <w:vAlign w:val="bottom"/>
            <w:gridSpan w:val="4"/>
          </w:tcPr>
          <w:p>
            <w:pPr>
              <w:jc w:val="right"/>
              <w:ind w:right="380"/>
              <w:spacing w:after="0"/>
              <w:rPr>
                <w:sz w:val="20"/>
                <w:szCs w:val="20"/>
                <w:color w:val="auto"/>
              </w:rPr>
            </w:pPr>
            <w:r>
              <w:rPr>
                <w:rFonts w:ascii="Arial" w:cs="Arial" w:eastAsia="Arial" w:hAnsi="Arial"/>
                <w:sz w:val="14"/>
                <w:szCs w:val="14"/>
                <w:b w:val="1"/>
                <w:bCs w:val="1"/>
                <w:color w:val="auto"/>
                <w:w w:val="94"/>
              </w:rPr>
              <w:t>March 31, 2021</w:t>
            </w:r>
          </w:p>
        </w:tc>
        <w:tc>
          <w:tcPr>
            <w:tcW w:w="380" w:type="dxa"/>
            <w:vAlign w:val="bottom"/>
          </w:tcPr>
          <w:p>
            <w:pPr>
              <w:spacing w:after="0"/>
              <w:rPr>
                <w:sz w:val="14"/>
                <w:szCs w:val="14"/>
                <w:color w:val="auto"/>
              </w:rPr>
            </w:pPr>
          </w:p>
        </w:tc>
        <w:tc>
          <w:tcPr>
            <w:tcW w:w="1000" w:type="dxa"/>
            <w:vAlign w:val="bottom"/>
            <w:gridSpan w:val="6"/>
          </w:tcPr>
          <w:p>
            <w:pPr>
              <w:jc w:val="center"/>
              <w:ind w:right="40"/>
              <w:spacing w:after="0"/>
              <w:rPr>
                <w:sz w:val="20"/>
                <w:szCs w:val="20"/>
                <w:color w:val="auto"/>
              </w:rPr>
            </w:pPr>
            <w:r>
              <w:rPr>
                <w:rFonts w:ascii="Arial" w:cs="Arial" w:eastAsia="Arial" w:hAnsi="Arial"/>
                <w:sz w:val="14"/>
                <w:szCs w:val="14"/>
                <w:b w:val="1"/>
                <w:bCs w:val="1"/>
                <w:color w:val="auto"/>
                <w:w w:val="96"/>
              </w:rPr>
              <w:t>March 31, 2020</w:t>
            </w:r>
          </w:p>
        </w:tc>
        <w:tc>
          <w:tcPr>
            <w:tcW w:w="0" w:type="dxa"/>
            <w:vAlign w:val="bottom"/>
          </w:tcPr>
          <w:p>
            <w:pPr>
              <w:spacing w:after="0"/>
              <w:rPr>
                <w:sz w:val="1"/>
                <w:szCs w:val="1"/>
                <w:color w:val="auto"/>
              </w:rPr>
            </w:pPr>
          </w:p>
        </w:tc>
      </w:tr>
      <w:tr>
        <w:trPr>
          <w:trHeight w:val="209"/>
        </w:trPr>
        <w:tc>
          <w:tcPr>
            <w:tcW w:w="880" w:type="dxa"/>
            <w:vAlign w:val="bottom"/>
          </w:tcPr>
          <w:p>
            <w:pPr>
              <w:spacing w:after="0"/>
              <w:rPr>
                <w:sz w:val="18"/>
                <w:szCs w:val="18"/>
                <w:color w:val="auto"/>
              </w:rPr>
            </w:pPr>
          </w:p>
        </w:tc>
        <w:tc>
          <w:tcPr>
            <w:tcW w:w="564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Operating lease cost</w:t>
            </w:r>
          </w:p>
        </w:tc>
        <w:tc>
          <w:tcPr>
            <w:tcW w:w="240" w:type="dxa"/>
            <w:vAlign w:val="bottom"/>
            <w:tcBorders>
              <w:top w:val="single" w:sz="8" w:color="auto"/>
            </w:tcBorders>
            <w:shd w:val="clear" w:color="auto" w:fill="CCEEFF"/>
          </w:tcPr>
          <w:p>
            <w:pPr>
              <w:jc w:val="right"/>
              <w:ind w:right="62"/>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1,473</w:t>
            </w:r>
          </w:p>
        </w:tc>
        <w:tc>
          <w:tcPr>
            <w:tcW w:w="38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CCEEFF"/>
              <w:right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rPr>
              <w:t>2,151</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5640" w:type="dxa"/>
            <w:vAlign w:val="bottom"/>
            <w:gridSpan w:val="2"/>
          </w:tcPr>
          <w:p>
            <w:pPr>
              <w:spacing w:after="0"/>
              <w:rPr>
                <w:sz w:val="20"/>
                <w:szCs w:val="20"/>
                <w:color w:val="auto"/>
              </w:rPr>
            </w:pPr>
            <w:r>
              <w:rPr>
                <w:rFonts w:ascii="Arial" w:cs="Arial" w:eastAsia="Arial" w:hAnsi="Arial"/>
                <w:sz w:val="18"/>
                <w:szCs w:val="18"/>
                <w:color w:val="auto"/>
              </w:rPr>
              <w:t>Cash paid for leases</w:t>
            </w:r>
          </w:p>
        </w:tc>
        <w:tc>
          <w:tcPr>
            <w:tcW w:w="240" w:type="dxa"/>
            <w:vAlign w:val="bottom"/>
          </w:tcPr>
          <w:p>
            <w:pPr>
              <w:spacing w:after="0"/>
              <w:rPr>
                <w:sz w:val="18"/>
                <w:szCs w:val="18"/>
                <w:color w:val="auto"/>
              </w:rPr>
            </w:pPr>
          </w:p>
        </w:tc>
        <w:tc>
          <w:tcPr>
            <w:tcW w:w="1100" w:type="dxa"/>
            <w:vAlign w:val="bottom"/>
            <w:gridSpan w:val="3"/>
          </w:tcPr>
          <w:p>
            <w:pPr>
              <w:jc w:val="right"/>
              <w:ind w:right="380"/>
              <w:spacing w:after="0"/>
              <w:rPr>
                <w:sz w:val="20"/>
                <w:szCs w:val="20"/>
                <w:color w:val="auto"/>
              </w:rPr>
            </w:pPr>
            <w:r>
              <w:rPr>
                <w:rFonts w:ascii="Arial" w:cs="Arial" w:eastAsia="Arial" w:hAnsi="Arial"/>
                <w:sz w:val="18"/>
                <w:szCs w:val="18"/>
                <w:color w:val="auto"/>
              </w:rPr>
              <w:t>1,587</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5"/>
          </w:tcPr>
          <w:p>
            <w:pPr>
              <w:jc w:val="right"/>
              <w:ind w:right="40"/>
              <w:spacing w:after="0"/>
              <w:rPr>
                <w:sz w:val="20"/>
                <w:szCs w:val="20"/>
                <w:color w:val="auto"/>
              </w:rPr>
            </w:pPr>
            <w:r>
              <w:rPr>
                <w:rFonts w:ascii="Arial" w:cs="Arial" w:eastAsia="Arial" w:hAnsi="Arial"/>
                <w:sz w:val="18"/>
                <w:szCs w:val="18"/>
                <w:color w:val="auto"/>
              </w:rPr>
              <w:t>1,485</w:t>
            </w: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5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Right of use assets obtained in exchange for lease obligations</w:t>
            </w:r>
          </w:p>
        </w:tc>
        <w:tc>
          <w:tcPr>
            <w:tcW w:w="24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38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5"/>
            <w:shd w:val="clear" w:color="auto" w:fill="CCEEFF"/>
          </w:tcPr>
          <w:p>
            <w:pPr>
              <w:jc w:val="right"/>
              <w:ind w:right="40"/>
              <w:spacing w:after="0"/>
              <w:rPr>
                <w:sz w:val="20"/>
                <w:szCs w:val="20"/>
                <w:color w:val="auto"/>
              </w:rPr>
            </w:pPr>
            <w:r>
              <w:rPr>
                <w:rFonts w:ascii="Arial" w:cs="Arial" w:eastAsia="Arial" w:hAnsi="Arial"/>
                <w:sz w:val="18"/>
                <w:szCs w:val="18"/>
                <w:color w:val="auto"/>
              </w:rPr>
              <w:t>1,743</w:t>
            </w:r>
          </w:p>
        </w:tc>
        <w:tc>
          <w:tcPr>
            <w:tcW w:w="0" w:type="dxa"/>
            <w:vAlign w:val="bottom"/>
          </w:tcPr>
          <w:p>
            <w:pPr>
              <w:spacing w:after="0"/>
              <w:rPr>
                <w:sz w:val="1"/>
                <w:szCs w:val="1"/>
                <w:color w:val="auto"/>
              </w:rPr>
            </w:pPr>
          </w:p>
        </w:tc>
      </w:tr>
      <w:tr>
        <w:trPr>
          <w:trHeight w:val="432"/>
        </w:trPr>
        <w:tc>
          <w:tcPr>
            <w:tcW w:w="6520" w:type="dxa"/>
            <w:vAlign w:val="bottom"/>
            <w:gridSpan w:val="3"/>
          </w:tcPr>
          <w:p>
            <w:pPr>
              <w:spacing w:after="0"/>
              <w:rPr>
                <w:sz w:val="20"/>
                <w:szCs w:val="20"/>
                <w:color w:val="auto"/>
              </w:rPr>
            </w:pPr>
            <w:r>
              <w:rPr>
                <w:rFonts w:ascii="Arial" w:cs="Arial" w:eastAsia="Arial" w:hAnsi="Arial"/>
                <w:sz w:val="18"/>
                <w:szCs w:val="18"/>
                <w:color w:val="auto"/>
                <w:w w:val="93"/>
              </w:rPr>
              <w:t>Weighted average remaining lease term and weighted average discount are as follows:</w:t>
            </w:r>
          </w:p>
        </w:tc>
        <w:tc>
          <w:tcPr>
            <w:tcW w:w="2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9"/>
        </w:trPr>
        <w:tc>
          <w:tcPr>
            <w:tcW w:w="8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2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00" w:type="dxa"/>
            <w:vAlign w:val="bottom"/>
            <w:gridSpan w:val="3"/>
          </w:tcPr>
          <w:p>
            <w:pPr>
              <w:jc w:val="right"/>
              <w:ind w:right="460"/>
              <w:spacing w:after="0"/>
              <w:rPr>
                <w:sz w:val="20"/>
                <w:szCs w:val="20"/>
                <w:color w:val="auto"/>
              </w:rPr>
            </w:pPr>
            <w:r>
              <w:rPr>
                <w:rFonts w:ascii="Arial" w:cs="Arial" w:eastAsia="Arial" w:hAnsi="Arial"/>
                <w:sz w:val="14"/>
                <w:szCs w:val="14"/>
                <w:b w:val="1"/>
                <w:bCs w:val="1"/>
                <w:color w:val="auto"/>
                <w:w w:val="95"/>
              </w:rPr>
              <w:t>March 31,</w:t>
            </w:r>
          </w:p>
        </w:tc>
        <w:tc>
          <w:tcPr>
            <w:tcW w:w="380" w:type="dxa"/>
            <w:vAlign w:val="bottom"/>
          </w:tcPr>
          <w:p>
            <w:pPr>
              <w:spacing w:after="0"/>
              <w:rPr>
                <w:sz w:val="24"/>
                <w:szCs w:val="24"/>
                <w:color w:val="auto"/>
              </w:rPr>
            </w:pPr>
          </w:p>
        </w:tc>
        <w:tc>
          <w:tcPr>
            <w:tcW w:w="1000" w:type="dxa"/>
            <w:vAlign w:val="bottom"/>
            <w:gridSpan w:val="6"/>
          </w:tcPr>
          <w:p>
            <w:pPr>
              <w:spacing w:after="0"/>
              <w:rPr>
                <w:sz w:val="20"/>
                <w:szCs w:val="20"/>
                <w:color w:val="auto"/>
              </w:rPr>
            </w:pPr>
            <w:r>
              <w:rPr>
                <w:rFonts w:ascii="Arial" w:cs="Arial" w:eastAsia="Arial" w:hAnsi="Arial"/>
                <w:sz w:val="14"/>
                <w:szCs w:val="14"/>
                <w:b w:val="1"/>
                <w:bCs w:val="1"/>
                <w:color w:val="auto"/>
              </w:rPr>
              <w:t>December 31,</w:t>
            </w:r>
          </w:p>
        </w:tc>
        <w:tc>
          <w:tcPr>
            <w:tcW w:w="0" w:type="dxa"/>
            <w:vAlign w:val="bottom"/>
          </w:tcPr>
          <w:p>
            <w:pPr>
              <w:spacing w:after="0"/>
              <w:rPr>
                <w:sz w:val="1"/>
                <w:szCs w:val="1"/>
                <w:color w:val="auto"/>
              </w:rPr>
            </w:pPr>
          </w:p>
        </w:tc>
      </w:tr>
      <w:tr>
        <w:trPr>
          <w:trHeight w:val="171"/>
        </w:trPr>
        <w:tc>
          <w:tcPr>
            <w:tcW w:w="880" w:type="dxa"/>
            <w:vAlign w:val="bottom"/>
          </w:tcPr>
          <w:p>
            <w:pPr>
              <w:spacing w:after="0"/>
              <w:rPr>
                <w:sz w:val="14"/>
                <w:szCs w:val="14"/>
                <w:color w:val="auto"/>
              </w:rPr>
            </w:pPr>
          </w:p>
        </w:tc>
        <w:tc>
          <w:tcPr>
            <w:tcW w:w="440" w:type="dxa"/>
            <w:vAlign w:val="bottom"/>
            <w:tcBorders>
              <w:bottom w:val="single" w:sz="8" w:color="CCEEFF"/>
            </w:tcBorders>
          </w:tcPr>
          <w:p>
            <w:pPr>
              <w:spacing w:after="0"/>
              <w:rPr>
                <w:sz w:val="14"/>
                <w:szCs w:val="14"/>
                <w:color w:val="auto"/>
              </w:rPr>
            </w:pPr>
          </w:p>
        </w:tc>
        <w:tc>
          <w:tcPr>
            <w:tcW w:w="520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640" w:type="dxa"/>
            <w:vAlign w:val="bottom"/>
            <w:tcBorders>
              <w:bottom w:val="single" w:sz="8" w:color="auto"/>
            </w:tcBorders>
          </w:tcPr>
          <w:p>
            <w:pPr>
              <w:jc w:val="right"/>
              <w:ind w:right="97"/>
              <w:spacing w:after="0"/>
              <w:rPr>
                <w:sz w:val="20"/>
                <w:szCs w:val="20"/>
                <w:color w:val="auto"/>
              </w:rPr>
            </w:pPr>
            <w:r>
              <w:rPr>
                <w:rFonts w:ascii="Arial" w:cs="Arial" w:eastAsia="Arial" w:hAnsi="Arial"/>
                <w:sz w:val="14"/>
                <w:szCs w:val="14"/>
                <w:b w:val="1"/>
                <w:bCs w:val="1"/>
                <w:color w:val="auto"/>
              </w:rPr>
              <w:t>2021</w:t>
            </w:r>
          </w:p>
        </w:tc>
        <w:tc>
          <w:tcPr>
            <w:tcW w:w="80" w:type="dxa"/>
            <w:vAlign w:val="bottom"/>
            <w:tcBorders>
              <w:bottom w:val="single" w:sz="8" w:color="CCEEFF"/>
            </w:tcBorders>
          </w:tcPr>
          <w:p>
            <w:pPr>
              <w:spacing w:after="0"/>
              <w:rPr>
                <w:sz w:val="14"/>
                <w:szCs w:val="14"/>
                <w:color w:val="auto"/>
              </w:rPr>
            </w:pPr>
          </w:p>
        </w:tc>
        <w:tc>
          <w:tcPr>
            <w:tcW w:w="380" w:type="dxa"/>
            <w:vAlign w:val="bottom"/>
            <w:tcBorders>
              <w:bottom w:val="single" w:sz="8" w:color="CCEEFF"/>
            </w:tcBorders>
          </w:tcPr>
          <w:p>
            <w:pPr>
              <w:spacing w:after="0"/>
              <w:rPr>
                <w:sz w:val="14"/>
                <w:szCs w:val="14"/>
                <w:color w:val="auto"/>
              </w:rPr>
            </w:pP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4"/>
                <w:szCs w:val="14"/>
                <w:b w:val="1"/>
                <w:bCs w:val="1"/>
                <w:color w:val="auto"/>
              </w:rPr>
              <w:t>2020</w:t>
            </w:r>
          </w:p>
        </w:tc>
        <w:tc>
          <w:tcPr>
            <w:tcW w:w="240" w:type="dxa"/>
            <w:vAlign w:val="bottom"/>
            <w:tcBorders>
              <w:bottom w:val="single" w:sz="8" w:color="auto"/>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880" w:type="dxa"/>
            <w:vAlign w:val="bottom"/>
          </w:tcPr>
          <w:p>
            <w:pPr>
              <w:spacing w:after="0"/>
              <w:rPr>
                <w:sz w:val="18"/>
                <w:szCs w:val="18"/>
                <w:color w:val="auto"/>
              </w:rPr>
            </w:pPr>
          </w:p>
        </w:tc>
        <w:tc>
          <w:tcPr>
            <w:tcW w:w="5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Weighted average remaining lease term (years)</w:t>
            </w:r>
          </w:p>
        </w:tc>
        <w:tc>
          <w:tcPr>
            <w:tcW w:w="2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7.91</w:t>
            </w: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38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8.09</w:t>
            </w: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880" w:type="dxa"/>
            <w:vAlign w:val="bottom"/>
          </w:tcPr>
          <w:p>
            <w:pPr>
              <w:spacing w:after="0"/>
              <w:rPr>
                <w:sz w:val="20"/>
                <w:szCs w:val="20"/>
                <w:color w:val="auto"/>
              </w:rPr>
            </w:pPr>
          </w:p>
        </w:tc>
        <w:tc>
          <w:tcPr>
            <w:tcW w:w="5640" w:type="dxa"/>
            <w:vAlign w:val="bottom"/>
            <w:gridSpan w:val="2"/>
          </w:tcPr>
          <w:p>
            <w:pPr>
              <w:spacing w:after="0"/>
              <w:rPr>
                <w:sz w:val="20"/>
                <w:szCs w:val="20"/>
                <w:color w:val="auto"/>
              </w:rPr>
            </w:pPr>
            <w:r>
              <w:rPr>
                <w:rFonts w:ascii="Arial" w:cs="Arial" w:eastAsia="Arial" w:hAnsi="Arial"/>
                <w:sz w:val="18"/>
                <w:szCs w:val="18"/>
                <w:color w:val="auto"/>
              </w:rPr>
              <w:t>Weighted average discount rate</w:t>
            </w:r>
          </w:p>
        </w:tc>
        <w:tc>
          <w:tcPr>
            <w:tcW w:w="240" w:type="dxa"/>
            <w:vAlign w:val="bottom"/>
          </w:tcPr>
          <w:p>
            <w:pPr>
              <w:spacing w:after="0"/>
              <w:rPr>
                <w:sz w:val="20"/>
                <w:szCs w:val="20"/>
                <w:color w:val="auto"/>
              </w:rPr>
            </w:pPr>
          </w:p>
        </w:tc>
        <w:tc>
          <w:tcPr>
            <w:tcW w:w="1100" w:type="dxa"/>
            <w:vAlign w:val="bottom"/>
            <w:gridSpan w:val="3"/>
          </w:tcPr>
          <w:p>
            <w:pPr>
              <w:jc w:val="right"/>
              <w:ind w:right="320"/>
              <w:spacing w:after="0"/>
              <w:rPr>
                <w:sz w:val="20"/>
                <w:szCs w:val="20"/>
                <w:color w:val="auto"/>
              </w:rPr>
            </w:pPr>
            <w:r>
              <w:rPr>
                <w:rFonts w:ascii="Arial" w:cs="Arial" w:eastAsia="Arial" w:hAnsi="Arial"/>
                <w:sz w:val="18"/>
                <w:szCs w:val="18"/>
                <w:color w:val="auto"/>
              </w:rPr>
              <w:t>3.8%</w:t>
            </w:r>
          </w:p>
        </w:tc>
        <w:tc>
          <w:tcPr>
            <w:tcW w:w="3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gridSpan w:val="5"/>
          </w:tcPr>
          <w:p>
            <w:pPr>
              <w:jc w:val="right"/>
              <w:ind w:right="40"/>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418"/>
        </w:trPr>
        <w:tc>
          <w:tcPr>
            <w:tcW w:w="7860" w:type="dxa"/>
            <w:vAlign w:val="bottom"/>
            <w:gridSpan w:val="7"/>
          </w:tcPr>
          <w:p>
            <w:pPr>
              <w:spacing w:after="0"/>
              <w:rPr>
                <w:sz w:val="20"/>
                <w:szCs w:val="20"/>
                <w:color w:val="auto"/>
              </w:rPr>
            </w:pPr>
            <w:r>
              <w:rPr>
                <w:rFonts w:ascii="Arial" w:cs="Arial" w:eastAsia="Arial" w:hAnsi="Arial"/>
                <w:sz w:val="18"/>
                <w:szCs w:val="18"/>
                <w:color w:val="auto"/>
                <w:w w:val="98"/>
              </w:rPr>
              <w:t>Future minimum lease payments under non-cancellable leases as of March 31, 2021 are as follows:</w:t>
            </w:r>
          </w:p>
        </w:tc>
        <w:tc>
          <w:tcPr>
            <w:tcW w:w="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880" w:type="dxa"/>
            <w:vAlign w:val="bottom"/>
          </w:tcPr>
          <w:p>
            <w:pPr>
              <w:spacing w:after="0"/>
              <w:rPr>
                <w:sz w:val="21"/>
                <w:szCs w:val="21"/>
                <w:color w:val="auto"/>
              </w:rPr>
            </w:pPr>
          </w:p>
        </w:tc>
        <w:tc>
          <w:tcPr>
            <w:tcW w:w="440" w:type="dxa"/>
            <w:vAlign w:val="bottom"/>
            <w:vMerge w:val="restart"/>
          </w:tcPr>
          <w:p>
            <w:pPr>
              <w:spacing w:after="0"/>
              <w:rPr>
                <w:sz w:val="21"/>
                <w:szCs w:val="21"/>
                <w:color w:val="auto"/>
              </w:rPr>
            </w:pPr>
          </w:p>
        </w:tc>
        <w:tc>
          <w:tcPr>
            <w:tcW w:w="52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440" w:type="dxa"/>
            <w:vAlign w:val="bottom"/>
            <w:vMerge w:val="continue"/>
          </w:tcPr>
          <w:p>
            <w:pPr>
              <w:spacing w:after="0"/>
              <w:rPr>
                <w:sz w:val="18"/>
                <w:szCs w:val="18"/>
                <w:color w:val="auto"/>
              </w:rPr>
            </w:pPr>
          </w:p>
        </w:tc>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2021 (remaining)</w:t>
            </w:r>
          </w:p>
        </w:tc>
        <w:tc>
          <w:tcPr>
            <w:tcW w:w="24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48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4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4"/>
              </w:rPr>
              <w:t>5,388</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gridSpan w:val="2"/>
          </w:tcPr>
          <w:p>
            <w:pPr>
              <w:spacing w:after="0"/>
              <w:rPr>
                <w:sz w:val="18"/>
                <w:szCs w:val="18"/>
                <w:color w:val="auto"/>
              </w:rPr>
            </w:pPr>
          </w:p>
        </w:tc>
        <w:tc>
          <w:tcPr>
            <w:tcW w:w="5200" w:type="dxa"/>
            <w:vAlign w:val="bottom"/>
          </w:tcPr>
          <w:p>
            <w:pPr>
              <w:spacing w:after="0"/>
              <w:rPr>
                <w:sz w:val="20"/>
                <w:szCs w:val="20"/>
                <w:color w:val="auto"/>
              </w:rPr>
            </w:pPr>
            <w:r>
              <w:rPr>
                <w:rFonts w:ascii="Arial" w:cs="Arial" w:eastAsia="Arial" w:hAnsi="Arial"/>
                <w:sz w:val="18"/>
                <w:szCs w:val="18"/>
                <w:color w:val="auto"/>
              </w:rPr>
              <w:t>2022</w:t>
            </w:r>
          </w:p>
        </w:tc>
        <w:tc>
          <w:tcPr>
            <w:tcW w:w="2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gridSpan w:val="2"/>
          </w:tcPr>
          <w:p>
            <w:pPr>
              <w:jc w:val="right"/>
              <w:ind w:right="60"/>
              <w:spacing w:after="0"/>
              <w:rPr>
                <w:sz w:val="20"/>
                <w:szCs w:val="20"/>
                <w:color w:val="auto"/>
              </w:rPr>
            </w:pPr>
            <w:r>
              <w:rPr>
                <w:rFonts w:ascii="Arial" w:cs="Arial" w:eastAsia="Arial" w:hAnsi="Arial"/>
                <w:sz w:val="18"/>
                <w:szCs w:val="18"/>
                <w:color w:val="auto"/>
                <w:w w:val="84"/>
              </w:rPr>
              <w:t>7,117</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gridSpan w:val="2"/>
          </w:tcPr>
          <w:p>
            <w:pPr>
              <w:spacing w:after="0"/>
              <w:rPr>
                <w:sz w:val="18"/>
                <w:szCs w:val="18"/>
                <w:color w:val="auto"/>
              </w:rPr>
            </w:pPr>
          </w:p>
        </w:tc>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2023</w:t>
            </w:r>
          </w:p>
        </w:tc>
        <w:tc>
          <w:tcPr>
            <w:tcW w:w="24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38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4"/>
              </w:rPr>
              <w:t>7,076</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gridSpan w:val="2"/>
          </w:tcPr>
          <w:p>
            <w:pPr>
              <w:spacing w:after="0"/>
              <w:rPr>
                <w:sz w:val="18"/>
                <w:szCs w:val="18"/>
                <w:color w:val="auto"/>
              </w:rPr>
            </w:pPr>
          </w:p>
        </w:tc>
        <w:tc>
          <w:tcPr>
            <w:tcW w:w="5200" w:type="dxa"/>
            <w:vAlign w:val="bottom"/>
          </w:tcPr>
          <w:p>
            <w:pPr>
              <w:spacing w:after="0"/>
              <w:rPr>
                <w:sz w:val="20"/>
                <w:szCs w:val="20"/>
                <w:color w:val="auto"/>
              </w:rPr>
            </w:pPr>
            <w:r>
              <w:rPr>
                <w:rFonts w:ascii="Arial" w:cs="Arial" w:eastAsia="Arial" w:hAnsi="Arial"/>
                <w:sz w:val="18"/>
                <w:szCs w:val="18"/>
                <w:color w:val="auto"/>
              </w:rPr>
              <w:t>2024</w:t>
            </w:r>
          </w:p>
        </w:tc>
        <w:tc>
          <w:tcPr>
            <w:tcW w:w="2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gridSpan w:val="2"/>
          </w:tcPr>
          <w:p>
            <w:pPr>
              <w:jc w:val="right"/>
              <w:ind w:right="60"/>
              <w:spacing w:after="0"/>
              <w:rPr>
                <w:sz w:val="20"/>
                <w:szCs w:val="20"/>
                <w:color w:val="auto"/>
              </w:rPr>
            </w:pPr>
            <w:r>
              <w:rPr>
                <w:rFonts w:ascii="Arial" w:cs="Arial" w:eastAsia="Arial" w:hAnsi="Arial"/>
                <w:sz w:val="18"/>
                <w:szCs w:val="18"/>
                <w:color w:val="auto"/>
                <w:w w:val="84"/>
              </w:rPr>
              <w:t>6,751</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gridSpan w:val="2"/>
          </w:tcPr>
          <w:p>
            <w:pPr>
              <w:spacing w:after="0"/>
              <w:rPr>
                <w:sz w:val="18"/>
                <w:szCs w:val="18"/>
                <w:color w:val="auto"/>
              </w:rPr>
            </w:pPr>
          </w:p>
        </w:tc>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2025</w:t>
            </w:r>
          </w:p>
        </w:tc>
        <w:tc>
          <w:tcPr>
            <w:tcW w:w="24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38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4"/>
              </w:rPr>
              <w:t>4,200</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200" w:type="dxa"/>
            <w:vAlign w:val="bottom"/>
          </w:tcPr>
          <w:p>
            <w:pPr>
              <w:spacing w:after="0"/>
              <w:rPr>
                <w:sz w:val="20"/>
                <w:szCs w:val="20"/>
                <w:color w:val="auto"/>
              </w:rPr>
            </w:pPr>
            <w:r>
              <w:rPr>
                <w:rFonts w:ascii="Arial" w:cs="Arial" w:eastAsia="Arial" w:hAnsi="Arial"/>
                <w:sz w:val="18"/>
                <w:szCs w:val="18"/>
                <w:color w:val="auto"/>
              </w:rPr>
              <w:t>Thereafter</w:t>
            </w:r>
          </w:p>
        </w:tc>
        <w:tc>
          <w:tcPr>
            <w:tcW w:w="2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60" w:type="dxa"/>
            <w:vAlign w:val="bottom"/>
            <w:gridSpan w:val="3"/>
          </w:tcPr>
          <w:p>
            <w:pPr>
              <w:jc w:val="right"/>
              <w:ind w:right="60"/>
              <w:spacing w:after="0"/>
              <w:rPr>
                <w:sz w:val="20"/>
                <w:szCs w:val="20"/>
                <w:color w:val="auto"/>
              </w:rPr>
            </w:pPr>
            <w:r>
              <w:rPr>
                <w:rFonts w:ascii="Arial" w:cs="Arial" w:eastAsia="Arial" w:hAnsi="Arial"/>
                <w:sz w:val="18"/>
                <w:szCs w:val="18"/>
                <w:color w:val="auto"/>
                <w:w w:val="87"/>
              </w:rPr>
              <w:t>19,790</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80" w:type="dxa"/>
            <w:vAlign w:val="bottom"/>
          </w:tcPr>
          <w:p>
            <w:pPr>
              <w:spacing w:after="0"/>
              <w:rPr>
                <w:sz w:val="2"/>
                <w:szCs w:val="2"/>
                <w:color w:val="auto"/>
              </w:rPr>
            </w:pPr>
          </w:p>
        </w:tc>
        <w:tc>
          <w:tcPr>
            <w:tcW w:w="440" w:type="dxa"/>
            <w:vAlign w:val="bottom"/>
            <w:vMerge w:val="restart"/>
          </w:tcPr>
          <w:p>
            <w:pPr>
              <w:spacing w:after="0"/>
              <w:rPr>
                <w:sz w:val="2"/>
                <w:szCs w:val="2"/>
                <w:color w:val="auto"/>
              </w:rPr>
            </w:pPr>
          </w:p>
        </w:tc>
        <w:tc>
          <w:tcPr>
            <w:tcW w:w="5200" w:type="dxa"/>
            <w:vAlign w:val="bottom"/>
          </w:tcPr>
          <w:p>
            <w:pPr>
              <w:spacing w:after="0"/>
              <w:rPr>
                <w:sz w:val="2"/>
                <w:szCs w:val="2"/>
                <w:color w:val="auto"/>
              </w:rPr>
            </w:pPr>
          </w:p>
        </w:tc>
        <w:tc>
          <w:tcPr>
            <w:tcW w:w="240" w:type="dxa"/>
            <w:vAlign w:val="bottom"/>
          </w:tcPr>
          <w:p>
            <w:pPr>
              <w:spacing w:after="0"/>
              <w:rPr>
                <w:sz w:val="2"/>
                <w:szCs w:val="2"/>
                <w:color w:val="auto"/>
              </w:rPr>
            </w:pPr>
          </w:p>
        </w:tc>
        <w:tc>
          <w:tcPr>
            <w:tcW w:w="640" w:type="dxa"/>
            <w:vAlign w:val="bottom"/>
          </w:tcPr>
          <w:p>
            <w:pPr>
              <w:spacing w:after="0"/>
              <w:rPr>
                <w:sz w:val="2"/>
                <w:szCs w:val="2"/>
                <w:color w:val="auto"/>
              </w:rPr>
            </w:pPr>
          </w:p>
        </w:tc>
        <w:tc>
          <w:tcPr>
            <w:tcW w:w="80" w:type="dxa"/>
            <w:vAlign w:val="bottom"/>
          </w:tcPr>
          <w:p>
            <w:pPr>
              <w:spacing w:after="0"/>
              <w:rPr>
                <w:sz w:val="2"/>
                <w:szCs w:val="2"/>
                <w:color w:val="auto"/>
              </w:rPr>
            </w:pPr>
          </w:p>
        </w:tc>
        <w:tc>
          <w:tcPr>
            <w:tcW w:w="380" w:type="dxa"/>
            <w:vAlign w:val="bottom"/>
          </w:tcPr>
          <w:p>
            <w:pPr>
              <w:spacing w:after="0"/>
              <w:rPr>
                <w:sz w:val="2"/>
                <w:szCs w:val="2"/>
                <w:color w:val="auto"/>
              </w:rPr>
            </w:pPr>
          </w:p>
        </w:tc>
        <w:tc>
          <w:tcPr>
            <w:tcW w:w="380" w:type="dxa"/>
            <w:vAlign w:val="bottom"/>
            <w:tcBorders>
              <w:right w:val="single" w:sz="8" w:color="auto"/>
            </w:tcBorders>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60" w:type="dxa"/>
            <w:vAlign w:val="bottom"/>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880" w:type="dxa"/>
            <w:vAlign w:val="bottom"/>
          </w:tcPr>
          <w:p>
            <w:pPr>
              <w:spacing w:after="0"/>
              <w:rPr>
                <w:sz w:val="18"/>
                <w:szCs w:val="18"/>
                <w:color w:val="auto"/>
              </w:rPr>
            </w:pPr>
          </w:p>
        </w:tc>
        <w:tc>
          <w:tcPr>
            <w:tcW w:w="440" w:type="dxa"/>
            <w:vAlign w:val="bottom"/>
            <w:vMerge w:val="continue"/>
          </w:tcPr>
          <w:p>
            <w:pPr>
              <w:spacing w:after="0"/>
              <w:rPr>
                <w:sz w:val="18"/>
                <w:szCs w:val="18"/>
                <w:color w:val="auto"/>
              </w:rPr>
            </w:pPr>
          </w:p>
        </w:tc>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Total future minimum lease payments</w:t>
            </w:r>
          </w:p>
        </w:tc>
        <w:tc>
          <w:tcPr>
            <w:tcW w:w="24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380" w:type="dxa"/>
            <w:vAlign w:val="bottom"/>
            <w:tcBorders>
              <w:right w:val="single" w:sz="8" w:color="CCEEFF"/>
            </w:tcBorders>
            <w:shd w:val="clear" w:color="auto" w:fill="CCEEFF"/>
          </w:tcPr>
          <w:p>
            <w:pPr>
              <w:spacing w:after="0"/>
              <w:rPr>
                <w:sz w:val="18"/>
                <w:szCs w:val="18"/>
                <w:color w:val="auto"/>
              </w:rPr>
            </w:pPr>
          </w:p>
        </w:tc>
        <w:tc>
          <w:tcPr>
            <w:tcW w:w="5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w w:val="87"/>
              </w:rPr>
              <w:t>50,322</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200" w:type="dxa"/>
            <w:vAlign w:val="bottom"/>
          </w:tcPr>
          <w:p>
            <w:pPr>
              <w:spacing w:after="0"/>
              <w:rPr>
                <w:sz w:val="20"/>
                <w:szCs w:val="20"/>
                <w:color w:val="auto"/>
              </w:rPr>
            </w:pPr>
            <w:r>
              <w:rPr>
                <w:rFonts w:ascii="Arial" w:cs="Arial" w:eastAsia="Arial" w:hAnsi="Arial"/>
                <w:sz w:val="18"/>
                <w:szCs w:val="18"/>
                <w:color w:val="auto"/>
              </w:rPr>
              <w:t>Less: Imputed interest</w:t>
            </w:r>
          </w:p>
        </w:tc>
        <w:tc>
          <w:tcPr>
            <w:tcW w:w="2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gridSpan w:val="2"/>
          </w:tcPr>
          <w:p>
            <w:pPr>
              <w:jc w:val="right"/>
              <w:ind w:right="60"/>
              <w:spacing w:after="0"/>
              <w:rPr>
                <w:sz w:val="20"/>
                <w:szCs w:val="20"/>
                <w:color w:val="auto"/>
              </w:rPr>
            </w:pPr>
            <w:r>
              <w:rPr>
                <w:rFonts w:ascii="Arial" w:cs="Arial" w:eastAsia="Arial" w:hAnsi="Arial"/>
                <w:sz w:val="18"/>
                <w:szCs w:val="18"/>
                <w:color w:val="auto"/>
                <w:w w:val="84"/>
              </w:rPr>
              <w:t>7,289</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Lease incentive recognized as offset to lease liability</w:t>
            </w:r>
          </w:p>
        </w:tc>
        <w:tc>
          <w:tcPr>
            <w:tcW w:w="24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38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4"/>
              </w:rPr>
              <w:t>1,020</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880" w:type="dxa"/>
            <w:vAlign w:val="bottom"/>
          </w:tcPr>
          <w:p>
            <w:pPr>
              <w:spacing w:after="0"/>
              <w:rPr>
                <w:sz w:val="19"/>
                <w:szCs w:val="19"/>
                <w:color w:val="auto"/>
              </w:rPr>
            </w:pPr>
          </w:p>
        </w:tc>
        <w:tc>
          <w:tcPr>
            <w:tcW w:w="5640" w:type="dxa"/>
            <w:vAlign w:val="bottom"/>
            <w:gridSpan w:val="2"/>
          </w:tcPr>
          <w:p>
            <w:pPr>
              <w:ind w:left="440"/>
              <w:spacing w:after="0"/>
              <w:rPr>
                <w:sz w:val="20"/>
                <w:szCs w:val="20"/>
                <w:color w:val="auto"/>
              </w:rPr>
            </w:pPr>
            <w:r>
              <w:rPr>
                <w:rFonts w:ascii="Arial" w:cs="Arial" w:eastAsia="Arial" w:hAnsi="Arial"/>
                <w:sz w:val="18"/>
                <w:szCs w:val="18"/>
                <w:color w:val="auto"/>
              </w:rPr>
              <w:t>Present value of lease obligations</w:t>
            </w:r>
          </w:p>
        </w:tc>
        <w:tc>
          <w:tcPr>
            <w:tcW w:w="2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500" w:type="dxa"/>
            <w:vAlign w:val="bottom"/>
            <w:tcBorders>
              <w:top w:val="single" w:sz="8" w:color="auto"/>
              <w:bottom w:val="single" w:sz="8" w:color="auto"/>
            </w:tcBorders>
            <w:gridSpan w:val="2"/>
          </w:tcPr>
          <w:p>
            <w:pPr>
              <w:spacing w:after="0"/>
              <w:rPr>
                <w:sz w:val="20"/>
                <w:szCs w:val="20"/>
                <w:color w:val="auto"/>
              </w:rPr>
            </w:pPr>
            <w:r>
              <w:rPr>
                <w:rFonts w:ascii="Arial" w:cs="Arial" w:eastAsia="Arial" w:hAnsi="Arial"/>
                <w:sz w:val="18"/>
                <w:szCs w:val="18"/>
                <w:u w:val="single" w:color="auto"/>
                <w:color w:val="auto"/>
                <w:w w:val="73"/>
              </w:rPr>
              <w:t>$</w:t>
            </w:r>
            <w:r>
              <w:rPr>
                <w:rFonts w:ascii="Arial" w:cs="Arial" w:eastAsia="Arial" w:hAnsi="Arial"/>
                <w:sz w:val="18"/>
                <w:szCs w:val="18"/>
                <w:color w:val="auto"/>
                <w:w w:val="73"/>
              </w:rPr>
              <w:t>42,013</w:t>
            </w:r>
          </w:p>
        </w:tc>
        <w:tc>
          <w:tcPr>
            <w:tcW w:w="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520" w:type="dxa"/>
            <w:vAlign w:val="bottom"/>
            <w:gridSpan w:val="3"/>
            <w:vMerge w:val="restart"/>
          </w:tcPr>
          <w:p>
            <w:pPr>
              <w:jc w:val="right"/>
              <w:ind w:right="1270"/>
              <w:spacing w:after="0"/>
              <w:rPr>
                <w:sz w:val="20"/>
                <w:szCs w:val="20"/>
                <w:color w:val="auto"/>
              </w:rPr>
            </w:pPr>
            <w:r>
              <w:rPr>
                <w:rFonts w:ascii="Arial" w:cs="Arial" w:eastAsia="Arial" w:hAnsi="Arial"/>
                <w:sz w:val="18"/>
                <w:szCs w:val="18"/>
                <w:color w:val="auto"/>
              </w:rPr>
              <w:t>13</w:t>
            </w:r>
          </w:p>
        </w:tc>
        <w:tc>
          <w:tcPr>
            <w:tcW w:w="24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6520" w:type="dxa"/>
            <w:vAlign w:val="bottom"/>
            <w:gridSpan w:val="3"/>
            <w:vMerge w:val="continue"/>
          </w:tcPr>
          <w:p>
            <w:pPr>
              <w:spacing w:after="0"/>
              <w:rPr>
                <w:sz w:val="24"/>
                <w:szCs w:val="24"/>
                <w:color w:val="auto"/>
              </w:rPr>
            </w:pPr>
          </w:p>
        </w:tc>
        <w:tc>
          <w:tcPr>
            <w:tcW w:w="2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780"/>
          </w:cols>
          <w:pgMar w:left="440" w:top="270" w:right="679" w:bottom="1440" w:gutter="0" w:footer="0" w:header="0"/>
        </w:sectPr>
      </w:pPr>
    </w:p>
    <w:bookmarkStart w:id="17" w:name="page18"/>
    <w:bookmarkEnd w:id="17"/>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INPHI CORPORATION</w:t>
      </w:r>
    </w:p>
    <w:p>
      <w:pPr>
        <w:spacing w:after="0" w:line="2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9"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(Dollars in thousands except share and per share amounts)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40005</wp:posOffset>
            </wp:positionV>
            <wp:extent cx="6995160" cy="825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2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9. Product Warranty Obligation</w:t>
      </w:r>
    </w:p>
    <w:p>
      <w:pPr>
        <w:spacing w:after="0" w:line="121" w:lineRule="exact"/>
        <w:rPr>
          <w:sz w:val="20"/>
          <w:szCs w:val="20"/>
          <w:color w:val="auto"/>
        </w:rPr>
      </w:pPr>
    </w:p>
    <w:p>
      <w:pPr>
        <w:ind w:right="20" w:firstLine="440"/>
        <w:spacing w:after="0" w:line="277" w:lineRule="auto"/>
        <w:rPr>
          <w:sz w:val="20"/>
          <w:szCs w:val="20"/>
          <w:color w:val="auto"/>
        </w:rPr>
      </w:pPr>
      <w:r>
        <w:rPr>
          <w:rFonts w:ascii="Arial" w:cs="Arial" w:eastAsia="Arial" w:hAnsi="Arial"/>
          <w:sz w:val="18"/>
          <w:szCs w:val="18"/>
          <w:color w:val="auto"/>
        </w:rPr>
        <w:t>As of March 31, 2021 and December 31, 2020, the product warranty liability was $110. There was no change in product warranty liability during the three months ended March 31, 2021 and 2020.</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10. Convertible Debt</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carrying amount of the Company’s long-term debt consists of the following:</w:t>
      </w:r>
    </w:p>
    <w:p>
      <w:pPr>
        <w:spacing w:after="0" w:line="231" w:lineRule="exact"/>
        <w:rPr>
          <w:sz w:val="20"/>
          <w:szCs w:val="20"/>
          <w:color w:val="auto"/>
        </w:rPr>
      </w:pPr>
    </w:p>
    <w:tbl>
      <w:tblPr>
        <w:tblLayout w:type="fixed"/>
        <w:tblInd w:w="1320" w:type="dxa"/>
        <w:tblCellMar>
          <w:top w:w="0" w:type="dxa"/>
          <w:left w:w="0" w:type="dxa"/>
          <w:bottom w:w="0" w:type="dxa"/>
          <w:right w:w="0" w:type="dxa"/>
        </w:tblCellMar>
      </w:tblPr>
      <w:tr>
        <w:trPr>
          <w:trHeight w:val="161"/>
        </w:trPr>
        <w:tc>
          <w:tcPr>
            <w:tcW w:w="6320" w:type="dxa"/>
            <w:vAlign w:val="bottom"/>
          </w:tcPr>
          <w:p>
            <w:pPr>
              <w:spacing w:after="0"/>
              <w:rPr>
                <w:sz w:val="14"/>
                <w:szCs w:val="14"/>
                <w:color w:val="auto"/>
              </w:rPr>
            </w:pPr>
          </w:p>
        </w:tc>
        <w:tc>
          <w:tcPr>
            <w:tcW w:w="110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w w:val="99"/>
              </w:rPr>
              <w:t>March 31,</w:t>
            </w:r>
          </w:p>
        </w:tc>
        <w:tc>
          <w:tcPr>
            <w:tcW w:w="940" w:type="dxa"/>
            <w:vAlign w:val="bottom"/>
            <w:gridSpan w:val="3"/>
          </w:tcPr>
          <w:p>
            <w:pPr>
              <w:spacing w:after="0"/>
              <w:rPr>
                <w:sz w:val="20"/>
                <w:szCs w:val="20"/>
                <w:color w:val="auto"/>
              </w:rPr>
            </w:pPr>
            <w:r>
              <w:rPr>
                <w:rFonts w:ascii="Arial" w:cs="Arial" w:eastAsia="Arial" w:hAnsi="Arial"/>
                <w:sz w:val="14"/>
                <w:szCs w:val="14"/>
                <w:b w:val="1"/>
                <w:bCs w:val="1"/>
                <w:color w:val="auto"/>
              </w:rPr>
              <w:t>December 31,</w:t>
            </w:r>
          </w:p>
        </w:tc>
      </w:tr>
      <w:tr>
        <w:trPr>
          <w:trHeight w:val="171"/>
        </w:trPr>
        <w:tc>
          <w:tcPr>
            <w:tcW w:w="632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2021</w:t>
            </w:r>
          </w:p>
        </w:tc>
        <w:tc>
          <w:tcPr>
            <w:tcW w:w="42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4"/>
                <w:szCs w:val="14"/>
                <w:color w:val="auto"/>
              </w:rPr>
            </w:pPr>
          </w:p>
        </w:tc>
      </w:tr>
      <w:tr>
        <w:trPr>
          <w:trHeight w:val="209"/>
        </w:trPr>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Principal</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$528,966</w:t>
            </w:r>
          </w:p>
        </w:tc>
        <w:tc>
          <w:tcPr>
            <w:tcW w:w="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566,517</w:t>
            </w:r>
          </w:p>
        </w:tc>
        <w:tc>
          <w:tcPr>
            <w:tcW w:w="100" w:type="dxa"/>
            <w:vAlign w:val="bottom"/>
            <w:shd w:val="clear" w:color="auto" w:fill="CCEEFF"/>
          </w:tcPr>
          <w:p>
            <w:pPr>
              <w:spacing w:after="0"/>
              <w:rPr>
                <w:sz w:val="18"/>
                <w:szCs w:val="18"/>
                <w:color w:val="auto"/>
              </w:rPr>
            </w:pPr>
          </w:p>
        </w:tc>
      </w:tr>
      <w:tr>
        <w:trPr>
          <w:trHeight w:val="216"/>
        </w:trPr>
        <w:tc>
          <w:tcPr>
            <w:tcW w:w="6320" w:type="dxa"/>
            <w:vAlign w:val="bottom"/>
          </w:tcPr>
          <w:p>
            <w:pPr>
              <w:spacing w:after="0"/>
              <w:rPr>
                <w:sz w:val="20"/>
                <w:szCs w:val="20"/>
                <w:color w:val="auto"/>
              </w:rPr>
            </w:pPr>
            <w:r>
              <w:rPr>
                <w:rFonts w:ascii="Arial" w:cs="Arial" w:eastAsia="Arial" w:hAnsi="Arial"/>
                <w:sz w:val="18"/>
                <w:szCs w:val="18"/>
                <w:color w:val="auto"/>
              </w:rPr>
              <w:t>Less:</w:t>
            </w:r>
          </w:p>
        </w:tc>
        <w:tc>
          <w:tcPr>
            <w:tcW w:w="6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63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Unamortized debt discount</w:t>
            </w:r>
          </w:p>
        </w:tc>
        <w:tc>
          <w:tcPr>
            <w:tcW w:w="11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(86,840)</w:t>
            </w:r>
          </w:p>
        </w:tc>
        <w:tc>
          <w:tcPr>
            <w:tcW w:w="18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(93,187)</w:t>
            </w:r>
          </w:p>
        </w:tc>
      </w:tr>
      <w:tr>
        <w:trPr>
          <w:trHeight w:val="216"/>
        </w:trPr>
        <w:tc>
          <w:tcPr>
            <w:tcW w:w="6320" w:type="dxa"/>
            <w:vAlign w:val="bottom"/>
          </w:tcPr>
          <w:p>
            <w:pPr>
              <w:ind w:left="360"/>
              <w:spacing w:after="0"/>
              <w:rPr>
                <w:sz w:val="20"/>
                <w:szCs w:val="20"/>
                <w:color w:val="auto"/>
              </w:rPr>
            </w:pPr>
            <w:r>
              <w:rPr>
                <w:rFonts w:ascii="Arial" w:cs="Arial" w:eastAsia="Arial" w:hAnsi="Arial"/>
                <w:sz w:val="18"/>
                <w:szCs w:val="18"/>
                <w:color w:val="auto"/>
              </w:rPr>
              <w:t>Unamortized debt issuance costs</w:t>
            </w:r>
          </w:p>
        </w:tc>
        <w:tc>
          <w:tcPr>
            <w:tcW w:w="1100" w:type="dxa"/>
            <w:vAlign w:val="bottom"/>
            <w:gridSpan w:val="2"/>
          </w:tcPr>
          <w:p>
            <w:pPr>
              <w:jc w:val="right"/>
              <w:ind w:right="360"/>
              <w:spacing w:after="0"/>
              <w:rPr>
                <w:sz w:val="20"/>
                <w:szCs w:val="20"/>
                <w:color w:val="auto"/>
              </w:rPr>
            </w:pPr>
            <w:r>
              <w:rPr>
                <w:rFonts w:ascii="Arial" w:cs="Arial" w:eastAsia="Arial" w:hAnsi="Arial"/>
                <w:sz w:val="18"/>
                <w:szCs w:val="18"/>
                <w:color w:val="auto"/>
              </w:rPr>
              <w:t>(9,016)</w:t>
            </w:r>
          </w:p>
        </w:tc>
        <w:tc>
          <w:tcPr>
            <w:tcW w:w="180" w:type="dxa"/>
            <w:vAlign w:val="bottom"/>
          </w:tcPr>
          <w:p>
            <w:pPr>
              <w:spacing w:after="0"/>
              <w:rPr>
                <w:sz w:val="18"/>
                <w:szCs w:val="18"/>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(9,637)</w:t>
            </w:r>
          </w:p>
        </w:tc>
      </w:tr>
      <w:tr>
        <w:trPr>
          <w:trHeight w:val="27"/>
        </w:trPr>
        <w:tc>
          <w:tcPr>
            <w:tcW w:w="63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Net carrying amount of convertible debt</w:t>
            </w:r>
          </w:p>
        </w:tc>
        <w:tc>
          <w:tcPr>
            <w:tcW w:w="11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433,110</w:t>
            </w:r>
          </w:p>
        </w:tc>
        <w:tc>
          <w:tcPr>
            <w:tcW w:w="18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8"/>
              </w:rPr>
              <w:t>463,693</w:t>
            </w:r>
          </w:p>
        </w:tc>
      </w:tr>
      <w:tr>
        <w:trPr>
          <w:trHeight w:val="216"/>
        </w:trPr>
        <w:tc>
          <w:tcPr>
            <w:tcW w:w="6320" w:type="dxa"/>
            <w:vAlign w:val="bottom"/>
          </w:tcPr>
          <w:p>
            <w:pPr>
              <w:spacing w:after="0"/>
              <w:rPr>
                <w:sz w:val="20"/>
                <w:szCs w:val="20"/>
                <w:color w:val="auto"/>
              </w:rPr>
            </w:pPr>
            <w:r>
              <w:rPr>
                <w:rFonts w:ascii="Arial" w:cs="Arial" w:eastAsia="Arial" w:hAnsi="Arial"/>
                <w:sz w:val="18"/>
                <w:szCs w:val="18"/>
                <w:color w:val="auto"/>
              </w:rPr>
              <w:t>Less current portion of convertible debt</w:t>
            </w:r>
          </w:p>
        </w:tc>
        <w:tc>
          <w:tcPr>
            <w:tcW w:w="1100" w:type="dxa"/>
            <w:vAlign w:val="bottom"/>
            <w:gridSpan w:val="2"/>
          </w:tcPr>
          <w:p>
            <w:pPr>
              <w:jc w:val="right"/>
              <w:ind w:right="420"/>
              <w:spacing w:after="0"/>
              <w:rPr>
                <w:sz w:val="20"/>
                <w:szCs w:val="20"/>
                <w:color w:val="auto"/>
              </w:rPr>
            </w:pPr>
            <w:r>
              <w:rPr>
                <w:rFonts w:ascii="Arial" w:cs="Arial" w:eastAsia="Arial" w:hAnsi="Arial"/>
                <w:sz w:val="18"/>
                <w:szCs w:val="18"/>
                <w:color w:val="auto"/>
              </w:rPr>
              <w:t>22,325</w:t>
            </w:r>
          </w:p>
        </w:tc>
        <w:tc>
          <w:tcPr>
            <w:tcW w:w="180" w:type="dxa"/>
            <w:vAlign w:val="bottom"/>
          </w:tcPr>
          <w:p>
            <w:pPr>
              <w:spacing w:after="0"/>
              <w:rPr>
                <w:sz w:val="18"/>
                <w:szCs w:val="18"/>
                <w:color w:val="auto"/>
              </w:rPr>
            </w:pPr>
          </w:p>
        </w:tc>
        <w:tc>
          <w:tcPr>
            <w:tcW w:w="760" w:type="dxa"/>
            <w:vAlign w:val="bottom"/>
            <w:gridSpan w:val="2"/>
          </w:tcPr>
          <w:p>
            <w:pPr>
              <w:jc w:val="right"/>
              <w:ind w:right="100"/>
              <w:spacing w:after="0"/>
              <w:rPr>
                <w:sz w:val="20"/>
                <w:szCs w:val="20"/>
                <w:color w:val="auto"/>
              </w:rPr>
            </w:pPr>
            <w:r>
              <w:rPr>
                <w:rFonts w:ascii="Arial" w:cs="Arial" w:eastAsia="Arial" w:hAnsi="Arial"/>
                <w:sz w:val="18"/>
                <w:szCs w:val="18"/>
                <w:color w:val="auto"/>
              </w:rPr>
              <w:t>58,004</w:t>
            </w:r>
          </w:p>
        </w:tc>
      </w:tr>
      <w:tr>
        <w:trPr>
          <w:trHeight w:val="27"/>
        </w:trPr>
        <w:tc>
          <w:tcPr>
            <w:tcW w:w="63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Convertible debt, non-current portion</w:t>
            </w:r>
          </w:p>
        </w:tc>
        <w:tc>
          <w:tcPr>
            <w:tcW w:w="11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410,785</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8"/>
              </w:rPr>
              <w:t>405,689</w:t>
            </w:r>
          </w:p>
        </w:tc>
      </w:tr>
      <w:tr>
        <w:trPr>
          <w:trHeight w:val="20"/>
        </w:trPr>
        <w:tc>
          <w:tcPr>
            <w:tcW w:w="63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323"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Convertible Notes 2015</w:t>
      </w:r>
    </w:p>
    <w:p>
      <w:pPr>
        <w:spacing w:after="0" w:line="117" w:lineRule="exact"/>
        <w:rPr>
          <w:sz w:val="20"/>
          <w:szCs w:val="20"/>
          <w:color w:val="auto"/>
        </w:rPr>
      </w:pPr>
    </w:p>
    <w:p>
      <w:pPr>
        <w:ind w:right="40" w:firstLine="440"/>
        <w:spacing w:after="0" w:line="279" w:lineRule="auto"/>
        <w:rPr>
          <w:sz w:val="20"/>
          <w:szCs w:val="20"/>
          <w:color w:val="auto"/>
        </w:rPr>
      </w:pPr>
      <w:r>
        <w:rPr>
          <w:rFonts w:ascii="Arial" w:cs="Arial" w:eastAsia="Arial" w:hAnsi="Arial"/>
          <w:sz w:val="17"/>
          <w:szCs w:val="17"/>
          <w:color w:val="auto"/>
        </w:rPr>
        <w:t>In December 2015, the Company issued $230,000 of 1.125% convertible senior notes due 2020 (the “Convertible Notes 2015”). The Convertible Notes 2015 matured on December 1, 2020, unless earlier converted or repurchased. Interest on the Convertible Notes 2015 was payable on June 1 and December 1 of each year, beginning on June 1, 2016. The initial conversion rate was 24.8988 shares of common stock per $1 principal amount of Convertible Notes 2015, which represented an initial conversion price of approximately $40.16 per share.</w:t>
      </w:r>
    </w:p>
    <w:p>
      <w:pPr>
        <w:spacing w:after="0" w:line="171" w:lineRule="exact"/>
        <w:rPr>
          <w:sz w:val="20"/>
          <w:szCs w:val="20"/>
          <w:color w:val="auto"/>
        </w:rPr>
      </w:pPr>
    </w:p>
    <w:tbl>
      <w:tblPr>
        <w:tblLayout w:type="fixed"/>
        <w:tblInd w:w="440" w:type="dxa"/>
        <w:tblCellMar>
          <w:top w:w="0" w:type="dxa"/>
          <w:left w:w="0" w:type="dxa"/>
          <w:bottom w:w="0" w:type="dxa"/>
          <w:right w:w="0" w:type="dxa"/>
        </w:tblCellMar>
      </w:tblPr>
      <w:tr>
        <w:trPr>
          <w:trHeight w:val="230"/>
        </w:trPr>
        <w:tc>
          <w:tcPr>
            <w:tcW w:w="8240" w:type="dxa"/>
            <w:vAlign w:val="bottom"/>
            <w:gridSpan w:val="2"/>
          </w:tcPr>
          <w:p>
            <w:pPr>
              <w:spacing w:after="0"/>
              <w:rPr>
                <w:sz w:val="20"/>
                <w:szCs w:val="20"/>
                <w:color w:val="auto"/>
              </w:rPr>
            </w:pPr>
            <w:r>
              <w:rPr>
                <w:rFonts w:ascii="Arial" w:cs="Arial" w:eastAsia="Arial" w:hAnsi="Arial"/>
                <w:sz w:val="18"/>
                <w:szCs w:val="18"/>
                <w:color w:val="auto"/>
                <w:w w:val="96"/>
              </w:rPr>
              <w:t>Interest expense for the Convertible Notes 2015 for the three months ended March 31, 2020 was as follow:</w:t>
            </w:r>
          </w:p>
        </w:tc>
        <w:tc>
          <w:tcPr>
            <w:tcW w:w="10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1320" w:type="dxa"/>
            <w:vAlign w:val="bottom"/>
            <w:vMerge w:val="restart"/>
          </w:tcPr>
          <w:p>
            <w:pPr>
              <w:spacing w:after="0"/>
              <w:rPr>
                <w:sz w:val="21"/>
                <w:szCs w:val="21"/>
                <w:color w:val="auto"/>
              </w:rPr>
            </w:pPr>
          </w:p>
        </w:tc>
        <w:tc>
          <w:tcPr>
            <w:tcW w:w="69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1320" w:type="dxa"/>
            <w:vAlign w:val="bottom"/>
            <w:vMerge w:val="continue"/>
          </w:tcPr>
          <w:p>
            <w:pPr>
              <w:spacing w:after="0"/>
              <w:rPr>
                <w:sz w:val="18"/>
                <w:szCs w:val="18"/>
                <w:color w:val="auto"/>
              </w:rPr>
            </w:pPr>
          </w:p>
        </w:tc>
        <w:tc>
          <w:tcPr>
            <w:tcW w:w="6920" w:type="dxa"/>
            <w:vAlign w:val="bottom"/>
            <w:shd w:val="clear" w:color="auto" w:fill="CCEEFF"/>
          </w:tcPr>
          <w:p>
            <w:pPr>
              <w:spacing w:after="0"/>
              <w:rPr>
                <w:sz w:val="20"/>
                <w:szCs w:val="20"/>
                <w:color w:val="auto"/>
              </w:rPr>
            </w:pPr>
            <w:r>
              <w:rPr>
                <w:rFonts w:ascii="Arial" w:cs="Arial" w:eastAsia="Arial" w:hAnsi="Arial"/>
                <w:sz w:val="18"/>
                <w:szCs w:val="18"/>
                <w:color w:val="auto"/>
              </w:rPr>
              <w:t>Contractual interest expense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643</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6920" w:type="dxa"/>
            <w:vAlign w:val="bottom"/>
          </w:tcPr>
          <w:p>
            <w:pPr>
              <w:spacing w:after="0"/>
              <w:rPr>
                <w:sz w:val="20"/>
                <w:szCs w:val="20"/>
                <w:color w:val="auto"/>
              </w:rPr>
            </w:pPr>
            <w:r>
              <w:rPr>
                <w:rFonts w:ascii="Arial" w:cs="Arial" w:eastAsia="Arial" w:hAnsi="Arial"/>
                <w:sz w:val="18"/>
                <w:szCs w:val="18"/>
                <w:color w:val="auto"/>
              </w:rPr>
              <w:t>Amortization of debt discount</w:t>
            </w:r>
          </w:p>
        </w:tc>
        <w:tc>
          <w:tcPr>
            <w:tcW w:w="100" w:type="dxa"/>
            <w:vAlign w:val="bottom"/>
          </w:tcPr>
          <w:p>
            <w:pPr>
              <w:spacing w:after="0"/>
              <w:rPr>
                <w:sz w:val="18"/>
                <w:szCs w:val="18"/>
                <w:color w:val="auto"/>
              </w:rPr>
            </w:pPr>
          </w:p>
        </w:tc>
        <w:tc>
          <w:tcPr>
            <w:tcW w:w="420" w:type="dxa"/>
            <w:vAlign w:val="bottom"/>
            <w:gridSpan w:val="2"/>
          </w:tcPr>
          <w:p>
            <w:pPr>
              <w:jc w:val="right"/>
              <w:ind w:right="20"/>
              <w:spacing w:after="0"/>
              <w:rPr>
                <w:sz w:val="20"/>
                <w:szCs w:val="20"/>
                <w:color w:val="auto"/>
              </w:rPr>
            </w:pPr>
            <w:r>
              <w:rPr>
                <w:rFonts w:ascii="Arial" w:cs="Arial" w:eastAsia="Arial" w:hAnsi="Arial"/>
                <w:sz w:val="18"/>
                <w:szCs w:val="18"/>
                <w:color w:val="auto"/>
                <w:w w:val="84"/>
              </w:rPr>
              <w:t>3,036</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692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debt issuance costs</w:t>
            </w:r>
          </w:p>
        </w:tc>
        <w:tc>
          <w:tcPr>
            <w:tcW w:w="10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274</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8240" w:type="dxa"/>
            <w:vAlign w:val="bottom"/>
            <w:gridSpan w:val="2"/>
          </w:tcPr>
          <w:p>
            <w:pPr>
              <w:ind w:left="1320"/>
              <w:spacing w:after="0"/>
              <w:rPr>
                <w:sz w:val="20"/>
                <w:szCs w:val="20"/>
                <w:color w:val="auto"/>
              </w:rPr>
            </w:pPr>
            <w:r>
              <w:rPr>
                <w:rFonts w:ascii="Arial" w:cs="Arial" w:eastAsia="Arial" w:hAnsi="Arial"/>
                <w:sz w:val="18"/>
                <w:szCs w:val="18"/>
                <w:color w:val="auto"/>
              </w:rPr>
              <w:t>Total interest expense</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4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4"/>
              </w:rPr>
              <w:t>3,953</w:t>
            </w:r>
          </w:p>
        </w:tc>
        <w:tc>
          <w:tcPr>
            <w:tcW w:w="20" w:type="dxa"/>
            <w:vAlign w:val="bottom"/>
            <w:tcBorders>
              <w:bottom w:val="single" w:sz="8" w:color="auto"/>
            </w:tcBorders>
          </w:tcPr>
          <w:p>
            <w:pPr>
              <w:spacing w:after="0"/>
              <w:rPr>
                <w:sz w:val="19"/>
                <w:szCs w:val="19"/>
                <w:color w:val="auto"/>
              </w:rPr>
            </w:pP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320" w:type="dxa"/>
            <w:vAlign w:val="bottom"/>
          </w:tcPr>
          <w:p>
            <w:pPr>
              <w:spacing w:after="0" w:line="20" w:lineRule="exact"/>
              <w:rPr>
                <w:sz w:val="1"/>
                <w:szCs w:val="1"/>
                <w:color w:val="auto"/>
              </w:rPr>
            </w:pPr>
          </w:p>
        </w:tc>
        <w:tc>
          <w:tcPr>
            <w:tcW w:w="69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jc w:val="both"/>
        <w:ind w:right="140" w:firstLine="440"/>
        <w:spacing w:after="0" w:line="259" w:lineRule="auto"/>
        <w:rPr>
          <w:sz w:val="20"/>
          <w:szCs w:val="20"/>
          <w:color w:val="auto"/>
        </w:rPr>
      </w:pPr>
      <w:r>
        <w:rPr>
          <w:rFonts w:ascii="Arial" w:cs="Arial" w:eastAsia="Arial" w:hAnsi="Arial"/>
          <w:sz w:val="18"/>
          <w:szCs w:val="18"/>
          <w:color w:val="auto"/>
        </w:rPr>
        <w:t>In connection with the issuance of the Convertible Notes 2015, the Company entered into capped call transactions (the “Capped Call 2015”) in private transactions. Under the Capped Call 2015, the Company purchased capped call options that in aggregate relate to 100% of the total number of shares of the Company’s common stock underlying the Convertible Notes 2015, with a strike price approximately equal to the conversion price of the Convertible Notes 2015 and with a cap price equal to $52.06 per share.</w:t>
      </w:r>
    </w:p>
    <w:p>
      <w:pPr>
        <w:spacing w:after="0" w:line="187"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On December 1, 2020, the Convertible Notes 2015 matured and the Company settled the remaining balance after repurchases and conversions. In addition, the Capped Call 2015 matured on December 31, 2020.</w:t>
      </w:r>
    </w:p>
    <w:p>
      <w:pPr>
        <w:spacing w:after="0" w:line="278"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Convertible Notes 2016</w:t>
      </w:r>
    </w:p>
    <w:p>
      <w:pPr>
        <w:spacing w:after="0" w:line="117" w:lineRule="exact"/>
        <w:rPr>
          <w:sz w:val="20"/>
          <w:szCs w:val="20"/>
          <w:color w:val="auto"/>
        </w:rPr>
      </w:pPr>
    </w:p>
    <w:p>
      <w:pPr>
        <w:jc w:val="both"/>
        <w:ind w:right="100" w:firstLine="440"/>
        <w:spacing w:after="0" w:line="279" w:lineRule="auto"/>
        <w:rPr>
          <w:sz w:val="20"/>
          <w:szCs w:val="20"/>
          <w:color w:val="auto"/>
        </w:rPr>
      </w:pPr>
      <w:r>
        <w:rPr>
          <w:rFonts w:ascii="Arial" w:cs="Arial" w:eastAsia="Arial" w:hAnsi="Arial"/>
          <w:sz w:val="17"/>
          <w:szCs w:val="17"/>
          <w:color w:val="auto"/>
        </w:rPr>
        <w:t>In September 2016, the Company issued $287,500 of 0.75% convertible senior notes due 2021 (the “Convertible Notes 2016”). The Convertible Notes 2016 will mature on September 1, 2021, unless earlier converted or repurchased. Interest on the Convertible Notes 2016 is payable on March 1 and September 1 of each year, beginning on March 1, 2017. The initial conversion rate is 17.7508 shares of common stock per $1 principal amount of the Convertible Notes 2016, which represents an initial conversion price of approximately $56.34 per share.</w:t>
      </w:r>
    </w:p>
    <w:p>
      <w:pPr>
        <w:spacing w:after="0" w:line="10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0920"/>
          </w:cols>
          <w:pgMar w:left="440" w:top="270" w:right="539" w:bottom="1440" w:gutter="0" w:footer="0" w:header="0"/>
        </w:sectPr>
      </w:pPr>
    </w:p>
    <w:bookmarkStart w:id="18" w:name="page19"/>
    <w:bookmarkEnd w:id="18"/>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INPHI CORPORATION</w:t>
      </w:r>
    </w:p>
    <w:p>
      <w:pPr>
        <w:spacing w:after="0" w:line="2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(Dollars in thousands except share and per share amounts)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40005</wp:posOffset>
            </wp:positionV>
            <wp:extent cx="6995160" cy="825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3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Interest expense for the Convertible Notes 2016 are as follows:</w:t>
      </w:r>
    </w:p>
    <w:p>
      <w:pPr>
        <w:spacing w:after="0" w:line="244" w:lineRule="exact"/>
        <w:rPr>
          <w:sz w:val="20"/>
          <w:szCs w:val="20"/>
          <w:color w:val="auto"/>
        </w:rPr>
      </w:pPr>
    </w:p>
    <w:tbl>
      <w:tblPr>
        <w:tblLayout w:type="fixed"/>
        <w:tblInd w:w="1320" w:type="dxa"/>
        <w:tblCellMar>
          <w:top w:w="0" w:type="dxa"/>
          <w:left w:w="0" w:type="dxa"/>
          <w:bottom w:w="0" w:type="dxa"/>
          <w:right w:w="0" w:type="dxa"/>
        </w:tblCellMar>
      </w:tblPr>
      <w:tr>
        <w:trPr>
          <w:trHeight w:val="171"/>
        </w:trPr>
        <w:tc>
          <w:tcPr>
            <w:tcW w:w="59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280" w:type="dxa"/>
            <w:vAlign w:val="bottom"/>
            <w:gridSpan w:val="6"/>
          </w:tcPr>
          <w:p>
            <w:pPr>
              <w:ind w:left="60"/>
              <w:spacing w:after="0"/>
              <w:rPr>
                <w:sz w:val="20"/>
                <w:szCs w:val="20"/>
                <w:color w:val="auto"/>
              </w:rPr>
            </w:pPr>
            <w:r>
              <w:rPr>
                <w:rFonts w:ascii="Arial" w:cs="Arial" w:eastAsia="Arial" w:hAnsi="Arial"/>
                <w:sz w:val="14"/>
                <w:szCs w:val="14"/>
                <w:b w:val="1"/>
                <w:bCs w:val="1"/>
                <w:color w:val="auto"/>
              </w:rPr>
              <w:t>Three Months Ended March 31,</w:t>
            </w:r>
          </w:p>
        </w:tc>
      </w:tr>
      <w:tr>
        <w:trPr>
          <w:trHeight w:val="142"/>
        </w:trPr>
        <w:tc>
          <w:tcPr>
            <w:tcW w:w="5940" w:type="dxa"/>
            <w:vAlign w:val="bottom"/>
            <w:tcBorders>
              <w:bottom w:val="single" w:sz="8" w:color="CCEEFF"/>
            </w:tcBorders>
          </w:tcPr>
          <w:p>
            <w:pPr>
              <w:spacing w:after="0"/>
              <w:rPr>
                <w:sz w:val="12"/>
                <w:szCs w:val="12"/>
                <w:color w:val="auto"/>
              </w:rPr>
            </w:pPr>
          </w:p>
        </w:tc>
        <w:tc>
          <w:tcPr>
            <w:tcW w:w="140" w:type="dxa"/>
            <w:vAlign w:val="bottom"/>
            <w:tcBorders>
              <w:top w:val="single" w:sz="8" w:color="auto"/>
              <w:bottom w:val="single" w:sz="8" w:color="auto"/>
            </w:tcBorders>
          </w:tcPr>
          <w:p>
            <w:pPr>
              <w:spacing w:after="0"/>
              <w:rPr>
                <w:sz w:val="12"/>
                <w:szCs w:val="12"/>
                <w:color w:val="auto"/>
              </w:rPr>
            </w:pPr>
          </w:p>
        </w:tc>
        <w:tc>
          <w:tcPr>
            <w:tcW w:w="560" w:type="dxa"/>
            <w:vAlign w:val="bottom"/>
            <w:tcBorders>
              <w:top w:val="single" w:sz="8" w:color="auto"/>
              <w:bottom w:val="single" w:sz="8" w:color="auto"/>
            </w:tcBorders>
          </w:tcPr>
          <w:p>
            <w:pPr>
              <w:ind w:left="60"/>
              <w:spacing w:after="0" w:line="142" w:lineRule="exact"/>
              <w:rPr>
                <w:sz w:val="20"/>
                <w:szCs w:val="20"/>
                <w:color w:val="auto"/>
              </w:rPr>
            </w:pPr>
            <w:r>
              <w:rPr>
                <w:rFonts w:ascii="Arial" w:cs="Arial" w:eastAsia="Arial" w:hAnsi="Arial"/>
                <w:sz w:val="14"/>
                <w:szCs w:val="14"/>
                <w:b w:val="1"/>
                <w:bCs w:val="1"/>
                <w:color w:val="auto"/>
              </w:rPr>
              <w:t>2021</w:t>
            </w:r>
          </w:p>
        </w:tc>
        <w:tc>
          <w:tcPr>
            <w:tcW w:w="20" w:type="dxa"/>
            <w:vAlign w:val="bottom"/>
            <w:tcBorders>
              <w:top w:val="single" w:sz="8" w:color="auto"/>
              <w:bottom w:val="single" w:sz="8" w:color="CCEEFF"/>
            </w:tcBorders>
          </w:tcPr>
          <w:p>
            <w:pPr>
              <w:spacing w:after="0"/>
              <w:rPr>
                <w:sz w:val="12"/>
                <w:szCs w:val="12"/>
                <w:color w:val="auto"/>
              </w:rPr>
            </w:pPr>
          </w:p>
        </w:tc>
        <w:tc>
          <w:tcPr>
            <w:tcW w:w="660" w:type="dxa"/>
            <w:vAlign w:val="bottom"/>
            <w:tcBorders>
              <w:top w:val="single" w:sz="8" w:color="auto"/>
              <w:bottom w:val="single" w:sz="8" w:color="CCEEFF"/>
            </w:tcBorders>
          </w:tcPr>
          <w:p>
            <w:pPr>
              <w:spacing w:after="0"/>
              <w:rPr>
                <w:sz w:val="12"/>
                <w:szCs w:val="12"/>
                <w:color w:val="auto"/>
              </w:rPr>
            </w:pPr>
          </w:p>
        </w:tc>
        <w:tc>
          <w:tcPr>
            <w:tcW w:w="220" w:type="dxa"/>
            <w:vAlign w:val="bottom"/>
            <w:tcBorders>
              <w:top w:val="single" w:sz="8" w:color="auto"/>
              <w:bottom w:val="single" w:sz="8" w:color="auto"/>
            </w:tcBorders>
          </w:tcPr>
          <w:p>
            <w:pPr>
              <w:spacing w:after="0"/>
              <w:rPr>
                <w:sz w:val="12"/>
                <w:szCs w:val="12"/>
                <w:color w:val="auto"/>
              </w:rPr>
            </w:pPr>
          </w:p>
        </w:tc>
        <w:tc>
          <w:tcPr>
            <w:tcW w:w="780" w:type="dxa"/>
            <w:vAlign w:val="bottom"/>
            <w:tcBorders>
              <w:top w:val="single" w:sz="8" w:color="auto"/>
              <w:bottom w:val="single" w:sz="8" w:color="auto"/>
            </w:tcBorders>
          </w:tcPr>
          <w:p>
            <w:pPr>
              <w:jc w:val="right"/>
              <w:ind w:right="274"/>
              <w:spacing w:after="0" w:line="142" w:lineRule="exact"/>
              <w:rPr>
                <w:sz w:val="20"/>
                <w:szCs w:val="20"/>
                <w:color w:val="auto"/>
              </w:rPr>
            </w:pPr>
            <w:r>
              <w:rPr>
                <w:rFonts w:ascii="Arial" w:cs="Arial" w:eastAsia="Arial" w:hAnsi="Arial"/>
                <w:sz w:val="14"/>
                <w:szCs w:val="14"/>
                <w:b w:val="1"/>
                <w:bCs w:val="1"/>
                <w:color w:val="auto"/>
              </w:rPr>
              <w:t>2020</w:t>
            </w:r>
          </w:p>
        </w:tc>
        <w:tc>
          <w:tcPr>
            <w:tcW w:w="40" w:type="dxa"/>
            <w:vAlign w:val="bottom"/>
            <w:tcBorders>
              <w:bottom w:val="single" w:sz="8" w:color="CCEEFF"/>
            </w:tcBorders>
          </w:tcPr>
          <w:p>
            <w:pPr>
              <w:spacing w:after="0"/>
              <w:rPr>
                <w:sz w:val="12"/>
                <w:szCs w:val="12"/>
                <w:color w:val="auto"/>
              </w:rPr>
            </w:pPr>
          </w:p>
        </w:tc>
      </w:tr>
      <w:tr>
        <w:trPr>
          <w:trHeight w:val="210"/>
        </w:trPr>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Contractual interest expense</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174</w:t>
            </w:r>
          </w:p>
        </w:tc>
        <w:tc>
          <w:tcPr>
            <w:tcW w:w="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67"/>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537</w:t>
            </w:r>
          </w:p>
        </w:tc>
        <w:tc>
          <w:tcPr>
            <w:tcW w:w="40" w:type="dxa"/>
            <w:vAlign w:val="bottom"/>
            <w:shd w:val="clear" w:color="auto" w:fill="CCEEFF"/>
          </w:tcPr>
          <w:p>
            <w:pPr>
              <w:spacing w:after="0"/>
              <w:rPr>
                <w:sz w:val="18"/>
                <w:szCs w:val="18"/>
                <w:color w:val="auto"/>
              </w:rPr>
            </w:pPr>
          </w:p>
        </w:tc>
      </w:tr>
      <w:tr>
        <w:trPr>
          <w:trHeight w:val="216"/>
        </w:trPr>
        <w:tc>
          <w:tcPr>
            <w:tcW w:w="5940" w:type="dxa"/>
            <w:vAlign w:val="bottom"/>
          </w:tcPr>
          <w:p>
            <w:pPr>
              <w:spacing w:after="0"/>
              <w:rPr>
                <w:sz w:val="20"/>
                <w:szCs w:val="20"/>
                <w:color w:val="auto"/>
              </w:rPr>
            </w:pPr>
            <w:r>
              <w:rPr>
                <w:rFonts w:ascii="Arial" w:cs="Arial" w:eastAsia="Arial" w:hAnsi="Arial"/>
                <w:sz w:val="18"/>
                <w:szCs w:val="18"/>
                <w:color w:val="auto"/>
              </w:rPr>
              <w:t>Amortization of debt discount</w:t>
            </w:r>
          </w:p>
        </w:tc>
        <w:tc>
          <w:tcPr>
            <w:tcW w:w="14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637</w:t>
            </w: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3,775</w:t>
            </w:r>
          </w:p>
        </w:tc>
      </w:tr>
      <w:tr>
        <w:trPr>
          <w:trHeight w:val="216"/>
        </w:trPr>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debt issuance costs</w:t>
            </w:r>
          </w:p>
        </w:tc>
        <w:tc>
          <w:tcPr>
            <w:tcW w:w="14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52</w:t>
            </w:r>
          </w:p>
        </w:tc>
        <w:tc>
          <w:tcPr>
            <w:tcW w:w="6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306</w:t>
            </w:r>
          </w:p>
        </w:tc>
      </w:tr>
      <w:tr>
        <w:trPr>
          <w:trHeight w:val="223"/>
        </w:trPr>
        <w:tc>
          <w:tcPr>
            <w:tcW w:w="5940" w:type="dxa"/>
            <w:vAlign w:val="bottom"/>
          </w:tcPr>
          <w:p>
            <w:pPr>
              <w:spacing w:after="0"/>
              <w:rPr>
                <w:sz w:val="20"/>
                <w:szCs w:val="20"/>
                <w:color w:val="auto"/>
              </w:rPr>
            </w:pPr>
            <w:r>
              <w:rPr>
                <w:rFonts w:ascii="Arial" w:cs="Arial" w:eastAsia="Arial" w:hAnsi="Arial"/>
                <w:sz w:val="18"/>
                <w:szCs w:val="18"/>
                <w:color w:val="auto"/>
              </w:rPr>
              <w:t>Total interest expense</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863</w:t>
            </w:r>
          </w:p>
        </w:tc>
        <w:tc>
          <w:tcPr>
            <w:tcW w:w="20" w:type="dxa"/>
            <w:vAlign w:val="bottom"/>
            <w:tcBorders>
              <w:bottom w:val="single" w:sz="8" w:color="auto"/>
            </w:tcBorders>
          </w:tcPr>
          <w:p>
            <w:pPr>
              <w:spacing w:after="0"/>
              <w:rPr>
                <w:sz w:val="19"/>
                <w:szCs w:val="19"/>
                <w:color w:val="auto"/>
              </w:rPr>
            </w:pPr>
          </w:p>
        </w:tc>
        <w:tc>
          <w:tcPr>
            <w:tcW w:w="660" w:type="dxa"/>
            <w:vAlign w:val="bottom"/>
          </w:tcPr>
          <w:p>
            <w:pPr>
              <w:spacing w:after="0"/>
              <w:rPr>
                <w:sz w:val="19"/>
                <w:szCs w:val="19"/>
                <w:color w:val="auto"/>
              </w:rPr>
            </w:pPr>
          </w:p>
        </w:tc>
        <w:tc>
          <w:tcPr>
            <w:tcW w:w="220" w:type="dxa"/>
            <w:vAlign w:val="bottom"/>
            <w:tcBorders>
              <w:top w:val="single" w:sz="8" w:color="auto"/>
              <w:bottom w:val="single" w:sz="8" w:color="auto"/>
            </w:tcBorders>
          </w:tcPr>
          <w:p>
            <w:pPr>
              <w:jc w:val="right"/>
              <w:ind w:right="67"/>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4,618</w:t>
            </w:r>
          </w:p>
        </w:tc>
        <w:tc>
          <w:tcPr>
            <w:tcW w:w="40" w:type="dxa"/>
            <w:vAlign w:val="bottom"/>
          </w:tcPr>
          <w:p>
            <w:pPr>
              <w:spacing w:after="0"/>
              <w:rPr>
                <w:sz w:val="19"/>
                <w:szCs w:val="19"/>
                <w:color w:val="auto"/>
              </w:rPr>
            </w:pPr>
          </w:p>
        </w:tc>
      </w:tr>
      <w:tr>
        <w:trPr>
          <w:trHeight w:val="20"/>
        </w:trPr>
        <w:tc>
          <w:tcPr>
            <w:tcW w:w="59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15" w:lineRule="exact"/>
        <w:rPr>
          <w:sz w:val="20"/>
          <w:szCs w:val="20"/>
          <w:color w:val="auto"/>
        </w:rPr>
      </w:pPr>
    </w:p>
    <w:p>
      <w:pPr>
        <w:jc w:val="both"/>
        <w:ind w:right="100" w:firstLine="440"/>
        <w:spacing w:after="0" w:line="275" w:lineRule="auto"/>
        <w:rPr>
          <w:sz w:val="20"/>
          <w:szCs w:val="20"/>
          <w:color w:val="auto"/>
        </w:rPr>
      </w:pPr>
      <w:r>
        <w:rPr>
          <w:rFonts w:ascii="Arial" w:cs="Arial" w:eastAsia="Arial" w:hAnsi="Arial"/>
          <w:sz w:val="17"/>
          <w:szCs w:val="17"/>
          <w:color w:val="auto"/>
        </w:rPr>
        <w:t>In connection with the issuance of the Convertible Notes 2016, the Company entered into capped call transactions (the “Capped Call 2016”) in private transactions. Under the Capped Call 2016, the Company purchased capped call options that in aggregate relate to 100% of the total number of shares of the Company’s common stock underlying the Convertible Notes 2016, with a strike price approximately equal to the conversion price of the Convertible Notes 2016 and with a cap price equal to approximately $73.03 per share. During the three months ended March 31, 2021, certain Capped Call 2016 were settled and the Company received $3,745 in cash.</w:t>
      </w:r>
    </w:p>
    <w:p>
      <w:pPr>
        <w:spacing w:after="0" w:line="284"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Conversion of Convertible Notes 2016</w:t>
      </w:r>
    </w:p>
    <w:p>
      <w:pPr>
        <w:spacing w:after="0" w:line="117" w:lineRule="exact"/>
        <w:rPr>
          <w:sz w:val="20"/>
          <w:szCs w:val="20"/>
          <w:color w:val="auto"/>
        </w:rPr>
      </w:pPr>
    </w:p>
    <w:p>
      <w:pPr>
        <w:ind w:firstLine="440"/>
        <w:spacing w:after="0" w:line="270" w:lineRule="auto"/>
        <w:rPr>
          <w:sz w:val="20"/>
          <w:szCs w:val="20"/>
          <w:color w:val="auto"/>
        </w:rPr>
      </w:pPr>
      <w:r>
        <w:rPr>
          <w:rFonts w:ascii="Arial" w:cs="Arial" w:eastAsia="Arial" w:hAnsi="Arial"/>
          <w:sz w:val="17"/>
          <w:szCs w:val="17"/>
          <w:color w:val="auto"/>
        </w:rPr>
        <w:t>The conversion condition for the Convertible Notes 2016 was met during the three months ended March 31, 2021. During the three months ended March 31, 2021, the Company converted $37,551 aggregate principal amount of the Convertible Notes 2016. The conversion was accounted for as a debt extinguishment. The Company paid a total of $17,757 cash (excluding payment for accrued interest) and issued a total of 554,829 shares of common stock. The total consideration was allocated to the liability and equity components of the Convertible Notes 2016. The total consideration allocated to the liability component was based on the fair value of the liability component using discount rates based on the Company’s estimated rate for a similar liability with the same maturity, but without the conversion option. The consideration allocated to the equity component was calculated by deducting the fair value of the liability component from the aggregate consideration. The loss on extinguishment was determined by comparing the allocated consideration with the carrying value of the liability component, which includes the proportionate amounts of unamortized debt discount and the remaining unamortized debt issuance costs.</w:t>
      </w:r>
    </w:p>
    <w:p>
      <w:pPr>
        <w:spacing w:after="0" w:line="181" w:lineRule="exact"/>
        <w:rPr>
          <w:sz w:val="20"/>
          <w:szCs w:val="20"/>
          <w:color w:val="auto"/>
        </w:rPr>
      </w:pPr>
    </w:p>
    <w:p>
      <w:pPr>
        <w:ind w:left="440"/>
        <w:spacing w:after="0"/>
        <w:rPr>
          <w:sz w:val="20"/>
          <w:szCs w:val="20"/>
          <w:color w:val="auto"/>
        </w:rPr>
      </w:pPr>
      <w:r>
        <w:rPr>
          <w:rFonts w:ascii="Arial" w:cs="Arial" w:eastAsia="Arial" w:hAnsi="Arial"/>
          <w:sz w:val="17"/>
          <w:szCs w:val="17"/>
          <w:color w:val="auto"/>
        </w:rPr>
        <w:t>The net carrying amount of the liability component of the Convertible Notes 2016 immediately prior to the conversion was as follows:</w:t>
      </w:r>
    </w:p>
    <w:p>
      <w:pPr>
        <w:spacing w:after="0" w:line="278" w:lineRule="exact"/>
        <w:rPr>
          <w:sz w:val="20"/>
          <w:szCs w:val="20"/>
          <w:color w:val="auto"/>
        </w:rPr>
      </w:pPr>
    </w:p>
    <w:tbl>
      <w:tblPr>
        <w:tblLayout w:type="fixed"/>
        <w:tblInd w:w="440" w:type="dxa"/>
        <w:tblCellMar>
          <w:top w:w="0" w:type="dxa"/>
          <w:left w:w="0" w:type="dxa"/>
          <w:bottom w:w="0" w:type="dxa"/>
          <w:right w:w="0" w:type="dxa"/>
        </w:tblCellMar>
      </w:tblPr>
      <w:tr>
        <w:trPr>
          <w:trHeight w:val="216"/>
        </w:trPr>
        <w:tc>
          <w:tcPr>
            <w:tcW w:w="1320" w:type="dxa"/>
            <w:vAlign w:val="bottom"/>
          </w:tcPr>
          <w:p>
            <w:pPr>
              <w:spacing w:after="0"/>
              <w:rPr>
                <w:sz w:val="18"/>
                <w:szCs w:val="18"/>
                <w:color w:val="auto"/>
              </w:rPr>
            </w:pPr>
          </w:p>
        </w:tc>
        <w:tc>
          <w:tcPr>
            <w:tcW w:w="6720" w:type="dxa"/>
            <w:vAlign w:val="bottom"/>
            <w:shd w:val="clear" w:color="auto" w:fill="CCEEFF"/>
          </w:tcPr>
          <w:p>
            <w:pPr>
              <w:spacing w:after="0"/>
              <w:rPr>
                <w:sz w:val="20"/>
                <w:szCs w:val="20"/>
                <w:color w:val="auto"/>
              </w:rPr>
            </w:pPr>
            <w:r>
              <w:rPr>
                <w:rFonts w:ascii="Arial" w:cs="Arial" w:eastAsia="Arial" w:hAnsi="Arial"/>
                <w:sz w:val="18"/>
                <w:szCs w:val="18"/>
                <w:color w:val="auto"/>
              </w:rPr>
              <w:t>Principal</w:t>
            </w:r>
          </w:p>
        </w:tc>
        <w:tc>
          <w:tcPr>
            <w:tcW w:w="7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w w:val="98"/>
              </w:rPr>
              <w:t>$37,551</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6720" w:type="dxa"/>
            <w:vAlign w:val="bottom"/>
          </w:tcPr>
          <w:p>
            <w:pPr>
              <w:spacing w:after="0"/>
              <w:rPr>
                <w:sz w:val="20"/>
                <w:szCs w:val="20"/>
                <w:color w:val="auto"/>
              </w:rPr>
            </w:pPr>
            <w:r>
              <w:rPr>
                <w:rFonts w:ascii="Arial" w:cs="Arial" w:eastAsia="Arial" w:hAnsi="Arial"/>
                <w:sz w:val="18"/>
                <w:szCs w:val="18"/>
                <w:color w:val="auto"/>
              </w:rPr>
              <w:t>Unamortized debt discount</w:t>
            </w:r>
          </w:p>
        </w:tc>
        <w:tc>
          <w:tcPr>
            <w:tcW w:w="760" w:type="dxa"/>
            <w:vAlign w:val="bottom"/>
            <w:gridSpan w:val="3"/>
          </w:tcPr>
          <w:p>
            <w:pPr>
              <w:jc w:val="right"/>
              <w:ind w:right="40"/>
              <w:spacing w:after="0"/>
              <w:rPr>
                <w:sz w:val="20"/>
                <w:szCs w:val="20"/>
                <w:color w:val="auto"/>
              </w:rPr>
            </w:pPr>
            <w:r>
              <w:rPr>
                <w:rFonts w:ascii="Arial" w:cs="Arial" w:eastAsia="Arial" w:hAnsi="Arial"/>
                <w:sz w:val="18"/>
                <w:szCs w:val="18"/>
                <w:color w:val="auto"/>
              </w:rPr>
              <w:t>(1,094)</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6720" w:type="dxa"/>
            <w:vAlign w:val="bottom"/>
            <w:shd w:val="clear" w:color="auto" w:fill="CCEEFF"/>
          </w:tcPr>
          <w:p>
            <w:pPr>
              <w:spacing w:after="0"/>
              <w:rPr>
                <w:sz w:val="20"/>
                <w:szCs w:val="20"/>
                <w:color w:val="auto"/>
              </w:rPr>
            </w:pPr>
            <w:r>
              <w:rPr>
                <w:rFonts w:ascii="Arial" w:cs="Arial" w:eastAsia="Arial" w:hAnsi="Arial"/>
                <w:sz w:val="18"/>
                <w:szCs w:val="18"/>
                <w:color w:val="auto"/>
              </w:rPr>
              <w:t>Unamortized debt issuance costs</w:t>
            </w:r>
          </w:p>
        </w:tc>
        <w:tc>
          <w:tcPr>
            <w:tcW w:w="7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(89)</w:t>
            </w:r>
          </w:p>
        </w:tc>
        <w:tc>
          <w:tcPr>
            <w:tcW w:w="0" w:type="dxa"/>
            <w:vAlign w:val="bottom"/>
          </w:tcPr>
          <w:p>
            <w:pPr>
              <w:spacing w:after="0"/>
              <w:rPr>
                <w:sz w:val="1"/>
                <w:szCs w:val="1"/>
                <w:color w:val="auto"/>
              </w:rPr>
            </w:pPr>
          </w:p>
        </w:tc>
      </w:tr>
      <w:tr>
        <w:trPr>
          <w:trHeight w:val="223"/>
        </w:trPr>
        <w:tc>
          <w:tcPr>
            <w:tcW w:w="8040" w:type="dxa"/>
            <w:vAlign w:val="bottom"/>
            <w:gridSpan w:val="2"/>
          </w:tcPr>
          <w:p>
            <w:pPr>
              <w:ind w:left="1320"/>
              <w:spacing w:after="0"/>
              <w:rPr>
                <w:sz w:val="20"/>
                <w:szCs w:val="20"/>
                <w:color w:val="auto"/>
              </w:rPr>
            </w:pPr>
            <w:r>
              <w:rPr>
                <w:rFonts w:ascii="Arial" w:cs="Arial" w:eastAsia="Arial" w:hAnsi="Arial"/>
                <w:sz w:val="18"/>
                <w:szCs w:val="18"/>
                <w:color w:val="auto"/>
              </w:rPr>
              <w:t>Total</w:t>
            </w:r>
          </w:p>
        </w:tc>
        <w:tc>
          <w:tcPr>
            <w:tcW w:w="60" w:type="dxa"/>
            <w:vAlign w:val="bottom"/>
          </w:tcPr>
          <w:p>
            <w:pPr>
              <w:spacing w:after="0"/>
              <w:rPr>
                <w:sz w:val="19"/>
                <w:szCs w:val="19"/>
                <w:color w:val="auto"/>
              </w:rPr>
            </w:pP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36,368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8040" w:type="dxa"/>
            <w:vAlign w:val="bottom"/>
            <w:gridSpan w:val="2"/>
            <w:vMerge w:val="restart"/>
          </w:tcPr>
          <w:p>
            <w:pPr>
              <w:spacing w:after="0"/>
              <w:rPr>
                <w:sz w:val="20"/>
                <w:szCs w:val="20"/>
                <w:color w:val="auto"/>
              </w:rPr>
            </w:pPr>
            <w:r>
              <w:rPr>
                <w:rFonts w:ascii="Arial" w:cs="Arial" w:eastAsia="Arial" w:hAnsi="Arial"/>
                <w:sz w:val="18"/>
                <w:szCs w:val="18"/>
                <w:color w:val="auto"/>
              </w:rPr>
              <w:t>The loss on early extinguishment of the Convertible Notes 2016 is calculated as follows:</w:t>
            </w:r>
          </w:p>
        </w:tc>
        <w:tc>
          <w:tcPr>
            <w:tcW w:w="60" w:type="dxa"/>
            <w:vAlign w:val="bottom"/>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26"/>
        </w:trPr>
        <w:tc>
          <w:tcPr>
            <w:tcW w:w="8040" w:type="dxa"/>
            <w:vAlign w:val="bottom"/>
            <w:gridSpan w:val="2"/>
            <w:vMerge w:val="continue"/>
          </w:tcPr>
          <w:p>
            <w:pPr>
              <w:spacing w:after="0"/>
              <w:rPr>
                <w:sz w:val="24"/>
                <w:szCs w:val="24"/>
                <w:color w:val="auto"/>
              </w:rPr>
            </w:pPr>
          </w:p>
        </w:tc>
        <w:tc>
          <w:tcPr>
            <w:tcW w:w="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1320" w:type="dxa"/>
            <w:vAlign w:val="bottom"/>
            <w:vMerge w:val="restart"/>
          </w:tcPr>
          <w:p>
            <w:pPr>
              <w:spacing w:after="0"/>
              <w:rPr>
                <w:sz w:val="21"/>
                <w:szCs w:val="21"/>
                <w:color w:val="auto"/>
              </w:rPr>
            </w:pPr>
          </w:p>
        </w:tc>
        <w:tc>
          <w:tcPr>
            <w:tcW w:w="6720" w:type="dxa"/>
            <w:vAlign w:val="bottom"/>
          </w:tcPr>
          <w:p>
            <w:pPr>
              <w:spacing w:after="0"/>
              <w:rPr>
                <w:sz w:val="21"/>
                <w:szCs w:val="21"/>
                <w:color w:val="auto"/>
              </w:rPr>
            </w:pPr>
          </w:p>
        </w:tc>
        <w:tc>
          <w:tcPr>
            <w:tcW w:w="760" w:type="dxa"/>
            <w:vAlign w:val="bottom"/>
            <w:gridSpan w:val="3"/>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1320" w:type="dxa"/>
            <w:vAlign w:val="bottom"/>
            <w:vMerge w:val="continue"/>
          </w:tcPr>
          <w:p>
            <w:pPr>
              <w:spacing w:after="0"/>
              <w:rPr>
                <w:sz w:val="18"/>
                <w:szCs w:val="18"/>
                <w:color w:val="auto"/>
              </w:rPr>
            </w:pPr>
          </w:p>
        </w:tc>
        <w:tc>
          <w:tcPr>
            <w:tcW w:w="6720" w:type="dxa"/>
            <w:vAlign w:val="bottom"/>
            <w:shd w:val="clear" w:color="auto" w:fill="CCEEFF"/>
          </w:tcPr>
          <w:p>
            <w:pPr>
              <w:spacing w:after="0"/>
              <w:rPr>
                <w:sz w:val="20"/>
                <w:szCs w:val="20"/>
                <w:color w:val="auto"/>
              </w:rPr>
            </w:pPr>
            <w:r>
              <w:rPr>
                <w:rFonts w:ascii="Arial" w:cs="Arial" w:eastAsia="Arial" w:hAnsi="Arial"/>
                <w:sz w:val="18"/>
                <w:szCs w:val="18"/>
                <w:color w:val="auto"/>
              </w:rPr>
              <w:t>Consideration allocated to the liability component</w:t>
            </w:r>
          </w:p>
        </w:tc>
        <w:tc>
          <w:tcPr>
            <w:tcW w:w="7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w w:val="91"/>
              </w:rPr>
              <w:t>$ 37,444</w:t>
            </w:r>
          </w:p>
        </w:tc>
        <w:tc>
          <w:tcPr>
            <w:tcW w:w="0" w:type="dxa"/>
            <w:vAlign w:val="bottom"/>
          </w:tcPr>
          <w:p>
            <w:pPr>
              <w:spacing w:after="0"/>
              <w:rPr>
                <w:sz w:val="1"/>
                <w:szCs w:val="1"/>
                <w:color w:val="auto"/>
              </w:rPr>
            </w:pPr>
          </w:p>
        </w:tc>
      </w:tr>
      <w:tr>
        <w:trPr>
          <w:trHeight w:val="223"/>
        </w:trPr>
        <w:tc>
          <w:tcPr>
            <w:tcW w:w="1320" w:type="dxa"/>
            <w:vAlign w:val="bottom"/>
          </w:tcPr>
          <w:p>
            <w:pPr>
              <w:spacing w:after="0"/>
              <w:rPr>
                <w:sz w:val="19"/>
                <w:szCs w:val="19"/>
                <w:color w:val="auto"/>
              </w:rPr>
            </w:pPr>
          </w:p>
        </w:tc>
        <w:tc>
          <w:tcPr>
            <w:tcW w:w="6720" w:type="dxa"/>
            <w:vAlign w:val="bottom"/>
          </w:tcPr>
          <w:p>
            <w:pPr>
              <w:spacing w:after="0"/>
              <w:rPr>
                <w:sz w:val="20"/>
                <w:szCs w:val="20"/>
                <w:color w:val="auto"/>
              </w:rPr>
            </w:pPr>
            <w:r>
              <w:rPr>
                <w:rFonts w:ascii="Arial" w:cs="Arial" w:eastAsia="Arial" w:hAnsi="Arial"/>
                <w:sz w:val="18"/>
                <w:szCs w:val="18"/>
                <w:color w:val="auto"/>
              </w:rPr>
              <w:t>Net carrying value of debt</w:t>
            </w:r>
          </w:p>
        </w:tc>
        <w:tc>
          <w:tcPr>
            <w:tcW w:w="760" w:type="dxa"/>
            <w:vAlign w:val="bottom"/>
            <w:gridSpan w:val="3"/>
          </w:tcPr>
          <w:p>
            <w:pPr>
              <w:jc w:val="right"/>
              <w:ind w:right="40"/>
              <w:spacing w:after="0"/>
              <w:rPr>
                <w:sz w:val="20"/>
                <w:szCs w:val="20"/>
                <w:color w:val="auto"/>
              </w:rPr>
            </w:pPr>
            <w:r>
              <w:rPr>
                <w:rFonts w:ascii="Arial" w:cs="Arial" w:eastAsia="Arial" w:hAnsi="Arial"/>
                <w:sz w:val="18"/>
                <w:szCs w:val="18"/>
                <w:color w:val="auto"/>
              </w:rPr>
              <w:t>(36,368)</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6720" w:type="dxa"/>
            <w:vAlign w:val="bottom"/>
            <w:shd w:val="clear" w:color="auto" w:fill="CCEEFF"/>
          </w:tcPr>
          <w:p>
            <w:pPr>
              <w:spacing w:after="0"/>
              <w:rPr>
                <w:sz w:val="20"/>
                <w:szCs w:val="20"/>
                <w:color w:val="auto"/>
              </w:rPr>
            </w:pPr>
            <w:r>
              <w:rPr>
                <w:rFonts w:ascii="Arial" w:cs="Arial" w:eastAsia="Arial" w:hAnsi="Arial"/>
                <w:sz w:val="18"/>
                <w:szCs w:val="18"/>
                <w:color w:val="auto"/>
              </w:rPr>
              <w:t>Loss on early extinguishment</w:t>
            </w:r>
          </w:p>
        </w:tc>
        <w:tc>
          <w:tcPr>
            <w:tcW w:w="66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8"/>
              </w:rPr>
              <w:t>$  1,076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320" w:type="dxa"/>
            <w:vAlign w:val="bottom"/>
          </w:tcPr>
          <w:p>
            <w:pPr>
              <w:spacing w:after="0" w:line="20" w:lineRule="exact"/>
              <w:rPr>
                <w:sz w:val="1"/>
                <w:szCs w:val="1"/>
                <w:color w:val="auto"/>
              </w:rPr>
            </w:pPr>
          </w:p>
        </w:tc>
        <w:tc>
          <w:tcPr>
            <w:tcW w:w="672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jc w:val="both"/>
        <w:ind w:right="80" w:firstLine="440"/>
        <w:spacing w:after="0" w:line="263" w:lineRule="auto"/>
        <w:rPr>
          <w:sz w:val="20"/>
          <w:szCs w:val="20"/>
          <w:color w:val="auto"/>
        </w:rPr>
      </w:pPr>
      <w:r>
        <w:rPr>
          <w:rFonts w:ascii="Arial" w:cs="Arial" w:eastAsia="Arial" w:hAnsi="Arial"/>
          <w:sz w:val="18"/>
          <w:szCs w:val="18"/>
          <w:color w:val="auto"/>
        </w:rPr>
        <w:t>The consideration allocated to the equity component of $70,940 for the Convertible Notes 2016 was recorded as a reduction to additional paid-in capital in the Company’s condensed consolidated balance sheet. The total value of common stock issued in relation to the conversion was $90,628 for the Convertible Notes 2016.</w:t>
      </w:r>
    </w:p>
    <w:p>
      <w:pPr>
        <w:spacing w:after="0" w:line="184"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During the three months ended March 31, 2021, the Company received conversion requests on the aggregate principal amount for the Convertible Notes 2016 of $6,626, which remain unsettled as of March 31, 2021. In addition, from April 1 to 20, 2021, the Company received conversion requests on the aggregate principal amount for the Convertible Notes 2016 of $670.</w:t>
      </w:r>
    </w:p>
    <w:p>
      <w:pPr>
        <w:spacing w:after="0" w:line="292"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Convertible Notes 2020</w:t>
      </w:r>
    </w:p>
    <w:p>
      <w:pPr>
        <w:spacing w:after="0" w:line="117" w:lineRule="exact"/>
        <w:rPr>
          <w:sz w:val="20"/>
          <w:szCs w:val="20"/>
          <w:color w:val="auto"/>
        </w:rPr>
      </w:pPr>
    </w:p>
    <w:p>
      <w:pPr>
        <w:ind w:right="20" w:firstLine="440"/>
        <w:spacing w:after="0" w:line="257" w:lineRule="auto"/>
        <w:rPr>
          <w:sz w:val="20"/>
          <w:szCs w:val="20"/>
          <w:color w:val="auto"/>
        </w:rPr>
      </w:pPr>
      <w:r>
        <w:rPr>
          <w:rFonts w:ascii="Arial" w:cs="Arial" w:eastAsia="Arial" w:hAnsi="Arial"/>
          <w:sz w:val="18"/>
          <w:szCs w:val="18"/>
          <w:color w:val="auto"/>
        </w:rPr>
        <w:t>In April 2020, the Company issued $506,000 of 0.75% convertible senior notes due 2025 (“Convertible Notes 2020” and, together with the Convertible Notes 2015 and Convertible Notes 2016, the “Convertible Notes”). The Convertible Notes 2020 will mature April 15, 2025, unless earlier converted or repurchased. Interest on the Convertible Notes 2020 is payable on April 15 and October 15 of each year, beginning on October 15, 2020. The initial conversion rate is 8.0059 shares of common stock per $1 principal amount of Convertible Notes 2020, which represents an initial conversion price of approximately $124.91 per share.</w:t>
      </w:r>
    </w:p>
    <w:p>
      <w:pPr>
        <w:sectPr>
          <w:pgSz w:w="11900" w:h="16838" w:orient="portrait"/>
          <w:cols w:equalWidth="0" w:num="1">
            <w:col w:w="10940"/>
          </w:cols>
          <w:pgMar w:left="440" w:top="270" w:right="519" w:bottom="1440" w:gutter="0" w:footer="0" w:header="0"/>
        </w:sectPr>
      </w:pPr>
    </w:p>
    <w:p>
      <w:pPr>
        <w:spacing w:after="0" w:line="120" w:lineRule="exact"/>
        <w:rPr>
          <w:sz w:val="20"/>
          <w:szCs w:val="20"/>
          <w:color w:val="auto"/>
        </w:rPr>
      </w:pPr>
    </w:p>
    <w:p>
      <w:pPr>
        <w:jc w:val="center"/>
        <w:ind w:right="-79"/>
        <w:spacing w:after="0"/>
        <w:rPr>
          <w:sz w:val="20"/>
          <w:szCs w:val="20"/>
          <w:color w:val="auto"/>
        </w:rPr>
      </w:pPr>
      <w:r>
        <w:rPr>
          <w:rFonts w:ascii="Arial" w:cs="Arial" w:eastAsia="Arial" w:hAnsi="Arial"/>
          <w:sz w:val="16"/>
          <w:szCs w:val="16"/>
          <w:color w:val="auto"/>
        </w:rPr>
        <w:t>15</w:t>
      </w:r>
    </w:p>
    <w:p>
      <w:pPr>
        <w:sectPr>
          <w:pgSz w:w="11900" w:h="16838" w:orient="portrait"/>
          <w:cols w:equalWidth="0" w:num="1">
            <w:col w:w="10940"/>
          </w:cols>
          <w:pgMar w:left="440" w:top="270" w:right="519" w:bottom="1440" w:gutter="0" w:footer="0" w:header="0"/>
          <w:type w:val="continuous"/>
        </w:sectPr>
      </w:pPr>
    </w:p>
    <w:bookmarkStart w:id="19" w:name="page20"/>
    <w:bookmarkEnd w:id="19"/>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INPHI CORPORATION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(Dollars in thousands except share and per share amounts)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40005</wp:posOffset>
            </wp:positionV>
            <wp:extent cx="6995160" cy="825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31" w:lineRule="exact"/>
        <w:rPr>
          <w:sz w:val="20"/>
          <w:szCs w:val="20"/>
          <w:color w:val="auto"/>
        </w:rPr>
      </w:pPr>
    </w:p>
    <w:tbl>
      <w:tblPr>
        <w:tblLayout w:type="fixed"/>
        <w:tblInd w:w="440" w:type="dxa"/>
        <w:tblCellMar>
          <w:top w:w="0" w:type="dxa"/>
          <w:left w:w="0" w:type="dxa"/>
          <w:bottom w:w="0" w:type="dxa"/>
          <w:right w:w="0" w:type="dxa"/>
        </w:tblCellMar>
      </w:tblPr>
      <w:tr>
        <w:trPr>
          <w:trHeight w:val="230"/>
        </w:trPr>
        <w:tc>
          <w:tcPr>
            <w:tcW w:w="8240" w:type="dxa"/>
            <w:vAlign w:val="bottom"/>
            <w:gridSpan w:val="2"/>
          </w:tcPr>
          <w:p>
            <w:pPr>
              <w:spacing w:after="0"/>
              <w:rPr>
                <w:sz w:val="20"/>
                <w:szCs w:val="20"/>
                <w:color w:val="auto"/>
              </w:rPr>
            </w:pPr>
            <w:r>
              <w:rPr>
                <w:rFonts w:ascii="Arial" w:cs="Arial" w:eastAsia="Arial" w:hAnsi="Arial"/>
                <w:sz w:val="18"/>
                <w:szCs w:val="18"/>
                <w:color w:val="auto"/>
                <w:w w:val="96"/>
              </w:rPr>
              <w:t>Interest expense for the Convertible Notes 2020 for the three months ended March 31, 2021 are as follows:</w:t>
            </w:r>
          </w:p>
        </w:tc>
        <w:tc>
          <w:tcPr>
            <w:tcW w:w="10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1320" w:type="dxa"/>
            <w:vAlign w:val="bottom"/>
            <w:vMerge w:val="restart"/>
          </w:tcPr>
          <w:p>
            <w:pPr>
              <w:spacing w:after="0"/>
              <w:rPr>
                <w:sz w:val="21"/>
                <w:szCs w:val="21"/>
                <w:color w:val="auto"/>
              </w:rPr>
            </w:pPr>
          </w:p>
        </w:tc>
        <w:tc>
          <w:tcPr>
            <w:tcW w:w="69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1320" w:type="dxa"/>
            <w:vAlign w:val="bottom"/>
            <w:vMerge w:val="continue"/>
          </w:tcPr>
          <w:p>
            <w:pPr>
              <w:spacing w:after="0"/>
              <w:rPr>
                <w:sz w:val="18"/>
                <w:szCs w:val="18"/>
                <w:color w:val="auto"/>
              </w:rPr>
            </w:pPr>
          </w:p>
        </w:tc>
        <w:tc>
          <w:tcPr>
            <w:tcW w:w="6920" w:type="dxa"/>
            <w:vAlign w:val="bottom"/>
            <w:shd w:val="clear" w:color="auto" w:fill="CCEEFF"/>
          </w:tcPr>
          <w:p>
            <w:pPr>
              <w:spacing w:after="0"/>
              <w:rPr>
                <w:sz w:val="20"/>
                <w:szCs w:val="20"/>
                <w:color w:val="auto"/>
              </w:rPr>
            </w:pPr>
            <w:r>
              <w:rPr>
                <w:rFonts w:ascii="Arial" w:cs="Arial" w:eastAsia="Arial" w:hAnsi="Arial"/>
                <w:sz w:val="18"/>
                <w:szCs w:val="18"/>
                <w:color w:val="auto"/>
              </w:rPr>
              <w:t>Contractual interest expense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938</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6920" w:type="dxa"/>
            <w:vAlign w:val="bottom"/>
          </w:tcPr>
          <w:p>
            <w:pPr>
              <w:spacing w:after="0"/>
              <w:rPr>
                <w:sz w:val="20"/>
                <w:szCs w:val="20"/>
                <w:color w:val="auto"/>
              </w:rPr>
            </w:pPr>
            <w:r>
              <w:rPr>
                <w:rFonts w:ascii="Arial" w:cs="Arial" w:eastAsia="Arial" w:hAnsi="Arial"/>
                <w:sz w:val="18"/>
                <w:szCs w:val="18"/>
                <w:color w:val="auto"/>
              </w:rPr>
              <w:t>Amortization of debt discount</w:t>
            </w:r>
          </w:p>
        </w:tc>
        <w:tc>
          <w:tcPr>
            <w:tcW w:w="100" w:type="dxa"/>
            <w:vAlign w:val="bottom"/>
          </w:tcPr>
          <w:p>
            <w:pPr>
              <w:spacing w:after="0"/>
              <w:rPr>
                <w:sz w:val="18"/>
                <w:szCs w:val="18"/>
                <w:color w:val="auto"/>
              </w:rPr>
            </w:pPr>
          </w:p>
        </w:tc>
        <w:tc>
          <w:tcPr>
            <w:tcW w:w="420" w:type="dxa"/>
            <w:vAlign w:val="bottom"/>
            <w:gridSpan w:val="2"/>
          </w:tcPr>
          <w:p>
            <w:pPr>
              <w:jc w:val="right"/>
              <w:ind w:right="20"/>
              <w:spacing w:after="0"/>
              <w:rPr>
                <w:sz w:val="20"/>
                <w:szCs w:val="20"/>
                <w:color w:val="auto"/>
              </w:rPr>
            </w:pPr>
            <w:r>
              <w:rPr>
                <w:rFonts w:ascii="Arial" w:cs="Arial" w:eastAsia="Arial" w:hAnsi="Arial"/>
                <w:sz w:val="18"/>
                <w:szCs w:val="18"/>
                <w:color w:val="auto"/>
                <w:w w:val="84"/>
              </w:rPr>
              <w:t>4,616</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692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debt issuance costs</w:t>
            </w:r>
          </w:p>
        </w:tc>
        <w:tc>
          <w:tcPr>
            <w:tcW w:w="10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480</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8240" w:type="dxa"/>
            <w:vAlign w:val="bottom"/>
            <w:gridSpan w:val="2"/>
          </w:tcPr>
          <w:p>
            <w:pPr>
              <w:ind w:left="1320"/>
              <w:spacing w:after="0"/>
              <w:rPr>
                <w:sz w:val="20"/>
                <w:szCs w:val="20"/>
                <w:color w:val="auto"/>
              </w:rPr>
            </w:pPr>
            <w:r>
              <w:rPr>
                <w:rFonts w:ascii="Arial" w:cs="Arial" w:eastAsia="Arial" w:hAnsi="Arial"/>
                <w:sz w:val="18"/>
                <w:szCs w:val="18"/>
                <w:color w:val="auto"/>
              </w:rPr>
              <w:t>Total interest expense</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4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4"/>
              </w:rPr>
              <w:t>6,034</w:t>
            </w:r>
          </w:p>
        </w:tc>
        <w:tc>
          <w:tcPr>
            <w:tcW w:w="20" w:type="dxa"/>
            <w:vAlign w:val="bottom"/>
            <w:tcBorders>
              <w:bottom w:val="single" w:sz="8" w:color="auto"/>
            </w:tcBorders>
          </w:tcPr>
          <w:p>
            <w:pPr>
              <w:spacing w:after="0"/>
              <w:rPr>
                <w:sz w:val="19"/>
                <w:szCs w:val="19"/>
                <w:color w:val="auto"/>
              </w:rPr>
            </w:pP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320" w:type="dxa"/>
            <w:vAlign w:val="bottom"/>
          </w:tcPr>
          <w:p>
            <w:pPr>
              <w:spacing w:after="0" w:line="20" w:lineRule="exact"/>
              <w:rPr>
                <w:sz w:val="1"/>
                <w:szCs w:val="1"/>
                <w:color w:val="auto"/>
              </w:rPr>
            </w:pPr>
          </w:p>
        </w:tc>
        <w:tc>
          <w:tcPr>
            <w:tcW w:w="69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jc w:val="both"/>
        <w:ind w:firstLine="440"/>
        <w:spacing w:after="0" w:line="259" w:lineRule="auto"/>
        <w:rPr>
          <w:sz w:val="20"/>
          <w:szCs w:val="20"/>
          <w:color w:val="auto"/>
        </w:rPr>
      </w:pPr>
      <w:r>
        <w:rPr>
          <w:rFonts w:ascii="Arial" w:cs="Arial" w:eastAsia="Arial" w:hAnsi="Arial"/>
          <w:sz w:val="18"/>
          <w:szCs w:val="18"/>
          <w:color w:val="auto"/>
        </w:rPr>
        <w:t>In connection with the issuance of the Convertible Notes 2020, the Company entered into capped call transactions (“Capped Call 2020”) in private transactions. Under the Capped Call 2020, the Company purchased capped call options that in aggregate relate to 100% of the total number of shares of the Company’s common stock underlying the Convertible Notes 2020, with a strike price approximately equal to the conversion price of the Convertible Notes 2020 and with a cap price equal to $188.54 per share.</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11. Other Liabilities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Other current liabilities consist of the following:</w:t>
      </w:r>
    </w:p>
    <w:p>
      <w:pPr>
        <w:spacing w:after="0" w:line="231" w:lineRule="exact"/>
        <w:rPr>
          <w:sz w:val="20"/>
          <w:szCs w:val="20"/>
          <w:color w:val="auto"/>
        </w:rPr>
      </w:pPr>
    </w:p>
    <w:tbl>
      <w:tblPr>
        <w:tblLayout w:type="fixed"/>
        <w:tblInd w:w="440" w:type="dxa"/>
        <w:tblCellMar>
          <w:top w:w="0" w:type="dxa"/>
          <w:left w:w="0" w:type="dxa"/>
          <w:bottom w:w="0" w:type="dxa"/>
          <w:right w:w="0" w:type="dxa"/>
        </w:tblCellMar>
      </w:tblPr>
      <w:tr>
        <w:trPr>
          <w:trHeight w:val="161"/>
        </w:trPr>
        <w:tc>
          <w:tcPr>
            <w:tcW w:w="880" w:type="dxa"/>
            <w:vAlign w:val="bottom"/>
          </w:tcPr>
          <w:p>
            <w:pPr>
              <w:spacing w:after="0"/>
              <w:rPr>
                <w:sz w:val="14"/>
                <w:szCs w:val="14"/>
                <w:color w:val="auto"/>
              </w:rPr>
            </w:pPr>
          </w:p>
        </w:tc>
        <w:tc>
          <w:tcPr>
            <w:tcW w:w="6320" w:type="dxa"/>
            <w:vAlign w:val="bottom"/>
          </w:tcPr>
          <w:p>
            <w:pPr>
              <w:spacing w:after="0"/>
              <w:rPr>
                <w:sz w:val="14"/>
                <w:szCs w:val="14"/>
                <w:color w:val="auto"/>
              </w:rPr>
            </w:pPr>
          </w:p>
        </w:tc>
        <w:tc>
          <w:tcPr>
            <w:tcW w:w="1160" w:type="dxa"/>
            <w:vAlign w:val="bottom"/>
            <w:gridSpan w:val="3"/>
          </w:tcPr>
          <w:p>
            <w:pPr>
              <w:jc w:val="center"/>
              <w:ind w:right="540"/>
              <w:spacing w:after="0"/>
              <w:rPr>
                <w:sz w:val="20"/>
                <w:szCs w:val="20"/>
                <w:color w:val="auto"/>
              </w:rPr>
            </w:pPr>
            <w:r>
              <w:rPr>
                <w:rFonts w:ascii="Arial" w:cs="Arial" w:eastAsia="Arial" w:hAnsi="Arial"/>
                <w:sz w:val="14"/>
                <w:szCs w:val="14"/>
                <w:b w:val="1"/>
                <w:bCs w:val="1"/>
                <w:color w:val="auto"/>
                <w:w w:val="95"/>
              </w:rPr>
              <w:t>March 31,</w:t>
            </w:r>
          </w:p>
        </w:tc>
        <w:tc>
          <w:tcPr>
            <w:tcW w:w="880" w:type="dxa"/>
            <w:vAlign w:val="bottom"/>
            <w:gridSpan w:val="3"/>
          </w:tcPr>
          <w:p>
            <w:pPr>
              <w:spacing w:after="0"/>
              <w:rPr>
                <w:sz w:val="20"/>
                <w:szCs w:val="20"/>
                <w:color w:val="auto"/>
              </w:rPr>
            </w:pPr>
            <w:r>
              <w:rPr>
                <w:rFonts w:ascii="Arial" w:cs="Arial" w:eastAsia="Arial" w:hAnsi="Arial"/>
                <w:sz w:val="14"/>
                <w:szCs w:val="14"/>
                <w:b w:val="1"/>
                <w:bCs w:val="1"/>
                <w:color w:val="auto"/>
                <w:w w:val="94"/>
              </w:rPr>
              <w:t>December 31,</w:t>
            </w:r>
          </w:p>
        </w:tc>
        <w:tc>
          <w:tcPr>
            <w:tcW w:w="0" w:type="dxa"/>
            <w:vAlign w:val="bottom"/>
          </w:tcPr>
          <w:p>
            <w:pPr>
              <w:spacing w:after="0"/>
              <w:rPr>
                <w:sz w:val="1"/>
                <w:szCs w:val="1"/>
                <w:color w:val="auto"/>
              </w:rPr>
            </w:pPr>
          </w:p>
        </w:tc>
      </w:tr>
      <w:tr>
        <w:trPr>
          <w:trHeight w:val="171"/>
        </w:trPr>
        <w:tc>
          <w:tcPr>
            <w:tcW w:w="880" w:type="dxa"/>
            <w:vAlign w:val="bottom"/>
          </w:tcPr>
          <w:p>
            <w:pPr>
              <w:spacing w:after="0"/>
              <w:rPr>
                <w:sz w:val="14"/>
                <w:szCs w:val="14"/>
                <w:color w:val="auto"/>
              </w:rPr>
            </w:pPr>
          </w:p>
        </w:tc>
        <w:tc>
          <w:tcPr>
            <w:tcW w:w="6320" w:type="dxa"/>
            <w:vAlign w:val="bottom"/>
            <w:tcBorders>
              <w:bottom w:val="single" w:sz="8" w:color="CCEEFF"/>
            </w:tcBorders>
          </w:tcPr>
          <w:p>
            <w:pPr>
              <w:spacing w:after="0"/>
              <w:rPr>
                <w:sz w:val="14"/>
                <w:szCs w:val="14"/>
                <w:color w:val="auto"/>
              </w:rPr>
            </w:pPr>
          </w:p>
        </w:tc>
        <w:tc>
          <w:tcPr>
            <w:tcW w:w="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2021</w:t>
            </w:r>
          </w:p>
        </w:tc>
        <w:tc>
          <w:tcPr>
            <w:tcW w:w="20" w:type="dxa"/>
            <w:vAlign w:val="bottom"/>
            <w:tcBorders>
              <w:bottom w:val="single" w:sz="8" w:color="CCEEFF"/>
            </w:tcBorders>
          </w:tcPr>
          <w:p>
            <w:pPr>
              <w:spacing w:after="0"/>
              <w:rPr>
                <w:sz w:val="14"/>
                <w:szCs w:val="14"/>
                <w:color w:val="auto"/>
              </w:rPr>
            </w:pPr>
          </w:p>
        </w:tc>
        <w:tc>
          <w:tcPr>
            <w:tcW w:w="50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2020</w:t>
            </w:r>
          </w:p>
        </w:tc>
        <w:tc>
          <w:tcPr>
            <w:tcW w:w="4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880" w:type="dxa"/>
            <w:vAlign w:val="bottom"/>
          </w:tcPr>
          <w:p>
            <w:pPr>
              <w:spacing w:after="0"/>
              <w:rPr>
                <w:sz w:val="18"/>
                <w:szCs w:val="18"/>
                <w:color w:val="auto"/>
              </w:rPr>
            </w:pPr>
          </w:p>
        </w:tc>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Software license intangible asset liabilities</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$ 20,554</w:t>
            </w:r>
          </w:p>
        </w:tc>
        <w:tc>
          <w:tcPr>
            <w:tcW w:w="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28,234</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6320" w:type="dxa"/>
            <w:vAlign w:val="bottom"/>
          </w:tcPr>
          <w:p>
            <w:pPr>
              <w:spacing w:after="0"/>
              <w:rPr>
                <w:sz w:val="20"/>
                <w:szCs w:val="20"/>
                <w:color w:val="auto"/>
              </w:rPr>
            </w:pPr>
            <w:r>
              <w:rPr>
                <w:rFonts w:ascii="Arial" w:cs="Arial" w:eastAsia="Arial" w:hAnsi="Arial"/>
                <w:sz w:val="18"/>
                <w:szCs w:val="18"/>
                <w:color w:val="auto"/>
              </w:rPr>
              <w:t>Operating lease liabilities</w:t>
            </w: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4,375</w:t>
            </w: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8"/>
                <w:szCs w:val="18"/>
                <w:color w:val="auto"/>
              </w:rPr>
              <w:t>4,322</w:t>
            </w: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Others</w:t>
            </w:r>
          </w:p>
        </w:tc>
        <w:tc>
          <w:tcPr>
            <w:tcW w:w="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7,544</w:t>
            </w: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13,374</w:t>
            </w:r>
          </w:p>
        </w:tc>
        <w:tc>
          <w:tcPr>
            <w:tcW w:w="0" w:type="dxa"/>
            <w:vAlign w:val="bottom"/>
          </w:tcPr>
          <w:p>
            <w:pPr>
              <w:spacing w:after="0"/>
              <w:rPr>
                <w:sz w:val="1"/>
                <w:szCs w:val="1"/>
                <w:color w:val="auto"/>
              </w:rPr>
            </w:pPr>
          </w:p>
        </w:tc>
      </w:tr>
      <w:tr>
        <w:trPr>
          <w:trHeight w:val="223"/>
        </w:trPr>
        <w:tc>
          <w:tcPr>
            <w:tcW w:w="880" w:type="dxa"/>
            <w:vAlign w:val="bottom"/>
          </w:tcPr>
          <w:p>
            <w:pPr>
              <w:spacing w:after="0"/>
              <w:rPr>
                <w:sz w:val="19"/>
                <w:szCs w:val="19"/>
                <w:color w:val="auto"/>
              </w:rPr>
            </w:pPr>
          </w:p>
        </w:tc>
        <w:tc>
          <w:tcPr>
            <w:tcW w:w="6320" w:type="dxa"/>
            <w:vAlign w:val="bottom"/>
          </w:tcPr>
          <w:p>
            <w:pPr>
              <w:spacing w:after="0"/>
              <w:rPr>
                <w:sz w:val="19"/>
                <w:szCs w:val="19"/>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8"/>
              </w:rPr>
              <w:t>$ 32,473</w:t>
            </w:r>
          </w:p>
        </w:tc>
        <w:tc>
          <w:tcPr>
            <w:tcW w:w="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8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45,930</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7200" w:type="dxa"/>
            <w:vAlign w:val="bottom"/>
            <w:gridSpan w:val="2"/>
            <w:vMerge w:val="restart"/>
          </w:tcPr>
          <w:p>
            <w:pPr>
              <w:spacing w:after="0"/>
              <w:rPr>
                <w:sz w:val="20"/>
                <w:szCs w:val="20"/>
                <w:color w:val="auto"/>
              </w:rPr>
            </w:pPr>
            <w:r>
              <w:rPr>
                <w:rFonts w:ascii="Arial" w:cs="Arial" w:eastAsia="Arial" w:hAnsi="Arial"/>
                <w:sz w:val="18"/>
                <w:szCs w:val="18"/>
                <w:color w:val="auto"/>
              </w:rPr>
              <w:t>Other long-term liabilities consist of the following:</w:t>
            </w:r>
          </w:p>
        </w:tc>
        <w:tc>
          <w:tcPr>
            <w:tcW w:w="6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26"/>
        </w:trPr>
        <w:tc>
          <w:tcPr>
            <w:tcW w:w="7200" w:type="dxa"/>
            <w:vAlign w:val="bottom"/>
            <w:gridSpan w:val="2"/>
            <w:vMerge w:val="continue"/>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9"/>
        </w:trPr>
        <w:tc>
          <w:tcPr>
            <w:tcW w:w="880" w:type="dxa"/>
            <w:vAlign w:val="bottom"/>
          </w:tcPr>
          <w:p>
            <w:pPr>
              <w:spacing w:after="0"/>
              <w:rPr>
                <w:sz w:val="24"/>
                <w:szCs w:val="24"/>
                <w:color w:val="auto"/>
              </w:rPr>
            </w:pPr>
          </w:p>
        </w:tc>
        <w:tc>
          <w:tcPr>
            <w:tcW w:w="6320" w:type="dxa"/>
            <w:vAlign w:val="bottom"/>
          </w:tcPr>
          <w:p>
            <w:pPr>
              <w:spacing w:after="0"/>
              <w:rPr>
                <w:sz w:val="24"/>
                <w:szCs w:val="24"/>
                <w:color w:val="auto"/>
              </w:rPr>
            </w:pPr>
          </w:p>
        </w:tc>
        <w:tc>
          <w:tcPr>
            <w:tcW w:w="1160" w:type="dxa"/>
            <w:vAlign w:val="bottom"/>
            <w:gridSpan w:val="3"/>
          </w:tcPr>
          <w:p>
            <w:pPr>
              <w:jc w:val="center"/>
              <w:ind w:right="540"/>
              <w:spacing w:after="0"/>
              <w:rPr>
                <w:sz w:val="20"/>
                <w:szCs w:val="20"/>
                <w:color w:val="auto"/>
              </w:rPr>
            </w:pPr>
            <w:r>
              <w:rPr>
                <w:rFonts w:ascii="Arial" w:cs="Arial" w:eastAsia="Arial" w:hAnsi="Arial"/>
                <w:sz w:val="14"/>
                <w:szCs w:val="14"/>
                <w:b w:val="1"/>
                <w:bCs w:val="1"/>
                <w:color w:val="auto"/>
                <w:w w:val="95"/>
              </w:rPr>
              <w:t>March 31,</w:t>
            </w:r>
          </w:p>
        </w:tc>
        <w:tc>
          <w:tcPr>
            <w:tcW w:w="880" w:type="dxa"/>
            <w:vAlign w:val="bottom"/>
            <w:gridSpan w:val="3"/>
          </w:tcPr>
          <w:p>
            <w:pPr>
              <w:spacing w:after="0"/>
              <w:rPr>
                <w:sz w:val="20"/>
                <w:szCs w:val="20"/>
                <w:color w:val="auto"/>
              </w:rPr>
            </w:pPr>
            <w:r>
              <w:rPr>
                <w:rFonts w:ascii="Arial" w:cs="Arial" w:eastAsia="Arial" w:hAnsi="Arial"/>
                <w:sz w:val="14"/>
                <w:szCs w:val="14"/>
                <w:b w:val="1"/>
                <w:bCs w:val="1"/>
                <w:color w:val="auto"/>
                <w:w w:val="94"/>
              </w:rPr>
              <w:t>December 31,</w:t>
            </w:r>
          </w:p>
        </w:tc>
        <w:tc>
          <w:tcPr>
            <w:tcW w:w="0" w:type="dxa"/>
            <w:vAlign w:val="bottom"/>
          </w:tcPr>
          <w:p>
            <w:pPr>
              <w:spacing w:after="0"/>
              <w:rPr>
                <w:sz w:val="1"/>
                <w:szCs w:val="1"/>
                <w:color w:val="auto"/>
              </w:rPr>
            </w:pPr>
          </w:p>
        </w:tc>
      </w:tr>
      <w:tr>
        <w:trPr>
          <w:trHeight w:val="171"/>
        </w:trPr>
        <w:tc>
          <w:tcPr>
            <w:tcW w:w="880" w:type="dxa"/>
            <w:vAlign w:val="bottom"/>
          </w:tcPr>
          <w:p>
            <w:pPr>
              <w:spacing w:after="0"/>
              <w:rPr>
                <w:sz w:val="14"/>
                <w:szCs w:val="14"/>
                <w:color w:val="auto"/>
              </w:rPr>
            </w:pPr>
          </w:p>
        </w:tc>
        <w:tc>
          <w:tcPr>
            <w:tcW w:w="6320" w:type="dxa"/>
            <w:vAlign w:val="bottom"/>
            <w:tcBorders>
              <w:bottom w:val="single" w:sz="8" w:color="CCEEFF"/>
            </w:tcBorders>
          </w:tcPr>
          <w:p>
            <w:pPr>
              <w:spacing w:after="0"/>
              <w:rPr>
                <w:sz w:val="14"/>
                <w:szCs w:val="14"/>
                <w:color w:val="auto"/>
              </w:rPr>
            </w:pPr>
          </w:p>
        </w:tc>
        <w:tc>
          <w:tcPr>
            <w:tcW w:w="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2021</w:t>
            </w:r>
          </w:p>
        </w:tc>
        <w:tc>
          <w:tcPr>
            <w:tcW w:w="20" w:type="dxa"/>
            <w:vAlign w:val="bottom"/>
            <w:tcBorders>
              <w:bottom w:val="single" w:sz="8" w:color="CCEEFF"/>
            </w:tcBorders>
          </w:tcPr>
          <w:p>
            <w:pPr>
              <w:spacing w:after="0"/>
              <w:rPr>
                <w:sz w:val="14"/>
                <w:szCs w:val="14"/>
                <w:color w:val="auto"/>
              </w:rPr>
            </w:pPr>
          </w:p>
        </w:tc>
        <w:tc>
          <w:tcPr>
            <w:tcW w:w="50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2020</w:t>
            </w:r>
          </w:p>
        </w:tc>
        <w:tc>
          <w:tcPr>
            <w:tcW w:w="4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09"/>
        </w:trPr>
        <w:tc>
          <w:tcPr>
            <w:tcW w:w="880" w:type="dxa"/>
            <w:vAlign w:val="bottom"/>
          </w:tcPr>
          <w:p>
            <w:pPr>
              <w:spacing w:after="0"/>
              <w:rPr>
                <w:sz w:val="18"/>
                <w:szCs w:val="18"/>
                <w:color w:val="auto"/>
              </w:rPr>
            </w:pPr>
          </w:p>
        </w:tc>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Income tax payable</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  1,085</w:t>
            </w:r>
          </w:p>
        </w:tc>
        <w:tc>
          <w:tcPr>
            <w:tcW w:w="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1,078</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6320" w:type="dxa"/>
            <w:vAlign w:val="bottom"/>
          </w:tcPr>
          <w:p>
            <w:pPr>
              <w:spacing w:after="0"/>
              <w:rPr>
                <w:sz w:val="20"/>
                <w:szCs w:val="20"/>
                <w:color w:val="auto"/>
              </w:rPr>
            </w:pPr>
            <w:r>
              <w:rPr>
                <w:rFonts w:ascii="Arial" w:cs="Arial" w:eastAsia="Arial" w:hAnsi="Arial"/>
                <w:sz w:val="18"/>
                <w:szCs w:val="18"/>
                <w:color w:val="auto"/>
              </w:rPr>
              <w:t>Deferred tax liabilities</w:t>
            </w: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2,036</w:t>
            </w: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8"/>
                <w:szCs w:val="18"/>
                <w:color w:val="auto"/>
              </w:rPr>
              <w:t>1,311</w:t>
            </w: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Software license intangible asset liabilities</w:t>
            </w:r>
          </w:p>
        </w:tc>
        <w:tc>
          <w:tcPr>
            <w:tcW w:w="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9,767</w:t>
            </w: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13,885</w:t>
            </w: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6320" w:type="dxa"/>
            <w:vAlign w:val="bottom"/>
          </w:tcPr>
          <w:p>
            <w:pPr>
              <w:spacing w:after="0"/>
              <w:rPr>
                <w:sz w:val="20"/>
                <w:szCs w:val="20"/>
                <w:color w:val="auto"/>
              </w:rPr>
            </w:pPr>
            <w:r>
              <w:rPr>
                <w:rFonts w:ascii="Arial" w:cs="Arial" w:eastAsia="Arial" w:hAnsi="Arial"/>
                <w:sz w:val="18"/>
                <w:szCs w:val="18"/>
                <w:color w:val="auto"/>
              </w:rPr>
              <w:t>Operating lease liabilities</w:t>
            </w: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37,638</w:t>
            </w: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8"/>
                <w:szCs w:val="18"/>
                <w:color w:val="auto"/>
              </w:rPr>
              <w:t>38,942</w:t>
            </w: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Others</w:t>
            </w:r>
          </w:p>
        </w:tc>
        <w:tc>
          <w:tcPr>
            <w:tcW w:w="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2,029</w:t>
            </w: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3,104</w:t>
            </w:r>
          </w:p>
        </w:tc>
        <w:tc>
          <w:tcPr>
            <w:tcW w:w="0" w:type="dxa"/>
            <w:vAlign w:val="bottom"/>
          </w:tcPr>
          <w:p>
            <w:pPr>
              <w:spacing w:after="0"/>
              <w:rPr>
                <w:sz w:val="1"/>
                <w:szCs w:val="1"/>
                <w:color w:val="auto"/>
              </w:rPr>
            </w:pPr>
          </w:p>
        </w:tc>
      </w:tr>
      <w:tr>
        <w:trPr>
          <w:trHeight w:val="223"/>
        </w:trPr>
        <w:tc>
          <w:tcPr>
            <w:tcW w:w="880" w:type="dxa"/>
            <w:vAlign w:val="bottom"/>
          </w:tcPr>
          <w:p>
            <w:pPr>
              <w:spacing w:after="0"/>
              <w:rPr>
                <w:sz w:val="19"/>
                <w:szCs w:val="19"/>
                <w:color w:val="auto"/>
              </w:rPr>
            </w:pPr>
          </w:p>
        </w:tc>
        <w:tc>
          <w:tcPr>
            <w:tcW w:w="6320" w:type="dxa"/>
            <w:vAlign w:val="bottom"/>
          </w:tcPr>
          <w:p>
            <w:pPr>
              <w:spacing w:after="0"/>
              <w:rPr>
                <w:sz w:val="19"/>
                <w:szCs w:val="19"/>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8"/>
              </w:rPr>
              <w:t>$ 52,555</w:t>
            </w:r>
          </w:p>
        </w:tc>
        <w:tc>
          <w:tcPr>
            <w:tcW w:w="20" w:type="dxa"/>
            <w:vAlign w:val="bottom"/>
            <w:tcBorders>
              <w:bottom w:val="single" w:sz="8" w:color="auto"/>
            </w:tcBorders>
          </w:tcPr>
          <w:p>
            <w:pPr>
              <w:spacing w:after="0"/>
              <w:rPr>
                <w:sz w:val="19"/>
                <w:szCs w:val="19"/>
                <w:color w:val="auto"/>
              </w:rPr>
            </w:pPr>
          </w:p>
        </w:tc>
        <w:tc>
          <w:tcPr>
            <w:tcW w:w="500" w:type="dxa"/>
            <w:vAlign w:val="bottom"/>
          </w:tcPr>
          <w:p>
            <w:pPr>
              <w:spacing w:after="0"/>
              <w:rPr>
                <w:sz w:val="19"/>
                <w:szCs w:val="19"/>
                <w:color w:val="auto"/>
              </w:rPr>
            </w:pPr>
          </w:p>
        </w:tc>
        <w:tc>
          <w:tcPr>
            <w:tcW w:w="18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58,320</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880" w:type="dxa"/>
            <w:vAlign w:val="bottom"/>
          </w:tcPr>
          <w:p>
            <w:pPr>
              <w:spacing w:after="0" w:line="20" w:lineRule="exact"/>
              <w:rPr>
                <w:sz w:val="1"/>
                <w:szCs w:val="1"/>
                <w:color w:val="auto"/>
              </w:rPr>
            </w:pPr>
          </w:p>
        </w:tc>
        <w:tc>
          <w:tcPr>
            <w:tcW w:w="632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12. Income Taxes</w:t>
      </w:r>
    </w:p>
    <w:p>
      <w:pPr>
        <w:spacing w:after="0" w:line="121" w:lineRule="exact"/>
        <w:rPr>
          <w:sz w:val="20"/>
          <w:szCs w:val="20"/>
          <w:color w:val="auto"/>
        </w:rPr>
      </w:pPr>
    </w:p>
    <w:p>
      <w:pPr>
        <w:ind w:right="140" w:firstLine="440"/>
        <w:spacing w:after="0" w:line="293" w:lineRule="auto"/>
        <w:rPr>
          <w:sz w:val="20"/>
          <w:szCs w:val="20"/>
          <w:color w:val="auto"/>
        </w:rPr>
      </w:pPr>
      <w:r>
        <w:rPr>
          <w:rFonts w:ascii="Arial" w:cs="Arial" w:eastAsia="Arial" w:hAnsi="Arial"/>
          <w:sz w:val="16"/>
          <w:szCs w:val="16"/>
          <w:color w:val="auto"/>
        </w:rPr>
        <w:t>The Company normally determines its interim income tax provision using an estimated single annual effective tax rate for all tax jurisdictions. ASC 740 provides that when an entity operates in a jurisdiction that has generated ordinary losses on a year-to-date basis or on the basis of the results anticipated for the full fiscal year and no benefit can be recognized on those losses, a separate effective tax rate should be computed and applied to ordinary income (or loss) in that jurisdiction. The Company incurred pretax loss during the three months ended March 31, 2021 and 2020 from its U.S. operations and will not recognize a tax benefit of the losses due to the full valuation allowance established against deferred tax assets. Thus, a separate effective tax rate was applied to losses from the U.S. jurisdiction to compute the Company’s March 31, 2021 and 2020 interim tax provision.</w:t>
      </w:r>
    </w:p>
    <w:p>
      <w:pPr>
        <w:spacing w:after="0" w:line="164" w:lineRule="exact"/>
        <w:rPr>
          <w:sz w:val="20"/>
          <w:szCs w:val="20"/>
          <w:color w:val="auto"/>
        </w:rPr>
      </w:pPr>
    </w:p>
    <w:p>
      <w:pPr>
        <w:ind w:right="60" w:firstLine="440"/>
        <w:spacing w:after="0" w:line="275" w:lineRule="auto"/>
        <w:rPr>
          <w:sz w:val="20"/>
          <w:szCs w:val="20"/>
          <w:color w:val="auto"/>
        </w:rPr>
      </w:pPr>
      <w:r>
        <w:rPr>
          <w:rFonts w:ascii="Arial" w:cs="Arial" w:eastAsia="Arial" w:hAnsi="Arial"/>
          <w:sz w:val="17"/>
          <w:szCs w:val="17"/>
          <w:color w:val="auto"/>
        </w:rPr>
        <w:t>The Company recorded an income tax provision of $1,295 and $45 in three months ended March 31, 2021 and 2020 , respectively. The effective tax rates were (25.1%) and (0.2%) in the three months ended March 31, 2021 and 2020 , respectively. The difference between the effective tax rates and the 21% federal statutory rate was primarily due to change in valuation allowance, foreign income taxes provided at lower rates, geographic mix in expected operating results, unrecognized tax benefits, recognition of federal and state research and development credits, windfall tax benefits from stock-based compensation and global intangible low-taxed income (“GILTI”) inclusion.</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000"/>
          </w:cols>
          <w:pgMar w:left="440" w:top="270" w:right="459" w:bottom="1440" w:gutter="0" w:footer="0" w:header="0"/>
        </w:sectPr>
      </w:pPr>
    </w:p>
    <w:bookmarkStart w:id="20" w:name="page21"/>
    <w:bookmarkEnd w:id="20"/>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INPHI CORPORATION</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(Dollars in thousands except share and per share amounts)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40005</wp:posOffset>
            </wp:positionV>
            <wp:extent cx="6995160" cy="825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31"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During the three months ended March 31, 2021, the gross amount of the Company’s unrecognized tax benefits increased approximately $1,273 for tax positions taken during the current year. Substantially all of the unrecognized tax benefits as of March 31, 2021, if recognized, would affect the Company’s effective tax rate.</w:t>
      </w:r>
    </w:p>
    <w:p>
      <w:pPr>
        <w:spacing w:after="0" w:line="184" w:lineRule="exact"/>
        <w:rPr>
          <w:sz w:val="20"/>
          <w:szCs w:val="20"/>
          <w:color w:val="auto"/>
        </w:rPr>
      </w:pPr>
    </w:p>
    <w:p>
      <w:pPr>
        <w:ind w:right="160" w:firstLine="440"/>
        <w:spacing w:after="0" w:line="277" w:lineRule="auto"/>
        <w:rPr>
          <w:sz w:val="20"/>
          <w:szCs w:val="20"/>
          <w:color w:val="auto"/>
        </w:rPr>
      </w:pPr>
      <w:r>
        <w:rPr>
          <w:rFonts w:ascii="Arial" w:cs="Arial" w:eastAsia="Arial" w:hAnsi="Arial"/>
          <w:sz w:val="18"/>
          <w:szCs w:val="18"/>
          <w:color w:val="auto"/>
        </w:rPr>
        <w:t>The Company does not provide for U.S. income taxes on undistributed earnings of its controlled foreign corporations as the Company intends to reinvest these earnings indefinitely outside the U.S.</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13. Earnings Per Share</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7"/>
          <w:szCs w:val="17"/>
          <w:color w:val="auto"/>
        </w:rPr>
        <w:t>The following securities were not included in the computation of diluted earnings per share as inclusion would have been anti-dilutive:</w:t>
      </w:r>
    </w:p>
    <w:p>
      <w:pPr>
        <w:spacing w:after="0" w:line="255" w:lineRule="exact"/>
        <w:rPr>
          <w:sz w:val="20"/>
          <w:szCs w:val="20"/>
          <w:color w:val="auto"/>
        </w:rPr>
      </w:pPr>
    </w:p>
    <w:tbl>
      <w:tblPr>
        <w:tblLayout w:type="fixed"/>
        <w:tblInd w:w="1320" w:type="dxa"/>
        <w:tblCellMar>
          <w:top w:w="0" w:type="dxa"/>
          <w:left w:w="0" w:type="dxa"/>
          <w:bottom w:w="0" w:type="dxa"/>
          <w:right w:w="0" w:type="dxa"/>
        </w:tblCellMar>
      </w:tblPr>
      <w:tr>
        <w:trPr>
          <w:trHeight w:val="171"/>
        </w:trPr>
        <w:tc>
          <w:tcPr>
            <w:tcW w:w="6260" w:type="dxa"/>
            <w:vAlign w:val="bottom"/>
          </w:tcPr>
          <w:p>
            <w:pPr>
              <w:spacing w:after="0"/>
              <w:rPr>
                <w:sz w:val="14"/>
                <w:szCs w:val="14"/>
                <w:color w:val="auto"/>
              </w:rPr>
            </w:pPr>
          </w:p>
        </w:tc>
        <w:tc>
          <w:tcPr>
            <w:tcW w:w="2100" w:type="dxa"/>
            <w:vAlign w:val="bottom"/>
            <w:gridSpan w:val="5"/>
          </w:tcPr>
          <w:p>
            <w:pPr>
              <w:ind w:left="40"/>
              <w:spacing w:after="0"/>
              <w:rPr>
                <w:sz w:val="20"/>
                <w:szCs w:val="20"/>
                <w:color w:val="auto"/>
              </w:rPr>
            </w:pPr>
            <w:r>
              <w:rPr>
                <w:rFonts w:ascii="Arial" w:cs="Arial" w:eastAsia="Arial" w:hAnsi="Arial"/>
                <w:sz w:val="14"/>
                <w:szCs w:val="14"/>
                <w:b w:val="1"/>
                <w:bCs w:val="1"/>
                <w:color w:val="auto"/>
                <w:w w:val="98"/>
              </w:rPr>
              <w:t>Three Months Ended March 31,</w:t>
            </w:r>
          </w:p>
        </w:tc>
      </w:tr>
      <w:tr>
        <w:trPr>
          <w:trHeight w:val="142"/>
        </w:trPr>
        <w:tc>
          <w:tcPr>
            <w:tcW w:w="6260" w:type="dxa"/>
            <w:vAlign w:val="bottom"/>
            <w:tcBorders>
              <w:bottom w:val="single" w:sz="8" w:color="CCEEFF"/>
            </w:tcBorders>
          </w:tcPr>
          <w:p>
            <w:pPr>
              <w:spacing w:after="0"/>
              <w:rPr>
                <w:sz w:val="12"/>
                <w:szCs w:val="12"/>
                <w:color w:val="auto"/>
              </w:rPr>
            </w:pPr>
          </w:p>
        </w:tc>
        <w:tc>
          <w:tcPr>
            <w:tcW w:w="860" w:type="dxa"/>
            <w:vAlign w:val="bottom"/>
            <w:tcBorders>
              <w:top w:val="single" w:sz="8" w:color="auto"/>
              <w:bottom w:val="single" w:sz="8" w:color="auto"/>
            </w:tcBorders>
          </w:tcPr>
          <w:p>
            <w:pPr>
              <w:jc w:val="right"/>
              <w:ind w:right="196"/>
              <w:spacing w:after="0" w:line="142" w:lineRule="exact"/>
              <w:rPr>
                <w:sz w:val="20"/>
                <w:szCs w:val="20"/>
                <w:color w:val="auto"/>
              </w:rPr>
            </w:pPr>
            <w:r>
              <w:rPr>
                <w:rFonts w:ascii="Arial" w:cs="Arial" w:eastAsia="Arial" w:hAnsi="Arial"/>
                <w:sz w:val="14"/>
                <w:szCs w:val="14"/>
                <w:b w:val="1"/>
                <w:bCs w:val="1"/>
                <w:color w:val="auto"/>
              </w:rPr>
              <w:t>2021</w:t>
            </w:r>
          </w:p>
        </w:tc>
        <w:tc>
          <w:tcPr>
            <w:tcW w:w="20" w:type="dxa"/>
            <w:vAlign w:val="bottom"/>
            <w:tcBorders>
              <w:top w:val="single" w:sz="8" w:color="auto"/>
              <w:bottom w:val="single" w:sz="8" w:color="CCEEFF"/>
            </w:tcBorders>
          </w:tcPr>
          <w:p>
            <w:pPr>
              <w:spacing w:after="0"/>
              <w:rPr>
                <w:sz w:val="12"/>
                <w:szCs w:val="12"/>
                <w:color w:val="auto"/>
              </w:rPr>
            </w:pPr>
          </w:p>
        </w:tc>
        <w:tc>
          <w:tcPr>
            <w:tcW w:w="180" w:type="dxa"/>
            <w:vAlign w:val="bottom"/>
            <w:tcBorders>
              <w:top w:val="single" w:sz="8" w:color="auto"/>
              <w:bottom w:val="single" w:sz="8" w:color="CCEEFF"/>
            </w:tcBorders>
          </w:tcPr>
          <w:p>
            <w:pPr>
              <w:spacing w:after="0"/>
              <w:rPr>
                <w:sz w:val="12"/>
                <w:szCs w:val="12"/>
                <w:color w:val="auto"/>
              </w:rPr>
            </w:pPr>
          </w:p>
        </w:tc>
        <w:tc>
          <w:tcPr>
            <w:tcW w:w="1000" w:type="dxa"/>
            <w:vAlign w:val="bottom"/>
            <w:tcBorders>
              <w:top w:val="single" w:sz="8" w:color="auto"/>
              <w:bottom w:val="single" w:sz="8" w:color="auto"/>
            </w:tcBorders>
          </w:tcPr>
          <w:p>
            <w:pPr>
              <w:jc w:val="right"/>
              <w:ind w:right="274"/>
              <w:spacing w:after="0" w:line="142" w:lineRule="exact"/>
              <w:rPr>
                <w:sz w:val="20"/>
                <w:szCs w:val="20"/>
                <w:color w:val="auto"/>
              </w:rPr>
            </w:pPr>
            <w:r>
              <w:rPr>
                <w:rFonts w:ascii="Arial" w:cs="Arial" w:eastAsia="Arial" w:hAnsi="Arial"/>
                <w:sz w:val="14"/>
                <w:szCs w:val="14"/>
                <w:b w:val="1"/>
                <w:bCs w:val="1"/>
                <w:color w:val="auto"/>
              </w:rPr>
              <w:t>2020</w:t>
            </w:r>
          </w:p>
        </w:tc>
        <w:tc>
          <w:tcPr>
            <w:tcW w:w="40" w:type="dxa"/>
            <w:vAlign w:val="bottom"/>
            <w:tcBorders>
              <w:bottom w:val="single" w:sz="8" w:color="CCEEFF"/>
            </w:tcBorders>
          </w:tcPr>
          <w:p>
            <w:pPr>
              <w:spacing w:after="0"/>
              <w:rPr>
                <w:sz w:val="12"/>
                <w:szCs w:val="12"/>
                <w:color w:val="auto"/>
              </w:rPr>
            </w:pPr>
          </w:p>
        </w:tc>
      </w:tr>
      <w:tr>
        <w:trPr>
          <w:trHeight w:val="210"/>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Common stock options</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85,574</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856,865</w:t>
            </w:r>
          </w:p>
        </w:tc>
        <w:tc>
          <w:tcPr>
            <w:tcW w:w="40" w:type="dxa"/>
            <w:vAlign w:val="bottom"/>
            <w:shd w:val="clear" w:color="auto" w:fill="CCEEFF"/>
          </w:tcPr>
          <w:p>
            <w:pPr>
              <w:spacing w:after="0"/>
              <w:rPr>
                <w:sz w:val="18"/>
                <w:szCs w:val="18"/>
                <w:color w:val="auto"/>
              </w:rPr>
            </w:pPr>
          </w:p>
        </w:tc>
      </w:tr>
      <w:tr>
        <w:trPr>
          <w:trHeight w:val="216"/>
        </w:trPr>
        <w:tc>
          <w:tcPr>
            <w:tcW w:w="6260" w:type="dxa"/>
            <w:vAlign w:val="bottom"/>
          </w:tcPr>
          <w:p>
            <w:pPr>
              <w:spacing w:after="0"/>
              <w:rPr>
                <w:sz w:val="20"/>
                <w:szCs w:val="20"/>
                <w:color w:val="auto"/>
              </w:rPr>
            </w:pPr>
            <w:r>
              <w:rPr>
                <w:rFonts w:ascii="Arial" w:cs="Arial" w:eastAsia="Arial" w:hAnsi="Arial"/>
                <w:sz w:val="18"/>
                <w:szCs w:val="18"/>
                <w:color w:val="auto"/>
              </w:rPr>
              <w:t>Unvested restricted stock units and market value stock units</w:t>
            </w: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2,582,379</w:t>
            </w:r>
          </w:p>
        </w:tc>
        <w:tc>
          <w:tcPr>
            <w:tcW w:w="180" w:type="dxa"/>
            <w:vAlign w:val="bottom"/>
          </w:tcPr>
          <w:p>
            <w:pPr>
              <w:spacing w:after="0"/>
              <w:rPr>
                <w:sz w:val="18"/>
                <w:szCs w:val="18"/>
                <w:color w:val="auto"/>
              </w:rPr>
            </w:pPr>
          </w:p>
        </w:tc>
        <w:tc>
          <w:tcPr>
            <w:tcW w:w="1040" w:type="dxa"/>
            <w:vAlign w:val="bottom"/>
            <w:gridSpan w:val="2"/>
          </w:tcPr>
          <w:p>
            <w:pPr>
              <w:jc w:val="right"/>
              <w:ind w:right="40"/>
              <w:spacing w:after="0"/>
              <w:rPr>
                <w:sz w:val="20"/>
                <w:szCs w:val="20"/>
                <w:color w:val="auto"/>
              </w:rPr>
            </w:pPr>
            <w:r>
              <w:rPr>
                <w:rFonts w:ascii="Arial" w:cs="Arial" w:eastAsia="Arial" w:hAnsi="Arial"/>
                <w:sz w:val="18"/>
                <w:szCs w:val="18"/>
                <w:color w:val="auto"/>
              </w:rPr>
              <w:t>2,921,835</w:t>
            </w:r>
          </w:p>
        </w:tc>
      </w:tr>
      <w:tr>
        <w:trPr>
          <w:trHeight w:val="216"/>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Convertible debt</w:t>
            </w:r>
          </w:p>
        </w:tc>
        <w:tc>
          <w:tcPr>
            <w:tcW w:w="8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4,846,322</w:t>
            </w:r>
          </w:p>
        </w:tc>
        <w:tc>
          <w:tcPr>
            <w:tcW w:w="1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10,830,038</w:t>
            </w:r>
          </w:p>
        </w:tc>
      </w:tr>
      <w:tr>
        <w:trPr>
          <w:trHeight w:val="223"/>
        </w:trPr>
        <w:tc>
          <w:tcPr>
            <w:tcW w:w="6260" w:type="dxa"/>
            <w:vAlign w:val="bottom"/>
          </w:tcPr>
          <w:p>
            <w:pPr>
              <w:spacing w:after="0"/>
              <w:rPr>
                <w:sz w:val="19"/>
                <w:szCs w:val="19"/>
                <w:color w:val="auto"/>
              </w:rPr>
            </w:pP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7,514,275</w:t>
            </w:r>
          </w:p>
        </w:tc>
        <w:tc>
          <w:tcPr>
            <w:tcW w:w="20" w:type="dxa"/>
            <w:vAlign w:val="bottom"/>
            <w:tcBorders>
              <w:bottom w:val="single" w:sz="8" w:color="auto"/>
            </w:tcBorders>
          </w:tcPr>
          <w:p>
            <w:pPr>
              <w:spacing w:after="0"/>
              <w:rPr>
                <w:sz w:val="19"/>
                <w:szCs w:val="19"/>
                <w:color w:val="auto"/>
              </w:rPr>
            </w:pPr>
          </w:p>
        </w:tc>
        <w:tc>
          <w:tcPr>
            <w:tcW w:w="180" w:type="dxa"/>
            <w:vAlign w:val="bottom"/>
          </w:tcPr>
          <w:p>
            <w:pPr>
              <w:spacing w:after="0"/>
              <w:rPr>
                <w:sz w:val="19"/>
                <w:szCs w:val="19"/>
                <w:color w:val="auto"/>
              </w:rPr>
            </w:pP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14,608,738</w:t>
            </w:r>
          </w:p>
        </w:tc>
        <w:tc>
          <w:tcPr>
            <w:tcW w:w="40" w:type="dxa"/>
            <w:vAlign w:val="bottom"/>
          </w:tcPr>
          <w:p>
            <w:pPr>
              <w:spacing w:after="0"/>
              <w:rPr>
                <w:sz w:val="19"/>
                <w:szCs w:val="19"/>
                <w:color w:val="auto"/>
              </w:rPr>
            </w:pPr>
          </w:p>
        </w:tc>
      </w:tr>
      <w:tr>
        <w:trPr>
          <w:trHeight w:val="20"/>
        </w:trPr>
        <w:tc>
          <w:tcPr>
            <w:tcW w:w="6260" w:type="dxa"/>
            <w:vAlign w:val="bottom"/>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3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14. Stock–Based Compensation</w:t>
      </w:r>
    </w:p>
    <w:p>
      <w:pPr>
        <w:spacing w:after="0" w:line="121" w:lineRule="exact"/>
        <w:rPr>
          <w:sz w:val="20"/>
          <w:szCs w:val="20"/>
          <w:color w:val="auto"/>
        </w:rPr>
      </w:pPr>
    </w:p>
    <w:p>
      <w:pPr>
        <w:ind w:right="60" w:firstLine="440"/>
        <w:spacing w:after="0" w:line="254" w:lineRule="auto"/>
        <w:rPr>
          <w:sz w:val="20"/>
          <w:szCs w:val="20"/>
          <w:color w:val="auto"/>
        </w:rPr>
      </w:pPr>
      <w:r>
        <w:rPr>
          <w:rFonts w:ascii="Arial" w:cs="Arial" w:eastAsia="Arial" w:hAnsi="Arial"/>
          <w:sz w:val="18"/>
          <w:szCs w:val="18"/>
          <w:color w:val="auto"/>
        </w:rPr>
        <w:t>In June 2010, the Company’s Board of Directors (the “Board”) adopted the Company’s 2010 Stock Incentive Plan, which was amended and restated in July 2017 (the “2010 Plan”). The 2010 Plan provides for the grants of restricted stock, stock appreciation rights and stock unit awards to employees, non-employee directors, advisors and consultants. The compensation committee of the Board administers the 2010 Plan, including the determination of the recipient of an award, the number of shares subject to each award, whether an option is to be classified as an incentive stock option or nonstatutory option, and the terms and conditions of each award, including the exercise and purchase prices and the vesting or duration of the award. Options granted under the 2010 Plan are exercisable only upon vesting. At March 31, 2021, 4,612,339 shares of common stock have been reserved for future grants under the 2010 Plan.</w:t>
      </w:r>
    </w:p>
    <w:p>
      <w:pPr>
        <w:spacing w:after="0" w:line="30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Stock Option Awards</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Company did not grant any stock options during the three months ended March 31, 2021 and 2020.</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table summarizes information regarding options outstanding:</w:t>
      </w:r>
    </w:p>
    <w:p>
      <w:pPr>
        <w:spacing w:after="0" w:line="231" w:lineRule="exact"/>
        <w:rPr>
          <w:sz w:val="20"/>
          <w:szCs w:val="20"/>
          <w:color w:val="auto"/>
        </w:rPr>
      </w:pPr>
    </w:p>
    <w:tbl>
      <w:tblPr>
        <w:tblLayout w:type="fixed"/>
        <w:tblInd w:w="4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9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10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Weighted</w:t>
            </w:r>
          </w:p>
        </w:tc>
        <w:tc>
          <w:tcPr>
            <w:tcW w:w="1260" w:type="dxa"/>
            <w:vAlign w:val="bottom"/>
            <w:gridSpan w:val="2"/>
          </w:tcPr>
          <w:p>
            <w:pPr>
              <w:jc w:val="center"/>
              <w:ind w:right="500"/>
              <w:spacing w:after="0"/>
              <w:rPr>
                <w:sz w:val="20"/>
                <w:szCs w:val="20"/>
                <w:color w:val="auto"/>
              </w:rPr>
            </w:pPr>
            <w:r>
              <w:rPr>
                <w:rFonts w:ascii="Arial" w:cs="Arial" w:eastAsia="Arial" w:hAnsi="Arial"/>
                <w:sz w:val="14"/>
                <w:szCs w:val="14"/>
                <w:b w:val="1"/>
                <w:bCs w:val="1"/>
                <w:color w:val="auto"/>
                <w:w w:val="95"/>
              </w:rPr>
              <w:t>Weighted</w:t>
            </w:r>
          </w:p>
        </w:tc>
        <w:tc>
          <w:tcPr>
            <w:tcW w:w="6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59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100" w:type="dxa"/>
            <w:vAlign w:val="bottom"/>
            <w:gridSpan w:val="3"/>
            <w:vMerge w:val="continue"/>
          </w:tcPr>
          <w:p>
            <w:pPr>
              <w:spacing w:after="0"/>
              <w:rPr>
                <w:sz w:val="12"/>
                <w:szCs w:val="12"/>
                <w:color w:val="auto"/>
              </w:rPr>
            </w:pPr>
          </w:p>
        </w:tc>
        <w:tc>
          <w:tcPr>
            <w:tcW w:w="126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90"/>
              </w:rPr>
              <w:t>Average</w:t>
            </w:r>
          </w:p>
        </w:tc>
        <w:tc>
          <w:tcPr>
            <w:tcW w:w="68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w w:val="89"/>
              </w:rPr>
              <w:t>Aggregate</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5920" w:type="dxa"/>
            <w:vAlign w:val="bottom"/>
          </w:tcPr>
          <w:p>
            <w:pPr>
              <w:spacing w:after="0"/>
              <w:rPr>
                <w:sz w:val="12"/>
                <w:szCs w:val="12"/>
                <w:color w:val="auto"/>
              </w:rPr>
            </w:pPr>
          </w:p>
        </w:tc>
        <w:tc>
          <w:tcPr>
            <w:tcW w:w="1140" w:type="dxa"/>
            <w:vAlign w:val="bottom"/>
            <w:gridSpan w:val="2"/>
            <w:vMerge w:val="restart"/>
          </w:tcPr>
          <w:p>
            <w:pPr>
              <w:jc w:val="right"/>
              <w:ind w:right="460"/>
              <w:spacing w:after="0"/>
              <w:rPr>
                <w:sz w:val="20"/>
                <w:szCs w:val="20"/>
                <w:color w:val="auto"/>
              </w:rPr>
            </w:pPr>
            <w:r>
              <w:rPr>
                <w:rFonts w:ascii="Arial" w:cs="Arial" w:eastAsia="Arial" w:hAnsi="Arial"/>
                <w:sz w:val="14"/>
                <w:szCs w:val="14"/>
                <w:b w:val="1"/>
                <w:bCs w:val="1"/>
                <w:color w:val="auto"/>
                <w:w w:val="94"/>
              </w:rPr>
              <w:t>Number of</w:t>
            </w:r>
          </w:p>
        </w:tc>
        <w:tc>
          <w:tcPr>
            <w:tcW w:w="1100" w:type="dxa"/>
            <w:vAlign w:val="bottom"/>
            <w:gridSpan w:val="3"/>
          </w:tcPr>
          <w:p>
            <w:pPr>
              <w:jc w:val="center"/>
              <w:ind w:right="480"/>
              <w:spacing w:after="0" w:line="149" w:lineRule="exact"/>
              <w:rPr>
                <w:sz w:val="20"/>
                <w:szCs w:val="20"/>
                <w:color w:val="auto"/>
              </w:rPr>
            </w:pPr>
            <w:r>
              <w:rPr>
                <w:rFonts w:ascii="Arial" w:cs="Arial" w:eastAsia="Arial" w:hAnsi="Arial"/>
                <w:sz w:val="14"/>
                <w:szCs w:val="14"/>
                <w:b w:val="1"/>
                <w:bCs w:val="1"/>
                <w:color w:val="auto"/>
                <w:w w:val="90"/>
              </w:rPr>
              <w:t>Average</w:t>
            </w:r>
          </w:p>
        </w:tc>
        <w:tc>
          <w:tcPr>
            <w:tcW w:w="126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94"/>
              </w:rPr>
              <w:t>Remaining</w:t>
            </w:r>
          </w:p>
        </w:tc>
        <w:tc>
          <w:tcPr>
            <w:tcW w:w="68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920" w:type="dxa"/>
            <w:vAlign w:val="bottom"/>
          </w:tcPr>
          <w:p>
            <w:pPr>
              <w:spacing w:after="0"/>
              <w:rPr>
                <w:sz w:val="12"/>
                <w:szCs w:val="12"/>
                <w:color w:val="auto"/>
              </w:rPr>
            </w:pPr>
          </w:p>
        </w:tc>
        <w:tc>
          <w:tcPr>
            <w:tcW w:w="1140" w:type="dxa"/>
            <w:vAlign w:val="bottom"/>
            <w:gridSpan w:val="2"/>
            <w:vMerge w:val="continue"/>
          </w:tcPr>
          <w:p>
            <w:pPr>
              <w:spacing w:after="0"/>
              <w:rPr>
                <w:sz w:val="12"/>
                <w:szCs w:val="12"/>
                <w:color w:val="auto"/>
              </w:rPr>
            </w:pPr>
          </w:p>
        </w:tc>
        <w:tc>
          <w:tcPr>
            <w:tcW w:w="1100" w:type="dxa"/>
            <w:vAlign w:val="bottom"/>
            <w:gridSpan w:val="3"/>
          </w:tcPr>
          <w:p>
            <w:pPr>
              <w:jc w:val="center"/>
              <w:ind w:right="500"/>
              <w:spacing w:after="0" w:line="149" w:lineRule="exact"/>
              <w:rPr>
                <w:sz w:val="20"/>
                <w:szCs w:val="20"/>
                <w:color w:val="auto"/>
              </w:rPr>
            </w:pPr>
            <w:r>
              <w:rPr>
                <w:rFonts w:ascii="Arial" w:cs="Arial" w:eastAsia="Arial" w:hAnsi="Arial"/>
                <w:sz w:val="14"/>
                <w:szCs w:val="14"/>
                <w:b w:val="1"/>
                <w:bCs w:val="1"/>
                <w:color w:val="auto"/>
                <w:w w:val="90"/>
              </w:rPr>
              <w:t>Exercise</w:t>
            </w:r>
          </w:p>
        </w:tc>
        <w:tc>
          <w:tcPr>
            <w:tcW w:w="126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97"/>
              </w:rPr>
              <w:t>Contractual</w:t>
            </w:r>
          </w:p>
        </w:tc>
        <w:tc>
          <w:tcPr>
            <w:tcW w:w="68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5"/>
              </w:rPr>
              <w:t>Intrinsic</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920" w:type="dxa"/>
            <w:vAlign w:val="bottom"/>
          </w:tcPr>
          <w:p>
            <w:pPr>
              <w:spacing w:after="0"/>
              <w:rPr>
                <w:sz w:val="14"/>
                <w:szCs w:val="14"/>
                <w:color w:val="auto"/>
              </w:rPr>
            </w:pPr>
          </w:p>
        </w:tc>
        <w:tc>
          <w:tcPr>
            <w:tcW w:w="114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rPr>
              <w:t>Shares</w:t>
            </w:r>
          </w:p>
        </w:tc>
        <w:tc>
          <w:tcPr>
            <w:tcW w:w="120" w:type="dxa"/>
            <w:vAlign w:val="bottom"/>
          </w:tcPr>
          <w:p>
            <w:pPr>
              <w:spacing w:after="0"/>
              <w:rPr>
                <w:sz w:val="14"/>
                <w:szCs w:val="14"/>
                <w:color w:val="auto"/>
              </w:rPr>
            </w:pPr>
          </w:p>
        </w:tc>
        <w:tc>
          <w:tcPr>
            <w:tcW w:w="980" w:type="dxa"/>
            <w:vAlign w:val="bottom"/>
            <w:gridSpan w:val="2"/>
          </w:tcPr>
          <w:p>
            <w:pPr>
              <w:jc w:val="center"/>
              <w:ind w:right="620"/>
              <w:spacing w:after="0"/>
              <w:rPr>
                <w:sz w:val="20"/>
                <w:szCs w:val="20"/>
                <w:color w:val="auto"/>
              </w:rPr>
            </w:pPr>
            <w:r>
              <w:rPr>
                <w:rFonts w:ascii="Arial" w:cs="Arial" w:eastAsia="Arial" w:hAnsi="Arial"/>
                <w:sz w:val="14"/>
                <w:szCs w:val="14"/>
                <w:b w:val="1"/>
                <w:bCs w:val="1"/>
                <w:color w:val="auto"/>
                <w:w w:val="93"/>
              </w:rPr>
              <w:t>Price</w:t>
            </w:r>
          </w:p>
        </w:tc>
        <w:tc>
          <w:tcPr>
            <w:tcW w:w="1260" w:type="dxa"/>
            <w:vAlign w:val="bottom"/>
            <w:gridSpan w:val="2"/>
          </w:tcPr>
          <w:p>
            <w:pPr>
              <w:jc w:val="center"/>
              <w:ind w:right="500"/>
              <w:spacing w:after="0"/>
              <w:rPr>
                <w:sz w:val="20"/>
                <w:szCs w:val="20"/>
                <w:color w:val="auto"/>
              </w:rPr>
            </w:pPr>
            <w:r>
              <w:rPr>
                <w:rFonts w:ascii="Arial" w:cs="Arial" w:eastAsia="Arial" w:hAnsi="Arial"/>
                <w:sz w:val="14"/>
                <w:szCs w:val="14"/>
                <w:b w:val="1"/>
                <w:bCs w:val="1"/>
                <w:color w:val="auto"/>
                <w:w w:val="94"/>
              </w:rPr>
              <w:t>Life (Years)</w:t>
            </w:r>
          </w:p>
        </w:tc>
        <w:tc>
          <w:tcPr>
            <w:tcW w:w="6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0"/>
              </w:rPr>
              <w:t>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9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b w:val="1"/>
                <w:bCs w:val="1"/>
                <w:color w:val="auto"/>
              </w:rPr>
              <w:t>Outstanding at December 31, 2020</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92,431</w:t>
            </w:r>
          </w:p>
        </w:tc>
        <w:tc>
          <w:tcPr>
            <w:tcW w:w="4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4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12.89</w:t>
            </w:r>
          </w:p>
        </w:tc>
        <w:tc>
          <w:tcPr>
            <w:tcW w:w="500" w:type="dxa"/>
            <w:vAlign w:val="bottom"/>
            <w:tcBorders>
              <w:top w:val="single" w:sz="8" w:color="CCEEFF"/>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1.08</w:t>
            </w:r>
          </w:p>
        </w:tc>
        <w:tc>
          <w:tcPr>
            <w:tcW w:w="50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$ 13,641</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920" w:type="dxa"/>
            <w:vAlign w:val="bottom"/>
          </w:tcPr>
          <w:p>
            <w:pPr>
              <w:spacing w:after="0"/>
              <w:rPr>
                <w:sz w:val="20"/>
                <w:szCs w:val="20"/>
                <w:color w:val="auto"/>
              </w:rPr>
            </w:pPr>
            <w:r>
              <w:rPr>
                <w:rFonts w:ascii="Arial" w:cs="Arial" w:eastAsia="Arial" w:hAnsi="Arial"/>
                <w:sz w:val="18"/>
                <w:szCs w:val="18"/>
                <w:color w:val="auto"/>
              </w:rPr>
              <w:t>Exercised</w:t>
            </w:r>
          </w:p>
        </w:tc>
        <w:tc>
          <w:tcPr>
            <w:tcW w:w="1140" w:type="dxa"/>
            <w:vAlign w:val="bottom"/>
            <w:gridSpan w:val="2"/>
          </w:tcPr>
          <w:p>
            <w:pPr>
              <w:jc w:val="right"/>
              <w:ind w:right="400"/>
              <w:spacing w:after="0"/>
              <w:rPr>
                <w:sz w:val="20"/>
                <w:szCs w:val="20"/>
                <w:color w:val="auto"/>
              </w:rPr>
            </w:pPr>
            <w:r>
              <w:rPr>
                <w:rFonts w:ascii="Arial" w:cs="Arial" w:eastAsia="Arial" w:hAnsi="Arial"/>
                <w:sz w:val="18"/>
                <w:szCs w:val="18"/>
                <w:color w:val="auto"/>
              </w:rPr>
              <w:t>(22,515)</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980" w:type="dxa"/>
            <w:vAlign w:val="bottom"/>
            <w:gridSpan w:val="2"/>
          </w:tcPr>
          <w:p>
            <w:pPr>
              <w:jc w:val="right"/>
              <w:ind w:right="500"/>
              <w:spacing w:after="0"/>
              <w:rPr>
                <w:sz w:val="20"/>
                <w:szCs w:val="20"/>
                <w:color w:val="auto"/>
              </w:rPr>
            </w:pPr>
            <w:r>
              <w:rPr>
                <w:rFonts w:ascii="Arial" w:cs="Arial" w:eastAsia="Arial" w:hAnsi="Arial"/>
                <w:sz w:val="18"/>
                <w:szCs w:val="18"/>
                <w:color w:val="auto"/>
              </w:rPr>
              <w:t>15.74</w:t>
            </w:r>
          </w:p>
        </w:tc>
        <w:tc>
          <w:tcPr>
            <w:tcW w:w="7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20" w:type="dxa"/>
            <w:vAlign w:val="bottom"/>
            <w:shd w:val="clear" w:color="auto" w:fill="CCEEFF"/>
          </w:tcPr>
          <w:p>
            <w:pPr>
              <w:spacing w:after="0"/>
              <w:rPr>
                <w:sz w:val="20"/>
                <w:szCs w:val="20"/>
                <w:color w:val="auto"/>
              </w:rPr>
            </w:pPr>
            <w:r>
              <w:rPr>
                <w:rFonts w:ascii="Arial" w:cs="Arial" w:eastAsia="Arial" w:hAnsi="Arial"/>
                <w:sz w:val="18"/>
                <w:szCs w:val="18"/>
                <w:color w:val="auto"/>
              </w:rPr>
              <w:t>Outstanding at March 31, 2021</w:t>
            </w: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69,916</w:t>
            </w: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9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11.98</w:t>
            </w:r>
          </w:p>
        </w:tc>
        <w:tc>
          <w:tcPr>
            <w:tcW w:w="126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0.97</w:t>
            </w:r>
          </w:p>
        </w:tc>
        <w:tc>
          <w:tcPr>
            <w:tcW w:w="680" w:type="dxa"/>
            <w:vAlign w:val="bottom"/>
            <w:gridSpan w:val="2"/>
            <w:shd w:val="clear" w:color="auto" w:fill="CCEEFF"/>
          </w:tcPr>
          <w:p>
            <w:pPr>
              <w:jc w:val="center"/>
              <w:ind w:right="40"/>
              <w:spacing w:after="0"/>
              <w:rPr>
                <w:sz w:val="20"/>
                <w:szCs w:val="20"/>
                <w:color w:val="auto"/>
              </w:rPr>
            </w:pPr>
            <w:r>
              <w:rPr>
                <w:rFonts w:ascii="Arial" w:cs="Arial" w:eastAsia="Arial" w:hAnsi="Arial"/>
                <w:sz w:val="18"/>
                <w:szCs w:val="18"/>
                <w:color w:val="auto"/>
                <w:w w:val="91"/>
              </w:rPr>
              <w:t>$ 11,636</w:t>
            </w:r>
          </w:p>
        </w:tc>
        <w:tc>
          <w:tcPr>
            <w:tcW w:w="0" w:type="dxa"/>
            <w:vAlign w:val="bottom"/>
          </w:tcPr>
          <w:p>
            <w:pPr>
              <w:spacing w:after="0"/>
              <w:rPr>
                <w:sz w:val="1"/>
                <w:szCs w:val="1"/>
                <w:color w:val="auto"/>
              </w:rPr>
            </w:pPr>
          </w:p>
        </w:tc>
      </w:tr>
      <w:tr>
        <w:trPr>
          <w:trHeight w:val="20"/>
        </w:trPr>
        <w:tc>
          <w:tcPr>
            <w:tcW w:w="594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Vested and Exercisable at March 31, 2021</w:t>
            </w:r>
          </w:p>
        </w:tc>
        <w:tc>
          <w:tcPr>
            <w:tcW w:w="1140" w:type="dxa"/>
            <w:vAlign w:val="bottom"/>
            <w:gridSpan w:val="2"/>
          </w:tcPr>
          <w:p>
            <w:pPr>
              <w:spacing w:after="0" w:line="20" w:lineRule="exact"/>
              <w:rPr>
                <w:sz w:val="1"/>
                <w:szCs w:val="1"/>
                <w:color w:val="auto"/>
              </w:rPr>
            </w:pPr>
          </w:p>
        </w:tc>
        <w:tc>
          <w:tcPr>
            <w:tcW w:w="120" w:type="dxa"/>
            <w:vAlign w:val="bottom"/>
            <w:vMerge w:val="restart"/>
          </w:tcPr>
          <w:p>
            <w:pPr>
              <w:spacing w:after="0"/>
              <w:rPr>
                <w:sz w:val="20"/>
                <w:szCs w:val="20"/>
                <w:color w:val="auto"/>
              </w:rPr>
            </w:pPr>
            <w:r>
              <w:rPr>
                <w:rFonts w:ascii="Arial" w:cs="Arial" w:eastAsia="Arial" w:hAnsi="Arial"/>
                <w:sz w:val="18"/>
                <w:szCs w:val="18"/>
                <w:color w:val="auto"/>
                <w:w w:val="99"/>
              </w:rPr>
              <w:t>$</w:t>
            </w:r>
          </w:p>
        </w:tc>
        <w:tc>
          <w:tcPr>
            <w:tcW w:w="980" w:type="dxa"/>
            <w:vAlign w:val="bottom"/>
            <w:gridSpan w:val="2"/>
            <w:vMerge w:val="restart"/>
          </w:tcPr>
          <w:p>
            <w:pPr>
              <w:jc w:val="right"/>
              <w:ind w:right="500"/>
              <w:spacing w:after="0"/>
              <w:rPr>
                <w:sz w:val="20"/>
                <w:szCs w:val="20"/>
                <w:color w:val="auto"/>
              </w:rPr>
            </w:pPr>
            <w:r>
              <w:rPr>
                <w:rFonts w:ascii="Arial" w:cs="Arial" w:eastAsia="Arial" w:hAnsi="Arial"/>
                <w:sz w:val="18"/>
                <w:szCs w:val="18"/>
                <w:color w:val="auto"/>
              </w:rPr>
              <w:t>11.98</w:t>
            </w:r>
          </w:p>
        </w:tc>
        <w:tc>
          <w:tcPr>
            <w:tcW w:w="1260" w:type="dxa"/>
            <w:vAlign w:val="bottom"/>
            <w:gridSpan w:val="2"/>
            <w:vMerge w:val="restart"/>
          </w:tcPr>
          <w:p>
            <w:pPr>
              <w:jc w:val="right"/>
              <w:ind w:right="500"/>
              <w:spacing w:after="0"/>
              <w:rPr>
                <w:sz w:val="20"/>
                <w:szCs w:val="20"/>
                <w:color w:val="auto"/>
              </w:rPr>
            </w:pPr>
            <w:r>
              <w:rPr>
                <w:rFonts w:ascii="Arial" w:cs="Arial" w:eastAsia="Arial" w:hAnsi="Arial"/>
                <w:sz w:val="18"/>
                <w:szCs w:val="18"/>
                <w:color w:val="auto"/>
              </w:rPr>
              <w:t>0.97</w:t>
            </w:r>
          </w:p>
        </w:tc>
        <w:tc>
          <w:tcPr>
            <w:tcW w:w="680" w:type="dxa"/>
            <w:vAlign w:val="bottom"/>
            <w:gridSpan w:val="2"/>
            <w:vMerge w:val="restart"/>
          </w:tcPr>
          <w:p>
            <w:pPr>
              <w:jc w:val="center"/>
              <w:ind w:right="40"/>
              <w:spacing w:after="0"/>
              <w:rPr>
                <w:sz w:val="20"/>
                <w:szCs w:val="20"/>
                <w:color w:val="auto"/>
              </w:rPr>
            </w:pPr>
            <w:r>
              <w:rPr>
                <w:rFonts w:ascii="Arial" w:cs="Arial" w:eastAsia="Arial" w:hAnsi="Arial"/>
                <w:sz w:val="18"/>
                <w:szCs w:val="18"/>
                <w:color w:val="auto"/>
                <w:w w:val="91"/>
              </w:rPr>
              <w:t>$ 11,636</w:t>
            </w:r>
          </w:p>
        </w:tc>
        <w:tc>
          <w:tcPr>
            <w:tcW w:w="0" w:type="dxa"/>
            <w:vAlign w:val="bottom"/>
          </w:tcPr>
          <w:p>
            <w:pPr>
              <w:spacing w:after="0" w:line="20" w:lineRule="exact"/>
              <w:rPr>
                <w:sz w:val="1"/>
                <w:szCs w:val="1"/>
                <w:color w:val="auto"/>
              </w:rPr>
            </w:pPr>
          </w:p>
        </w:tc>
      </w:tr>
      <w:tr>
        <w:trPr>
          <w:trHeight w:val="211"/>
        </w:trPr>
        <w:tc>
          <w:tcPr>
            <w:tcW w:w="5940" w:type="dxa"/>
            <w:vAlign w:val="bottom"/>
            <w:gridSpan w:val="2"/>
            <w:vMerge w:val="continue"/>
          </w:tcPr>
          <w:p>
            <w:pPr>
              <w:spacing w:after="0"/>
              <w:rPr>
                <w:sz w:val="18"/>
                <w:szCs w:val="18"/>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69,916</w:t>
            </w:r>
          </w:p>
        </w:tc>
        <w:tc>
          <w:tcPr>
            <w:tcW w:w="460" w:type="dxa"/>
            <w:vAlign w:val="bottom"/>
          </w:tcPr>
          <w:p>
            <w:pPr>
              <w:spacing w:after="0"/>
              <w:rPr>
                <w:sz w:val="18"/>
                <w:szCs w:val="18"/>
                <w:color w:val="auto"/>
              </w:rPr>
            </w:pPr>
          </w:p>
        </w:tc>
        <w:tc>
          <w:tcPr>
            <w:tcW w:w="120" w:type="dxa"/>
            <w:vAlign w:val="bottom"/>
            <w:vMerge w:val="continue"/>
          </w:tcPr>
          <w:p>
            <w:pPr>
              <w:spacing w:after="0"/>
              <w:rPr>
                <w:sz w:val="18"/>
                <w:szCs w:val="18"/>
                <w:color w:val="auto"/>
              </w:rPr>
            </w:pPr>
          </w:p>
        </w:tc>
        <w:tc>
          <w:tcPr>
            <w:tcW w:w="980" w:type="dxa"/>
            <w:vAlign w:val="bottom"/>
            <w:gridSpan w:val="2"/>
            <w:vMerge w:val="continue"/>
          </w:tcPr>
          <w:p>
            <w:pPr>
              <w:spacing w:after="0"/>
              <w:rPr>
                <w:sz w:val="18"/>
                <w:szCs w:val="18"/>
                <w:color w:val="auto"/>
              </w:rPr>
            </w:pPr>
          </w:p>
        </w:tc>
        <w:tc>
          <w:tcPr>
            <w:tcW w:w="1260" w:type="dxa"/>
            <w:vAlign w:val="bottom"/>
            <w:gridSpan w:val="2"/>
            <w:vMerge w:val="continue"/>
          </w:tcPr>
          <w:p>
            <w:pPr>
              <w:spacing w:after="0"/>
              <w:rPr>
                <w:sz w:val="18"/>
                <w:szCs w:val="18"/>
                <w:color w:val="auto"/>
              </w:rPr>
            </w:pPr>
          </w:p>
        </w:tc>
        <w:tc>
          <w:tcPr>
            <w:tcW w:w="680" w:type="dxa"/>
            <w:vAlign w:val="bottom"/>
            <w:gridSpan w:val="2"/>
            <w:vMerge w:val="continue"/>
          </w:tcPr>
          <w:p>
            <w:pPr>
              <w:spacing w:after="0"/>
              <w:rPr>
                <w:sz w:val="18"/>
                <w:szCs w:val="18"/>
                <w:color w:val="auto"/>
              </w:rPr>
            </w:pPr>
          </w:p>
        </w:tc>
        <w:tc>
          <w:tcPr>
            <w:tcW w:w="0" w:type="dxa"/>
            <w:vAlign w:val="bottom"/>
          </w:tcPr>
          <w:p>
            <w:pPr>
              <w:spacing w:after="0"/>
              <w:rPr>
                <w:sz w:val="1"/>
                <w:szCs w:val="1"/>
                <w:color w:val="auto"/>
              </w:rPr>
            </w:pPr>
          </w:p>
        </w:tc>
      </w:tr>
    </w:tbl>
    <w:p>
      <w:pPr>
        <w:spacing w:after="0" w:line="201" w:lineRule="exact"/>
        <w:rPr>
          <w:sz w:val="20"/>
          <w:szCs w:val="20"/>
          <w:color w:val="auto"/>
        </w:rPr>
      </w:pPr>
    </w:p>
    <w:p>
      <w:pPr>
        <w:jc w:val="both"/>
        <w:ind w:right="140" w:firstLine="440"/>
        <w:spacing w:after="0" w:line="277" w:lineRule="auto"/>
        <w:rPr>
          <w:sz w:val="20"/>
          <w:szCs w:val="20"/>
          <w:color w:val="auto"/>
        </w:rPr>
      </w:pPr>
      <w:r>
        <w:rPr>
          <w:rFonts w:ascii="Arial" w:cs="Arial" w:eastAsia="Arial" w:hAnsi="Arial"/>
          <w:sz w:val="18"/>
          <w:szCs w:val="18"/>
          <w:color w:val="auto"/>
        </w:rPr>
        <w:t>The intrinsic value of options outstanding, exercisable and vested and expected to vest is calculated based on the difference between the exercise price and the fair value of the Company’s common stock as of the respective balance sheet dates.</w:t>
      </w:r>
    </w:p>
    <w:p>
      <w:pPr>
        <w:spacing w:after="0" w:line="170" w:lineRule="exact"/>
        <w:rPr>
          <w:sz w:val="20"/>
          <w:szCs w:val="20"/>
          <w:color w:val="auto"/>
        </w:rPr>
      </w:pPr>
    </w:p>
    <w:p>
      <w:pPr>
        <w:jc w:val="both"/>
        <w:ind w:right="160" w:firstLine="440"/>
        <w:spacing w:after="0" w:line="263" w:lineRule="auto"/>
        <w:rPr>
          <w:sz w:val="20"/>
          <w:szCs w:val="20"/>
          <w:color w:val="auto"/>
        </w:rPr>
      </w:pPr>
      <w:r>
        <w:rPr>
          <w:rFonts w:ascii="Arial" w:cs="Arial" w:eastAsia="Arial" w:hAnsi="Arial"/>
          <w:sz w:val="18"/>
          <w:szCs w:val="18"/>
          <w:color w:val="auto"/>
        </w:rPr>
        <w:t>The total intrinsic value of options exercised during the three months ended March 31, 2021 and 2020 was $3,393 and $6,834, respectively. The intrinsic value of exercised options is calculated based on the difference between the exercise price and the fair value of the Company’s common stock as of the exercise date.</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000"/>
          </w:cols>
          <w:pgMar w:left="440" w:top="270" w:right="459" w:bottom="1440" w:gutter="0" w:footer="0" w:header="0"/>
        </w:sectPr>
      </w:pPr>
    </w:p>
    <w:bookmarkStart w:id="21" w:name="page22"/>
    <w:bookmarkEnd w:id="2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INPHI CORPORATION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(Dollars in thousands except share and per share amounts)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40005</wp:posOffset>
            </wp:positionV>
            <wp:extent cx="6995160" cy="825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Restricted Stock Units</w:t>
      </w:r>
    </w:p>
    <w:p>
      <w:pPr>
        <w:spacing w:after="0" w:line="117" w:lineRule="exact"/>
        <w:rPr>
          <w:sz w:val="20"/>
          <w:szCs w:val="20"/>
          <w:color w:val="auto"/>
        </w:rPr>
      </w:pPr>
    </w:p>
    <w:p>
      <w:pPr>
        <w:ind w:right="40" w:firstLine="440"/>
        <w:spacing w:after="0" w:line="257" w:lineRule="auto"/>
        <w:rPr>
          <w:sz w:val="20"/>
          <w:szCs w:val="20"/>
          <w:color w:val="auto"/>
        </w:rPr>
      </w:pPr>
      <w:r>
        <w:rPr>
          <w:rFonts w:ascii="Arial" w:cs="Arial" w:eastAsia="Arial" w:hAnsi="Arial"/>
          <w:sz w:val="18"/>
          <w:szCs w:val="18"/>
          <w:color w:val="auto"/>
        </w:rPr>
        <w:t>The Company granted restricted stock units (“RSUs”) to members of the Board and its employees. Most of the Company’s outstanding RSUs vest over four years with vesting contingent upon continuous service, and RSUs granted to non-employee directors after the initial grant vest on the first anniversary of the date of grant or immediately prior to the Company’s next annual meeting of stockholders, if earlier. The Company estimates the fair value of RSUs using the market price of the common stock on the date of the grant. The fair value of these awards is amortized on a straight-line basis over the vesting period.</w:t>
      </w:r>
    </w:p>
    <w:p>
      <w:pPr>
        <w:spacing w:after="0" w:line="18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table summarizes information regarding outstanding RSUs:</w:t>
      </w:r>
    </w:p>
    <w:p>
      <w:pPr>
        <w:spacing w:after="0" w:line="231" w:lineRule="exact"/>
        <w:rPr>
          <w:sz w:val="20"/>
          <w:szCs w:val="20"/>
          <w:color w:val="auto"/>
        </w:rPr>
      </w:pPr>
    </w:p>
    <w:tbl>
      <w:tblPr>
        <w:tblLayout w:type="fixed"/>
        <w:tblInd w:w="1320" w:type="dxa"/>
        <w:tblCellMar>
          <w:top w:w="0" w:type="dxa"/>
          <w:left w:w="0" w:type="dxa"/>
          <w:bottom w:w="0" w:type="dxa"/>
          <w:right w:w="0" w:type="dxa"/>
        </w:tblCellMar>
      </w:tblPr>
      <w:tr>
        <w:trPr>
          <w:trHeight w:val="161"/>
        </w:trPr>
        <w:tc>
          <w:tcPr>
            <w:tcW w:w="5200" w:type="dxa"/>
            <w:vAlign w:val="bottom"/>
          </w:tcPr>
          <w:p>
            <w:pPr>
              <w:spacing w:after="0"/>
              <w:rPr>
                <w:sz w:val="14"/>
                <w:szCs w:val="14"/>
                <w:color w:val="auto"/>
              </w:rPr>
            </w:pPr>
          </w:p>
        </w:tc>
        <w:tc>
          <w:tcPr>
            <w:tcW w:w="118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Number of</w:t>
            </w:r>
          </w:p>
        </w:tc>
        <w:tc>
          <w:tcPr>
            <w:tcW w:w="320" w:type="dxa"/>
            <w:vAlign w:val="bottom"/>
          </w:tcPr>
          <w:p>
            <w:pPr>
              <w:spacing w:after="0"/>
              <w:rPr>
                <w:sz w:val="14"/>
                <w:szCs w:val="14"/>
                <w:color w:val="auto"/>
              </w:rPr>
            </w:pPr>
          </w:p>
        </w:tc>
        <w:tc>
          <w:tcPr>
            <w:tcW w:w="1660" w:type="dxa"/>
            <w:vAlign w:val="bottom"/>
            <w:gridSpan w:val="3"/>
          </w:tcPr>
          <w:p>
            <w:pPr>
              <w:ind w:left="60"/>
              <w:spacing w:after="0"/>
              <w:rPr>
                <w:sz w:val="20"/>
                <w:szCs w:val="20"/>
                <w:color w:val="auto"/>
              </w:rPr>
            </w:pPr>
            <w:r>
              <w:rPr>
                <w:rFonts w:ascii="Arial" w:cs="Arial" w:eastAsia="Arial" w:hAnsi="Arial"/>
                <w:sz w:val="14"/>
                <w:szCs w:val="14"/>
                <w:b w:val="1"/>
                <w:bCs w:val="1"/>
                <w:color w:val="auto"/>
                <w:w w:val="96"/>
              </w:rPr>
              <w:t>Weighted Average Grant</w:t>
            </w:r>
          </w:p>
        </w:tc>
        <w:tc>
          <w:tcPr>
            <w:tcW w:w="0" w:type="dxa"/>
            <w:vAlign w:val="bottom"/>
          </w:tcPr>
          <w:p>
            <w:pPr>
              <w:spacing w:after="0"/>
              <w:rPr>
                <w:sz w:val="1"/>
                <w:szCs w:val="1"/>
                <w:color w:val="auto"/>
              </w:rPr>
            </w:pPr>
          </w:p>
        </w:tc>
      </w:tr>
      <w:tr>
        <w:trPr>
          <w:trHeight w:val="171"/>
        </w:trPr>
        <w:tc>
          <w:tcPr>
            <w:tcW w:w="5200" w:type="dxa"/>
            <w:vAlign w:val="bottom"/>
          </w:tcPr>
          <w:p>
            <w:pPr>
              <w:spacing w:after="0"/>
              <w:rPr>
                <w:sz w:val="14"/>
                <w:szCs w:val="14"/>
                <w:color w:val="auto"/>
              </w:rPr>
            </w:pPr>
          </w:p>
        </w:tc>
        <w:tc>
          <w:tcPr>
            <w:tcW w:w="118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rPr>
              <w:t>Shares</w:t>
            </w:r>
          </w:p>
        </w:tc>
        <w:tc>
          <w:tcPr>
            <w:tcW w:w="1980" w:type="dxa"/>
            <w:vAlign w:val="bottom"/>
            <w:gridSpan w:val="4"/>
          </w:tcPr>
          <w:p>
            <w:pPr>
              <w:ind w:left="320"/>
              <w:spacing w:after="0"/>
              <w:rPr>
                <w:sz w:val="20"/>
                <w:szCs w:val="20"/>
                <w:color w:val="auto"/>
              </w:rPr>
            </w:pPr>
            <w:r>
              <w:rPr>
                <w:rFonts w:ascii="Arial" w:cs="Arial" w:eastAsia="Arial" w:hAnsi="Arial"/>
                <w:sz w:val="14"/>
                <w:szCs w:val="14"/>
                <w:b w:val="1"/>
                <w:bCs w:val="1"/>
                <w:color w:val="auto"/>
                <w:w w:val="96"/>
              </w:rPr>
              <w:t>Date Fair Value Per Share</w:t>
            </w:r>
          </w:p>
        </w:tc>
        <w:tc>
          <w:tcPr>
            <w:tcW w:w="0" w:type="dxa"/>
            <w:vAlign w:val="bottom"/>
          </w:tcPr>
          <w:p>
            <w:pPr>
              <w:spacing w:after="0"/>
              <w:rPr>
                <w:sz w:val="1"/>
                <w:szCs w:val="1"/>
                <w:color w:val="auto"/>
              </w:rPr>
            </w:pPr>
          </w:p>
        </w:tc>
      </w:tr>
      <w:tr>
        <w:trPr>
          <w:trHeight w:val="210"/>
        </w:trPr>
        <w:tc>
          <w:tcPr>
            <w:tcW w:w="52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b w:val="1"/>
                <w:bCs w:val="1"/>
                <w:color w:val="auto"/>
              </w:rPr>
              <w:t>Outstanding at December 31, 2020</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7"/>
              </w:rPr>
              <w:t>3,296,251</w:t>
            </w:r>
          </w:p>
        </w:tc>
        <w:tc>
          <w:tcPr>
            <w:tcW w:w="38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59.90</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00" w:type="dxa"/>
            <w:vAlign w:val="bottom"/>
          </w:tcPr>
          <w:p>
            <w:pPr>
              <w:spacing w:after="0"/>
              <w:rPr>
                <w:sz w:val="20"/>
                <w:szCs w:val="20"/>
                <w:color w:val="auto"/>
              </w:rPr>
            </w:pPr>
            <w:r>
              <w:rPr>
                <w:rFonts w:ascii="Arial" w:cs="Arial" w:eastAsia="Arial" w:hAnsi="Arial"/>
                <w:sz w:val="18"/>
                <w:szCs w:val="18"/>
                <w:color w:val="auto"/>
              </w:rPr>
              <w:t>Granted</w:t>
            </w:r>
          </w:p>
        </w:tc>
        <w:tc>
          <w:tcPr>
            <w:tcW w:w="1180" w:type="dxa"/>
            <w:vAlign w:val="bottom"/>
            <w:gridSpan w:val="2"/>
          </w:tcPr>
          <w:p>
            <w:pPr>
              <w:jc w:val="right"/>
              <w:ind w:right="380"/>
              <w:spacing w:after="0"/>
              <w:rPr>
                <w:sz w:val="20"/>
                <w:szCs w:val="20"/>
                <w:color w:val="auto"/>
              </w:rPr>
            </w:pPr>
            <w:r>
              <w:rPr>
                <w:rFonts w:ascii="Arial" w:cs="Arial" w:eastAsia="Arial" w:hAnsi="Arial"/>
                <w:sz w:val="18"/>
                <w:szCs w:val="18"/>
                <w:color w:val="auto"/>
              </w:rPr>
              <w:t>702,926</w:t>
            </w:r>
          </w:p>
        </w:tc>
        <w:tc>
          <w:tcPr>
            <w:tcW w:w="9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40"/>
              <w:spacing w:after="0"/>
              <w:rPr>
                <w:sz w:val="20"/>
                <w:szCs w:val="20"/>
                <w:color w:val="auto"/>
              </w:rPr>
            </w:pPr>
            <w:r>
              <w:rPr>
                <w:rFonts w:ascii="Arial" w:cs="Arial" w:eastAsia="Arial" w:hAnsi="Arial"/>
                <w:sz w:val="18"/>
                <w:szCs w:val="18"/>
                <w:color w:val="auto"/>
              </w:rPr>
              <w:t>166.34</w:t>
            </w:r>
          </w:p>
        </w:tc>
        <w:tc>
          <w:tcPr>
            <w:tcW w:w="0" w:type="dxa"/>
            <w:vAlign w:val="bottom"/>
          </w:tcPr>
          <w:p>
            <w:pPr>
              <w:spacing w:after="0"/>
              <w:rPr>
                <w:sz w:val="1"/>
                <w:szCs w:val="1"/>
                <w:color w:val="auto"/>
              </w:rPr>
            </w:pPr>
          </w:p>
        </w:tc>
      </w:tr>
      <w:tr>
        <w:trPr>
          <w:trHeight w:val="216"/>
        </w:trPr>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Vested</w:t>
            </w:r>
          </w:p>
        </w:tc>
        <w:tc>
          <w:tcPr>
            <w:tcW w:w="11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(299,912)</w:t>
            </w:r>
          </w:p>
        </w:tc>
        <w:tc>
          <w:tcPr>
            <w:tcW w:w="9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92.53</w:t>
            </w:r>
          </w:p>
        </w:tc>
        <w:tc>
          <w:tcPr>
            <w:tcW w:w="0" w:type="dxa"/>
            <w:vAlign w:val="bottom"/>
          </w:tcPr>
          <w:p>
            <w:pPr>
              <w:spacing w:after="0"/>
              <w:rPr>
                <w:sz w:val="1"/>
                <w:szCs w:val="1"/>
                <w:color w:val="auto"/>
              </w:rPr>
            </w:pPr>
          </w:p>
        </w:tc>
      </w:tr>
      <w:tr>
        <w:trPr>
          <w:trHeight w:val="223"/>
        </w:trPr>
        <w:tc>
          <w:tcPr>
            <w:tcW w:w="5200" w:type="dxa"/>
            <w:vAlign w:val="bottom"/>
          </w:tcPr>
          <w:p>
            <w:pPr>
              <w:spacing w:after="0"/>
              <w:rPr>
                <w:sz w:val="20"/>
                <w:szCs w:val="20"/>
                <w:color w:val="auto"/>
              </w:rPr>
            </w:pPr>
            <w:r>
              <w:rPr>
                <w:rFonts w:ascii="Arial" w:cs="Arial" w:eastAsia="Arial" w:hAnsi="Arial"/>
                <w:sz w:val="18"/>
                <w:szCs w:val="18"/>
                <w:color w:val="auto"/>
              </w:rPr>
              <w:t>Canceled</w:t>
            </w:r>
          </w:p>
        </w:tc>
        <w:tc>
          <w:tcPr>
            <w:tcW w:w="1180" w:type="dxa"/>
            <w:vAlign w:val="bottom"/>
            <w:gridSpan w:val="2"/>
          </w:tcPr>
          <w:p>
            <w:pPr>
              <w:jc w:val="right"/>
              <w:ind w:right="320"/>
              <w:spacing w:after="0"/>
              <w:rPr>
                <w:sz w:val="20"/>
                <w:szCs w:val="20"/>
                <w:color w:val="auto"/>
              </w:rPr>
            </w:pPr>
            <w:r>
              <w:rPr>
                <w:rFonts w:ascii="Arial" w:cs="Arial" w:eastAsia="Arial" w:hAnsi="Arial"/>
                <w:sz w:val="18"/>
                <w:szCs w:val="18"/>
                <w:color w:val="auto"/>
              </w:rPr>
              <w:t>(21,611)</w:t>
            </w:r>
          </w:p>
        </w:tc>
        <w:tc>
          <w:tcPr>
            <w:tcW w:w="9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40"/>
              <w:spacing w:after="0"/>
              <w:rPr>
                <w:sz w:val="20"/>
                <w:szCs w:val="20"/>
                <w:color w:val="auto"/>
              </w:rPr>
            </w:pPr>
            <w:r>
              <w:rPr>
                <w:rFonts w:ascii="Arial" w:cs="Arial" w:eastAsia="Arial" w:hAnsi="Arial"/>
                <w:sz w:val="18"/>
                <w:szCs w:val="18"/>
                <w:color w:val="auto"/>
              </w:rPr>
              <w:t>75.08</w:t>
            </w:r>
          </w:p>
        </w:tc>
        <w:tc>
          <w:tcPr>
            <w:tcW w:w="0" w:type="dxa"/>
            <w:vAlign w:val="bottom"/>
          </w:tcPr>
          <w:p>
            <w:pPr>
              <w:spacing w:after="0"/>
              <w:rPr>
                <w:sz w:val="1"/>
                <w:szCs w:val="1"/>
                <w:color w:val="auto"/>
              </w:rPr>
            </w:pPr>
          </w:p>
        </w:tc>
      </w:tr>
      <w:tr>
        <w:trPr>
          <w:trHeight w:val="216"/>
        </w:trPr>
        <w:tc>
          <w:tcPr>
            <w:tcW w:w="52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Outstanding at March 31, 2021</w:t>
            </w: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7"/>
              </w:rPr>
              <w:t>3,677,654</w:t>
            </w:r>
          </w:p>
        </w:tc>
        <w:tc>
          <w:tcPr>
            <w:tcW w:w="3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77.49</w:t>
            </w:r>
          </w:p>
        </w:tc>
        <w:tc>
          <w:tcPr>
            <w:tcW w:w="0" w:type="dxa"/>
            <w:vAlign w:val="bottom"/>
          </w:tcPr>
          <w:p>
            <w:pPr>
              <w:spacing w:after="0"/>
              <w:rPr>
                <w:sz w:val="1"/>
                <w:szCs w:val="1"/>
                <w:color w:val="auto"/>
              </w:rPr>
            </w:pPr>
          </w:p>
        </w:tc>
      </w:tr>
      <w:tr>
        <w:trPr>
          <w:trHeight w:val="20"/>
        </w:trPr>
        <w:tc>
          <w:tcPr>
            <w:tcW w:w="5200" w:type="dxa"/>
            <w:vAlign w:val="bottom"/>
            <w:vMerge w:val="restart"/>
          </w:tcPr>
          <w:p>
            <w:pPr>
              <w:spacing w:after="0"/>
              <w:rPr>
                <w:sz w:val="20"/>
                <w:szCs w:val="20"/>
                <w:color w:val="auto"/>
              </w:rPr>
            </w:pPr>
            <w:r>
              <w:rPr>
                <w:rFonts w:ascii="Arial" w:cs="Arial" w:eastAsia="Arial" w:hAnsi="Arial"/>
                <w:sz w:val="18"/>
                <w:szCs w:val="18"/>
                <w:b w:val="1"/>
                <w:bCs w:val="1"/>
                <w:color w:val="auto"/>
              </w:rPr>
              <w:t>Expected to vest at March 31, 2021</w:t>
            </w:r>
          </w:p>
        </w:tc>
        <w:tc>
          <w:tcPr>
            <w:tcW w:w="1180" w:type="dxa"/>
            <w:vAlign w:val="bottom"/>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5200" w:type="dxa"/>
            <w:vAlign w:val="bottom"/>
            <w:vMerge w:val="continue"/>
          </w:tcPr>
          <w:p>
            <w:pPr>
              <w:spacing w:after="0"/>
              <w:rPr>
                <w:sz w:val="18"/>
                <w:szCs w:val="18"/>
                <w:color w:val="auto"/>
              </w:rPr>
            </w:pPr>
          </w:p>
        </w:tc>
        <w:tc>
          <w:tcPr>
            <w:tcW w:w="8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7"/>
              </w:rPr>
              <w:t>3,645,711</w:t>
            </w:r>
          </w:p>
        </w:tc>
        <w:tc>
          <w:tcPr>
            <w:tcW w:w="3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1" w:lineRule="exact"/>
        <w:rPr>
          <w:sz w:val="20"/>
          <w:szCs w:val="20"/>
          <w:color w:val="auto"/>
        </w:rPr>
      </w:pPr>
    </w:p>
    <w:p>
      <w:pPr>
        <w:ind w:right="20" w:firstLine="440"/>
        <w:spacing w:after="0" w:line="263" w:lineRule="auto"/>
        <w:rPr>
          <w:sz w:val="20"/>
          <w:szCs w:val="20"/>
          <w:color w:val="auto"/>
        </w:rPr>
      </w:pPr>
      <w:r>
        <w:rPr>
          <w:rFonts w:ascii="Arial" w:cs="Arial" w:eastAsia="Arial" w:hAnsi="Arial"/>
          <w:sz w:val="18"/>
          <w:szCs w:val="18"/>
          <w:color w:val="auto"/>
        </w:rPr>
        <w:t>The RSUs include performance-based stock units subject to achievement of a pre-established revenue goal and earnings per share on a non-GAAP basis. Once the goals are met, the performance-based stock units are subject to four years of vesting from the original grant date, contingent upon continuous service. As of March 31, 2021, the total performance-based units outstanding was 34,224.</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Market Value Stock Units</w:t>
      </w:r>
    </w:p>
    <w:p>
      <w:pPr>
        <w:spacing w:after="0" w:line="117" w:lineRule="exact"/>
        <w:rPr>
          <w:sz w:val="20"/>
          <w:szCs w:val="20"/>
          <w:color w:val="auto"/>
        </w:rPr>
      </w:pPr>
    </w:p>
    <w:p>
      <w:pPr>
        <w:ind w:right="20" w:firstLine="440"/>
        <w:spacing w:after="0" w:line="288" w:lineRule="auto"/>
        <w:rPr>
          <w:sz w:val="20"/>
          <w:szCs w:val="20"/>
          <w:color w:val="auto"/>
        </w:rPr>
      </w:pPr>
      <w:r>
        <w:rPr>
          <w:rFonts w:ascii="Arial" w:cs="Arial" w:eastAsia="Arial" w:hAnsi="Arial"/>
          <w:sz w:val="16"/>
          <w:szCs w:val="16"/>
          <w:color w:val="auto"/>
        </w:rPr>
        <w:t>In January 2018, the compensation committee of the Board approved long-term market value stock unit (“MVSU”) awards to certain executive officers and employees, subject to certain market and service conditions in the maximum total amount of 702,000 units. Recipients may earn between 0% to 225% of the target number of shares based on the Company’s achievement of total shareholder return (“TSR”) in comparison to the TSR of companies in the S&amp;P 500 Index over a period of approximately three years in length ending in the first calendar quarter of 2021 after reporting of fiscal year 2020 results. If the Company’s absolute TSR is negative for the performance period, then the maximum number of shares that may be earned is the target number of shares. The fair value of the MVSU awards was estimated using a Monte Carlo simulation model and compensation is being recognized ratably over the service period. The expected volatility of the Company’s common stock was estimated based on the historical average volatility rate over the three-year period. The dividend yield assumption was based on historical and anticipated dividend payouts. The risk-free interest rate assumption was based on observed interest rates consistent with three-year measurement period. During the three months ended March 31, 2021, the Company issued 326,500 shares of common stock upon completion of the performance period.</w:t>
      </w:r>
    </w:p>
    <w:p>
      <w:pPr>
        <w:spacing w:after="0" w:line="27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117" w:lineRule="exact"/>
        <w:rPr>
          <w:sz w:val="20"/>
          <w:szCs w:val="20"/>
          <w:color w:val="auto"/>
        </w:rPr>
      </w:pPr>
    </w:p>
    <w:p>
      <w:pPr>
        <w:ind w:right="40" w:firstLine="440"/>
        <w:spacing w:after="0" w:line="296" w:lineRule="auto"/>
        <w:rPr>
          <w:sz w:val="20"/>
          <w:szCs w:val="20"/>
          <w:color w:val="auto"/>
        </w:rPr>
      </w:pPr>
      <w:r>
        <w:rPr>
          <w:rFonts w:ascii="Arial" w:cs="Arial" w:eastAsia="Arial" w:hAnsi="Arial"/>
          <w:sz w:val="16"/>
          <w:szCs w:val="16"/>
          <w:color w:val="auto"/>
        </w:rPr>
        <w:t>In December 2011, the Board adopted the Company’s Employee Stock Purchase Plan, which was amended and restated in April 2015, and further amended and restated in April 2018 (the “ESPP”). Participants purchase the Company’s stock using payroll deductions, which may not exceed 15% of their total cash compensation. Pursuant to the terms of the ESPP, the “look-back” period for the stock purchase price is six months. Offering and purchase periods will begin on February 10 and August 10 of each year. Participants will be granted the right to purchase common stock at a price per share that is 85% of the lesser of the fair market value of the Company’s common stock at the beginning or the end of each six-month period.</w:t>
      </w:r>
    </w:p>
    <w:p>
      <w:pPr>
        <w:spacing w:after="0" w:line="161" w:lineRule="exact"/>
        <w:rPr>
          <w:sz w:val="20"/>
          <w:szCs w:val="20"/>
          <w:color w:val="auto"/>
        </w:rPr>
      </w:pPr>
    </w:p>
    <w:p>
      <w:pPr>
        <w:ind w:firstLine="440"/>
        <w:spacing w:after="0" w:line="255" w:lineRule="auto"/>
        <w:rPr>
          <w:sz w:val="20"/>
          <w:szCs w:val="20"/>
          <w:color w:val="auto"/>
        </w:rPr>
      </w:pPr>
      <w:r>
        <w:rPr>
          <w:rFonts w:ascii="Arial" w:cs="Arial" w:eastAsia="Arial" w:hAnsi="Arial"/>
          <w:sz w:val="18"/>
          <w:szCs w:val="18"/>
          <w:color w:val="auto"/>
        </w:rPr>
        <w:t>The ESPP imposes certain limitations upon an employee’s right to acquire common stock, including the following: (i) no employee shall be granted a right to participate if such employee would own stock possessing 5% or more of the total combined voting power or value of all classes of stock of the Company immediately after the election to purchase common stock, and (ii) no employee may be granted rights to purchase more than $25 of fair value of common stock in each calendar year. The maximum aggregate number of shares of common stock available for purchase under the ESPP is 2,750,000 shares. Total common stock issued under the ESPP during the three months ended March 31, 2021 and 2020 was 52,934 and 74,896, respectively. The ESPP offering ended in February 2021.</w:t>
      </w:r>
    </w:p>
    <w:p>
      <w:pPr>
        <w:spacing w:after="0" w:line="192" w:lineRule="exact"/>
        <w:rPr>
          <w:sz w:val="20"/>
          <w:szCs w:val="20"/>
          <w:color w:val="auto"/>
        </w:rPr>
      </w:pPr>
    </w:p>
    <w:p>
      <w:pPr>
        <w:ind w:right="640" w:firstLine="440"/>
        <w:spacing w:after="0" w:line="277" w:lineRule="auto"/>
        <w:rPr>
          <w:sz w:val="20"/>
          <w:szCs w:val="20"/>
          <w:color w:val="auto"/>
        </w:rPr>
      </w:pPr>
      <w:r>
        <w:rPr>
          <w:rFonts w:ascii="Arial" w:cs="Arial" w:eastAsia="Arial" w:hAnsi="Arial"/>
          <w:sz w:val="18"/>
          <w:szCs w:val="18"/>
          <w:color w:val="auto"/>
        </w:rPr>
        <w:t>The fair value of the ESPP purchases is estimated at the start of the offering period using the Black-Scholes option pricing model with the following assumptions for the three months ended March 31, 2020:</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000"/>
          </w:cols>
          <w:pgMar w:left="440" w:top="270" w:right="459" w:bottom="1440" w:gutter="0" w:footer="0" w:header="0"/>
        </w:sectPr>
      </w:pPr>
    </w:p>
    <w:bookmarkStart w:id="22" w:name="page23"/>
    <w:bookmarkEnd w:id="22"/>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INPHI CORPORATION</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(Dollars in thousands except share and per share amounts)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40005</wp:posOffset>
            </wp:positionV>
            <wp:extent cx="6995160" cy="825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46" w:lineRule="exact"/>
        <w:rPr>
          <w:sz w:val="20"/>
          <w:szCs w:val="20"/>
          <w:color w:val="auto"/>
        </w:rPr>
      </w:pPr>
    </w:p>
    <w:tbl>
      <w:tblPr>
        <w:tblLayout w:type="fixed"/>
        <w:tblInd w:w="1760" w:type="dxa"/>
        <w:tblCellMar>
          <w:top w:w="0" w:type="dxa"/>
          <w:left w:w="0" w:type="dxa"/>
          <w:bottom w:w="0" w:type="dxa"/>
          <w:right w:w="0" w:type="dxa"/>
        </w:tblCellMar>
      </w:tblPr>
      <w:tr>
        <w:trPr>
          <w:trHeight w:val="216"/>
        </w:trPr>
        <w:tc>
          <w:tcPr>
            <w:tcW w:w="424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3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1.51%</w:t>
            </w:r>
          </w:p>
        </w:tc>
      </w:tr>
      <w:tr>
        <w:trPr>
          <w:trHeight w:val="216"/>
        </w:trPr>
        <w:tc>
          <w:tcPr>
            <w:tcW w:w="4240" w:type="dxa"/>
            <w:vAlign w:val="bottom"/>
          </w:tcPr>
          <w:p>
            <w:pPr>
              <w:spacing w:after="0"/>
              <w:rPr>
                <w:sz w:val="20"/>
                <w:szCs w:val="20"/>
                <w:color w:val="auto"/>
              </w:rPr>
            </w:pPr>
            <w:r>
              <w:rPr>
                <w:rFonts w:ascii="Arial" w:cs="Arial" w:eastAsia="Arial" w:hAnsi="Arial"/>
                <w:sz w:val="18"/>
                <w:szCs w:val="18"/>
                <w:color w:val="auto"/>
              </w:rPr>
              <w:t>Expected life (in years)</w:t>
            </w:r>
          </w:p>
        </w:tc>
        <w:tc>
          <w:tcPr>
            <w:tcW w:w="3240" w:type="dxa"/>
            <w:vAlign w:val="bottom"/>
          </w:tcPr>
          <w:p>
            <w:pPr>
              <w:jc w:val="right"/>
              <w:ind w:right="110"/>
              <w:spacing w:after="0"/>
              <w:rPr>
                <w:sz w:val="20"/>
                <w:szCs w:val="20"/>
                <w:color w:val="auto"/>
              </w:rPr>
            </w:pPr>
            <w:r>
              <w:rPr>
                <w:rFonts w:ascii="Arial" w:cs="Arial" w:eastAsia="Arial" w:hAnsi="Arial"/>
                <w:sz w:val="18"/>
                <w:szCs w:val="18"/>
                <w:color w:val="auto"/>
              </w:rPr>
              <w:t>0.49</w:t>
            </w:r>
          </w:p>
        </w:tc>
      </w:tr>
      <w:tr>
        <w:trPr>
          <w:trHeight w:val="216"/>
        </w:trPr>
        <w:tc>
          <w:tcPr>
            <w:tcW w:w="4240" w:type="dxa"/>
            <w:vAlign w:val="bottom"/>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324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rPr>
              <w:t>—</w:t>
            </w:r>
          </w:p>
        </w:tc>
      </w:tr>
      <w:tr>
        <w:trPr>
          <w:trHeight w:val="216"/>
        </w:trPr>
        <w:tc>
          <w:tcPr>
            <w:tcW w:w="4240" w:type="dxa"/>
            <w:vAlign w:val="bottom"/>
          </w:tcPr>
          <w:p>
            <w:pPr>
              <w:spacing w:after="0"/>
              <w:rPr>
                <w:sz w:val="20"/>
                <w:szCs w:val="20"/>
                <w:color w:val="auto"/>
              </w:rPr>
            </w:pPr>
            <w:r>
              <w:rPr>
                <w:rFonts w:ascii="Arial" w:cs="Arial" w:eastAsia="Arial" w:hAnsi="Arial"/>
                <w:sz w:val="18"/>
                <w:szCs w:val="18"/>
                <w:color w:val="auto"/>
              </w:rPr>
              <w:t>Expected volatility</w:t>
            </w:r>
          </w:p>
        </w:tc>
        <w:tc>
          <w:tcPr>
            <w:tcW w:w="324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16"/>
        </w:trPr>
        <w:tc>
          <w:tcPr>
            <w:tcW w:w="4240" w:type="dxa"/>
            <w:vAlign w:val="bottom"/>
            <w:shd w:val="clear" w:color="auto" w:fill="CCEEFF"/>
          </w:tcPr>
          <w:p>
            <w:pPr>
              <w:spacing w:after="0"/>
              <w:rPr>
                <w:sz w:val="20"/>
                <w:szCs w:val="20"/>
                <w:color w:val="auto"/>
              </w:rPr>
            </w:pPr>
            <w:r>
              <w:rPr>
                <w:rFonts w:ascii="Arial" w:cs="Arial" w:eastAsia="Arial" w:hAnsi="Arial"/>
                <w:sz w:val="18"/>
                <w:szCs w:val="18"/>
                <w:color w:val="auto"/>
              </w:rPr>
              <w:t>Estimated fair value</w:t>
            </w:r>
          </w:p>
        </w:tc>
        <w:tc>
          <w:tcPr>
            <w:tcW w:w="32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$21.71</w:t>
            </w:r>
          </w:p>
        </w:tc>
      </w:tr>
    </w:tbl>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Stock-Based Compensation Expense</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Stock-based compensation expense is included in the Company’s condensed consolidated statements of operations as follows:</w:t>
      </w:r>
    </w:p>
    <w:p>
      <w:pPr>
        <w:spacing w:after="0" w:line="244" w:lineRule="exact"/>
        <w:rPr>
          <w:sz w:val="20"/>
          <w:szCs w:val="20"/>
          <w:color w:val="auto"/>
        </w:rPr>
      </w:pPr>
    </w:p>
    <w:tbl>
      <w:tblPr>
        <w:tblLayout w:type="fixed"/>
        <w:tblInd w:w="1320" w:type="dxa"/>
        <w:tblCellMar>
          <w:top w:w="0" w:type="dxa"/>
          <w:left w:w="0" w:type="dxa"/>
          <w:bottom w:w="0" w:type="dxa"/>
          <w:right w:w="0" w:type="dxa"/>
        </w:tblCellMar>
      </w:tblPr>
      <w:tr>
        <w:trPr>
          <w:trHeight w:val="171"/>
        </w:trPr>
        <w:tc>
          <w:tcPr>
            <w:tcW w:w="4060" w:type="dxa"/>
            <w:vAlign w:val="bottom"/>
          </w:tcPr>
          <w:p>
            <w:pPr>
              <w:spacing w:after="0"/>
              <w:rPr>
                <w:sz w:val="14"/>
                <w:szCs w:val="14"/>
                <w:color w:val="auto"/>
              </w:rPr>
            </w:pPr>
          </w:p>
        </w:tc>
        <w:tc>
          <w:tcPr>
            <w:tcW w:w="2100" w:type="dxa"/>
            <w:vAlign w:val="bottom"/>
          </w:tcPr>
          <w:p>
            <w:pPr>
              <w:spacing w:after="0"/>
              <w:rPr>
                <w:sz w:val="14"/>
                <w:szCs w:val="14"/>
                <w:color w:val="auto"/>
              </w:rPr>
            </w:pPr>
          </w:p>
        </w:tc>
        <w:tc>
          <w:tcPr>
            <w:tcW w:w="2200" w:type="dxa"/>
            <w:vAlign w:val="bottom"/>
            <w:gridSpan w:val="7"/>
          </w:tcPr>
          <w:p>
            <w:pPr>
              <w:ind w:left="100"/>
              <w:spacing w:after="0"/>
              <w:rPr>
                <w:sz w:val="20"/>
                <w:szCs w:val="20"/>
                <w:color w:val="auto"/>
              </w:rPr>
            </w:pPr>
            <w:r>
              <w:rPr>
                <w:rFonts w:ascii="Arial" w:cs="Arial" w:eastAsia="Arial" w:hAnsi="Arial"/>
                <w:sz w:val="14"/>
                <w:szCs w:val="14"/>
                <w:b w:val="1"/>
                <w:bCs w:val="1"/>
                <w:color w:val="auto"/>
              </w:rPr>
              <w:t>Three Months Ended March 31,</w:t>
            </w:r>
          </w:p>
        </w:tc>
      </w:tr>
      <w:tr>
        <w:trPr>
          <w:trHeight w:val="142"/>
        </w:trPr>
        <w:tc>
          <w:tcPr>
            <w:tcW w:w="4060" w:type="dxa"/>
            <w:vAlign w:val="bottom"/>
            <w:tcBorders>
              <w:bottom w:val="single" w:sz="8" w:color="CCEEFF"/>
            </w:tcBorders>
          </w:tcPr>
          <w:p>
            <w:pPr>
              <w:spacing w:after="0"/>
              <w:rPr>
                <w:sz w:val="12"/>
                <w:szCs w:val="12"/>
                <w:color w:val="auto"/>
              </w:rPr>
            </w:pPr>
          </w:p>
        </w:tc>
        <w:tc>
          <w:tcPr>
            <w:tcW w:w="2100" w:type="dxa"/>
            <w:vAlign w:val="bottom"/>
            <w:tcBorders>
              <w:bottom w:val="single" w:sz="8" w:color="CCEEFF"/>
            </w:tcBorders>
          </w:tcPr>
          <w:p>
            <w:pPr>
              <w:spacing w:after="0"/>
              <w:rPr>
                <w:sz w:val="12"/>
                <w:szCs w:val="12"/>
                <w:color w:val="auto"/>
              </w:rPr>
            </w:pPr>
          </w:p>
        </w:tc>
        <w:tc>
          <w:tcPr>
            <w:tcW w:w="200" w:type="dxa"/>
            <w:vAlign w:val="bottom"/>
            <w:tcBorders>
              <w:top w:val="single" w:sz="8" w:color="auto"/>
              <w:bottom w:val="single" w:sz="8" w:color="auto"/>
            </w:tcBorders>
          </w:tcPr>
          <w:p>
            <w:pPr>
              <w:spacing w:after="0"/>
              <w:rPr>
                <w:sz w:val="12"/>
                <w:szCs w:val="12"/>
                <w:color w:val="auto"/>
              </w:rPr>
            </w:pPr>
          </w:p>
        </w:tc>
        <w:tc>
          <w:tcPr>
            <w:tcW w:w="680" w:type="dxa"/>
            <w:vAlign w:val="bottom"/>
            <w:tcBorders>
              <w:top w:val="single" w:sz="8" w:color="auto"/>
              <w:bottom w:val="single" w:sz="8" w:color="auto"/>
            </w:tcBorders>
          </w:tcPr>
          <w:p>
            <w:pPr>
              <w:jc w:val="right"/>
              <w:ind w:right="193"/>
              <w:spacing w:after="0" w:line="142" w:lineRule="exact"/>
              <w:rPr>
                <w:sz w:val="20"/>
                <w:szCs w:val="20"/>
                <w:color w:val="auto"/>
              </w:rPr>
            </w:pPr>
            <w:r>
              <w:rPr>
                <w:rFonts w:ascii="Arial" w:cs="Arial" w:eastAsia="Arial" w:hAnsi="Arial"/>
                <w:sz w:val="14"/>
                <w:szCs w:val="14"/>
                <w:b w:val="1"/>
                <w:bCs w:val="1"/>
                <w:color w:val="auto"/>
              </w:rPr>
              <w:t>2021</w:t>
            </w:r>
          </w:p>
        </w:tc>
        <w:tc>
          <w:tcPr>
            <w:tcW w:w="180" w:type="dxa"/>
            <w:vAlign w:val="bottom"/>
            <w:tcBorders>
              <w:top w:val="single" w:sz="8" w:color="auto"/>
              <w:bottom w:val="single" w:sz="8" w:color="CCEEFF"/>
            </w:tcBorders>
          </w:tcPr>
          <w:p>
            <w:pPr>
              <w:spacing w:after="0"/>
              <w:rPr>
                <w:sz w:val="12"/>
                <w:szCs w:val="12"/>
                <w:color w:val="auto"/>
              </w:rPr>
            </w:pPr>
          </w:p>
        </w:tc>
        <w:tc>
          <w:tcPr>
            <w:tcW w:w="200" w:type="dxa"/>
            <w:vAlign w:val="bottom"/>
            <w:tcBorders>
              <w:top w:val="single" w:sz="8" w:color="auto"/>
              <w:bottom w:val="single" w:sz="8" w:color="CCEEFF"/>
            </w:tcBorders>
          </w:tcPr>
          <w:p>
            <w:pPr>
              <w:spacing w:after="0"/>
              <w:rPr>
                <w:sz w:val="12"/>
                <w:szCs w:val="12"/>
                <w:color w:val="auto"/>
              </w:rPr>
            </w:pPr>
          </w:p>
        </w:tc>
        <w:tc>
          <w:tcPr>
            <w:tcW w:w="180" w:type="dxa"/>
            <w:vAlign w:val="bottom"/>
            <w:tcBorders>
              <w:top w:val="single" w:sz="8" w:color="auto"/>
              <w:bottom w:val="single" w:sz="8" w:color="auto"/>
            </w:tcBorders>
          </w:tcPr>
          <w:p>
            <w:pPr>
              <w:spacing w:after="0"/>
              <w:rPr>
                <w:sz w:val="12"/>
                <w:szCs w:val="12"/>
                <w:color w:val="auto"/>
              </w:rPr>
            </w:pPr>
          </w:p>
        </w:tc>
        <w:tc>
          <w:tcPr>
            <w:tcW w:w="720" w:type="dxa"/>
            <w:vAlign w:val="bottom"/>
            <w:tcBorders>
              <w:top w:val="single" w:sz="8" w:color="auto"/>
              <w:bottom w:val="single" w:sz="8" w:color="auto"/>
            </w:tcBorders>
          </w:tcPr>
          <w:p>
            <w:pPr>
              <w:jc w:val="right"/>
              <w:ind w:right="233"/>
              <w:spacing w:after="0" w:line="142" w:lineRule="exact"/>
              <w:rPr>
                <w:sz w:val="20"/>
                <w:szCs w:val="20"/>
                <w:color w:val="auto"/>
              </w:rPr>
            </w:pPr>
            <w:r>
              <w:rPr>
                <w:rFonts w:ascii="Arial" w:cs="Arial" w:eastAsia="Arial" w:hAnsi="Arial"/>
                <w:sz w:val="14"/>
                <w:szCs w:val="14"/>
                <w:b w:val="1"/>
                <w:bCs w:val="1"/>
                <w:color w:val="auto"/>
              </w:rPr>
              <w:t>2020</w:t>
            </w:r>
          </w:p>
        </w:tc>
        <w:tc>
          <w:tcPr>
            <w:tcW w:w="40" w:type="dxa"/>
            <w:vAlign w:val="bottom"/>
            <w:tcBorders>
              <w:bottom w:val="single" w:sz="8" w:color="CCEEFF"/>
            </w:tcBorders>
          </w:tcPr>
          <w:p>
            <w:pPr>
              <w:spacing w:after="0"/>
              <w:rPr>
                <w:sz w:val="12"/>
                <w:szCs w:val="12"/>
                <w:color w:val="auto"/>
              </w:rPr>
            </w:pPr>
          </w:p>
        </w:tc>
      </w:tr>
      <w:tr>
        <w:trPr>
          <w:trHeight w:val="209"/>
        </w:trPr>
        <w:tc>
          <w:tcPr>
            <w:tcW w:w="406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10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6"/>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1,582</w:t>
            </w: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27"/>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1,911</w:t>
            </w:r>
          </w:p>
        </w:tc>
        <w:tc>
          <w:tcPr>
            <w:tcW w:w="40" w:type="dxa"/>
            <w:vAlign w:val="bottom"/>
            <w:shd w:val="clear" w:color="auto" w:fill="CCEEFF"/>
          </w:tcPr>
          <w:p>
            <w:pPr>
              <w:spacing w:after="0"/>
              <w:rPr>
                <w:sz w:val="18"/>
                <w:szCs w:val="18"/>
                <w:color w:val="auto"/>
              </w:rPr>
            </w:pPr>
          </w:p>
        </w:tc>
      </w:tr>
      <w:tr>
        <w:trPr>
          <w:trHeight w:val="216"/>
        </w:trPr>
        <w:tc>
          <w:tcPr>
            <w:tcW w:w="406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gridSpan w:val="2"/>
          </w:tcPr>
          <w:p>
            <w:pPr>
              <w:jc w:val="right"/>
              <w:ind w:right="180"/>
              <w:spacing w:after="0"/>
              <w:rPr>
                <w:sz w:val="20"/>
                <w:szCs w:val="20"/>
                <w:color w:val="auto"/>
              </w:rPr>
            </w:pPr>
            <w:r>
              <w:rPr>
                <w:rFonts w:ascii="Arial" w:cs="Arial" w:eastAsia="Arial" w:hAnsi="Arial"/>
                <w:sz w:val="18"/>
                <w:szCs w:val="18"/>
                <w:color w:val="auto"/>
              </w:rPr>
              <w:t>17,702</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13,079</w:t>
            </w:r>
          </w:p>
        </w:tc>
      </w:tr>
      <w:tr>
        <w:trPr>
          <w:trHeight w:val="216"/>
        </w:trPr>
        <w:tc>
          <w:tcPr>
            <w:tcW w:w="4060" w:type="dxa"/>
            <w:vAlign w:val="bottom"/>
            <w:shd w:val="clear" w:color="auto" w:fill="CCEEFF"/>
          </w:tcPr>
          <w:p>
            <w:pPr>
              <w:spacing w:after="0"/>
              <w:rPr>
                <w:sz w:val="20"/>
                <w:szCs w:val="20"/>
                <w:color w:val="auto"/>
              </w:rPr>
            </w:pPr>
            <w:r>
              <w:rPr>
                <w:rFonts w:ascii="Arial" w:cs="Arial" w:eastAsia="Arial" w:hAnsi="Arial"/>
                <w:sz w:val="18"/>
                <w:szCs w:val="18"/>
                <w:color w:val="auto"/>
              </w:rPr>
              <w:t>Sales and marketing</w:t>
            </w:r>
          </w:p>
        </w:tc>
        <w:tc>
          <w:tcPr>
            <w:tcW w:w="2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5,980</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5,201</w:t>
            </w:r>
          </w:p>
        </w:tc>
      </w:tr>
      <w:tr>
        <w:trPr>
          <w:trHeight w:val="216"/>
        </w:trPr>
        <w:tc>
          <w:tcPr>
            <w:tcW w:w="406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gridSpan w:val="2"/>
          </w:tcPr>
          <w:p>
            <w:pPr>
              <w:jc w:val="right"/>
              <w:ind w:right="180"/>
              <w:spacing w:after="0"/>
              <w:rPr>
                <w:sz w:val="20"/>
                <w:szCs w:val="20"/>
                <w:color w:val="auto"/>
              </w:rPr>
            </w:pPr>
            <w:r>
              <w:rPr>
                <w:rFonts w:ascii="Arial" w:cs="Arial" w:eastAsia="Arial" w:hAnsi="Arial"/>
                <w:sz w:val="18"/>
                <w:szCs w:val="18"/>
                <w:color w:val="auto"/>
              </w:rPr>
              <w:t>4,871</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3,838</w:t>
            </w:r>
          </w:p>
        </w:tc>
      </w:tr>
      <w:tr>
        <w:trPr>
          <w:trHeight w:val="27"/>
        </w:trPr>
        <w:tc>
          <w:tcPr>
            <w:tcW w:w="4060" w:type="dxa"/>
            <w:vAlign w:val="bottom"/>
          </w:tcPr>
          <w:p>
            <w:pPr>
              <w:spacing w:after="0"/>
              <w:rPr>
                <w:sz w:val="2"/>
                <w:szCs w:val="2"/>
                <w:color w:val="auto"/>
              </w:rPr>
            </w:pPr>
          </w:p>
        </w:tc>
        <w:tc>
          <w:tcPr>
            <w:tcW w:w="210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r>
      <w:tr>
        <w:trPr>
          <w:trHeight w:val="216"/>
        </w:trPr>
        <w:tc>
          <w:tcPr>
            <w:tcW w:w="4060" w:type="dxa"/>
            <w:vAlign w:val="bottom"/>
            <w:shd w:val="clear" w:color="auto" w:fill="CCEEFF"/>
          </w:tcPr>
          <w:p>
            <w:pPr>
              <w:spacing w:after="0"/>
              <w:rPr>
                <w:sz w:val="18"/>
                <w:szCs w:val="18"/>
                <w:color w:val="auto"/>
              </w:rPr>
            </w:pPr>
          </w:p>
        </w:tc>
        <w:tc>
          <w:tcPr>
            <w:tcW w:w="210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6"/>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30,135</w:t>
            </w:r>
          </w:p>
        </w:tc>
        <w:tc>
          <w:tcPr>
            <w:tcW w:w="380" w:type="dxa"/>
            <w:vAlign w:val="bottom"/>
            <w:gridSpan w:val="2"/>
            <w:shd w:val="clear" w:color="auto" w:fill="CCEEFF"/>
          </w:tcPr>
          <w:p>
            <w:pPr>
              <w:jc w:val="right"/>
              <w:ind w:right="27"/>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24,029</w:t>
            </w:r>
          </w:p>
        </w:tc>
      </w:tr>
      <w:tr>
        <w:trPr>
          <w:trHeight w:val="20"/>
        </w:trPr>
        <w:tc>
          <w:tcPr>
            <w:tcW w:w="406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15" w:lineRule="exact"/>
        <w:rPr>
          <w:sz w:val="20"/>
          <w:szCs w:val="20"/>
          <w:color w:val="auto"/>
        </w:rPr>
      </w:pPr>
    </w:p>
    <w:p>
      <w:pPr>
        <w:ind w:right="680" w:firstLine="440"/>
        <w:spacing w:after="0" w:line="308" w:lineRule="auto"/>
        <w:rPr>
          <w:sz w:val="20"/>
          <w:szCs w:val="20"/>
          <w:color w:val="auto"/>
        </w:rPr>
      </w:pPr>
      <w:r>
        <w:rPr>
          <w:rFonts w:ascii="Arial" w:cs="Arial" w:eastAsia="Arial" w:hAnsi="Arial"/>
          <w:sz w:val="17"/>
          <w:szCs w:val="17"/>
          <w:color w:val="auto"/>
        </w:rPr>
        <w:t>Total unrecognized compensation cost related to unvested restricted stock units at March 31, 2021, prior to the consideration of expected forfeitures, is approximately $247,215 and is expected to be recognized over a weighted-average period of 2.48 years.</w:t>
      </w:r>
    </w:p>
    <w:p>
      <w:pPr>
        <w:spacing w:after="0" w:line="2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15. Fair Value Measurements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6"/>
          <w:szCs w:val="16"/>
          <w:color w:val="auto"/>
        </w:rPr>
        <w:t>The guidance on fair value measurements requires fair value measurements to be classified and disclosed in one of the following three categories:</w:t>
      </w:r>
    </w:p>
    <w:p>
      <w:pPr>
        <w:spacing w:after="0" w:line="140" w:lineRule="exact"/>
        <w:rPr>
          <w:sz w:val="20"/>
          <w:szCs w:val="20"/>
          <w:color w:val="auto"/>
        </w:rPr>
      </w:pPr>
    </w:p>
    <w:p>
      <w:pPr>
        <w:ind w:left="440"/>
        <w:spacing w:after="0"/>
        <w:rPr>
          <w:sz w:val="20"/>
          <w:szCs w:val="20"/>
          <w:color w:val="auto"/>
        </w:rPr>
      </w:pPr>
      <w:r>
        <w:rPr>
          <w:rFonts w:ascii="Arial" w:cs="Arial" w:eastAsia="Arial" w:hAnsi="Arial"/>
          <w:sz w:val="16"/>
          <w:szCs w:val="16"/>
          <w:i w:val="1"/>
          <w:iCs w:val="1"/>
          <w:color w:val="auto"/>
        </w:rPr>
        <w:t>Level 1</w:t>
      </w:r>
      <w:r>
        <w:rPr>
          <w:rFonts w:ascii="Arial" w:cs="Arial" w:eastAsia="Arial" w:hAnsi="Arial"/>
          <w:sz w:val="16"/>
          <w:szCs w:val="16"/>
          <w:color w:val="auto"/>
        </w:rPr>
        <w:t>: Unadjusted quoted prices in active markets that are accessible at the measurement date for identical, unrestricted assets or liabilities;</w:t>
      </w:r>
    </w:p>
    <w:p>
      <w:pPr>
        <w:spacing w:after="0" w:line="140" w:lineRule="exact"/>
        <w:rPr>
          <w:sz w:val="20"/>
          <w:szCs w:val="20"/>
          <w:color w:val="auto"/>
        </w:rPr>
      </w:pPr>
    </w:p>
    <w:p>
      <w:pPr>
        <w:ind w:right="80" w:firstLine="440"/>
        <w:spacing w:after="0" w:line="277" w:lineRule="auto"/>
        <w:rPr>
          <w:sz w:val="20"/>
          <w:szCs w:val="20"/>
          <w:color w:val="auto"/>
        </w:rPr>
      </w:pPr>
      <w:r>
        <w:rPr>
          <w:rFonts w:ascii="Arial" w:cs="Arial" w:eastAsia="Arial" w:hAnsi="Arial"/>
          <w:sz w:val="18"/>
          <w:szCs w:val="18"/>
          <w:i w:val="1"/>
          <w:iCs w:val="1"/>
          <w:color w:val="auto"/>
        </w:rPr>
        <w:t>Level 2</w:t>
      </w:r>
      <w:r>
        <w:rPr>
          <w:rFonts w:ascii="Arial" w:cs="Arial" w:eastAsia="Arial" w:hAnsi="Arial"/>
          <w:sz w:val="18"/>
          <w:szCs w:val="18"/>
          <w:color w:val="auto"/>
        </w:rPr>
        <w:t>: Quoted prices in markets that are not active, or inputs which are observable, either directly or indirectly, for substantially the full term of</w:t>
      </w:r>
      <w:r>
        <w:rPr>
          <w:rFonts w:ascii="Arial" w:cs="Arial" w:eastAsia="Arial" w:hAnsi="Arial"/>
          <w:sz w:val="18"/>
          <w:szCs w:val="18"/>
          <w:i w:val="1"/>
          <w:iCs w:val="1"/>
          <w:color w:val="auto"/>
        </w:rPr>
        <w:t xml:space="preserve"> </w:t>
      </w:r>
      <w:r>
        <w:rPr>
          <w:rFonts w:ascii="Arial" w:cs="Arial" w:eastAsia="Arial" w:hAnsi="Arial"/>
          <w:sz w:val="18"/>
          <w:szCs w:val="18"/>
          <w:color w:val="auto"/>
        </w:rPr>
        <w:t>the asset or liability; or</w:t>
      </w:r>
    </w:p>
    <w:p>
      <w:pPr>
        <w:spacing w:after="0" w:line="62" w:lineRule="exact"/>
        <w:rPr>
          <w:sz w:val="20"/>
          <w:szCs w:val="20"/>
          <w:color w:val="auto"/>
        </w:rPr>
      </w:pPr>
    </w:p>
    <w:p>
      <w:pPr>
        <w:ind w:right="20" w:firstLine="440"/>
        <w:spacing w:after="0" w:line="277" w:lineRule="auto"/>
        <w:rPr>
          <w:sz w:val="20"/>
          <w:szCs w:val="20"/>
          <w:color w:val="auto"/>
        </w:rPr>
      </w:pPr>
      <w:r>
        <w:rPr>
          <w:rFonts w:ascii="Arial" w:cs="Arial" w:eastAsia="Arial" w:hAnsi="Arial"/>
          <w:sz w:val="18"/>
          <w:szCs w:val="18"/>
          <w:i w:val="1"/>
          <w:iCs w:val="1"/>
          <w:color w:val="auto"/>
        </w:rPr>
        <w:t>Level 3</w:t>
      </w:r>
      <w:r>
        <w:rPr>
          <w:rFonts w:ascii="Arial" w:cs="Arial" w:eastAsia="Arial" w:hAnsi="Arial"/>
          <w:sz w:val="18"/>
          <w:szCs w:val="18"/>
          <w:color w:val="auto"/>
        </w:rPr>
        <w:t>: Prices or valuation techniques that require inputs that are both significant to the fair value measurement and unobservable (i.e., supported</w:t>
      </w:r>
      <w:r>
        <w:rPr>
          <w:rFonts w:ascii="Arial" w:cs="Arial" w:eastAsia="Arial" w:hAnsi="Arial"/>
          <w:sz w:val="18"/>
          <w:szCs w:val="18"/>
          <w:i w:val="1"/>
          <w:iCs w:val="1"/>
          <w:color w:val="auto"/>
        </w:rPr>
        <w:t xml:space="preserve"> </w:t>
      </w:r>
      <w:r>
        <w:rPr>
          <w:rFonts w:ascii="Arial" w:cs="Arial" w:eastAsia="Arial" w:hAnsi="Arial"/>
          <w:sz w:val="18"/>
          <w:szCs w:val="18"/>
          <w:color w:val="auto"/>
        </w:rPr>
        <w:t>by little or no market activity).</w:t>
      </w:r>
    </w:p>
    <w:p>
      <w:pPr>
        <w:spacing w:after="0" w:line="170"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The Company measures its investments in marketable securities at fair value using the market approach, which uses prices and other relevant information generated by market transactions involving identical or comparable assets or liabilities. The Company has cash equivalents which consist of money market funds valued using the amortized cost method which approximates fair value.</w:t>
      </w:r>
    </w:p>
    <w:p>
      <w:pPr>
        <w:spacing w:after="0" w:line="184" w:lineRule="exact"/>
        <w:rPr>
          <w:sz w:val="20"/>
          <w:szCs w:val="20"/>
          <w:color w:val="auto"/>
        </w:rPr>
      </w:pPr>
    </w:p>
    <w:p>
      <w:pPr>
        <w:ind w:right="60" w:firstLine="440"/>
        <w:spacing w:after="0" w:line="257" w:lineRule="auto"/>
        <w:rPr>
          <w:sz w:val="20"/>
          <w:szCs w:val="20"/>
          <w:color w:val="auto"/>
        </w:rPr>
      </w:pPr>
      <w:r>
        <w:rPr>
          <w:rFonts w:ascii="Arial" w:cs="Arial" w:eastAsia="Arial" w:hAnsi="Arial"/>
          <w:sz w:val="18"/>
          <w:szCs w:val="18"/>
          <w:color w:val="auto"/>
        </w:rPr>
        <w:t>The Convertible Notes are carried on the condensed consolidated balance sheets at their original issuance value including accreted interest, net of unamortized debt discount and issuance cost. The Convertible Notes are not marked to fair value at the end of each reporting period. As of March 31, 2021 and December 31, 2020, the fair value of the Convertible Notes was determined on the basis of market prices observable for similar instruments and is considered Level 2 in the fair value hierarchy. The fair value of the outstanding Convertible Notes as of March 31, 2021 and December 31, 2020 was $842,167 and $890,181, respectively.</w:t>
      </w:r>
    </w:p>
    <w:p>
      <w:pPr>
        <w:spacing w:after="0" w:line="18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table presents information about assets and liabilities required to be carried at fair value on a recurring basis:</w:t>
      </w:r>
    </w:p>
    <w:p>
      <w:pPr>
        <w:spacing w:after="0" w:line="244" w:lineRule="exact"/>
        <w:rPr>
          <w:sz w:val="20"/>
          <w:szCs w:val="20"/>
          <w:color w:val="auto"/>
        </w:rPr>
      </w:pPr>
    </w:p>
    <w:tbl>
      <w:tblPr>
        <w:tblLayout w:type="fixed"/>
        <w:tblInd w:w="880" w:type="dxa"/>
        <w:tblCellMar>
          <w:top w:w="0" w:type="dxa"/>
          <w:left w:w="0" w:type="dxa"/>
          <w:bottom w:w="0" w:type="dxa"/>
          <w:right w:w="0" w:type="dxa"/>
        </w:tblCellMar>
      </w:tblPr>
      <w:tr>
        <w:trPr>
          <w:trHeight w:val="171"/>
        </w:trPr>
        <w:tc>
          <w:tcPr>
            <w:tcW w:w="3740" w:type="dxa"/>
            <w:vAlign w:val="bottom"/>
          </w:tcPr>
          <w:p>
            <w:pPr>
              <w:spacing w:after="0"/>
              <w:rPr>
                <w:sz w:val="20"/>
                <w:szCs w:val="20"/>
                <w:color w:val="auto"/>
              </w:rPr>
            </w:pPr>
            <w:r>
              <w:rPr>
                <w:rFonts w:ascii="Arial" w:cs="Arial" w:eastAsia="Arial" w:hAnsi="Arial"/>
                <w:sz w:val="14"/>
                <w:szCs w:val="14"/>
                <w:b w:val="1"/>
                <w:bCs w:val="1"/>
                <w:color w:val="auto"/>
              </w:rPr>
              <w:t>March 31, 2021</w:t>
            </w:r>
          </w:p>
        </w:tc>
        <w:tc>
          <w:tcPr>
            <w:tcW w:w="3040" w:type="dxa"/>
            <w:vAlign w:val="bottom"/>
          </w:tcPr>
          <w:p>
            <w:pPr>
              <w:spacing w:after="0"/>
              <w:rPr>
                <w:sz w:val="14"/>
                <w:szCs w:val="14"/>
                <w:color w:val="auto"/>
              </w:rPr>
            </w:pPr>
          </w:p>
        </w:tc>
        <w:tc>
          <w:tcPr>
            <w:tcW w:w="580" w:type="dxa"/>
            <w:vAlign w:val="bottom"/>
          </w:tcPr>
          <w:p>
            <w:pPr>
              <w:jc w:val="right"/>
              <w:ind w:right="59"/>
              <w:spacing w:after="0"/>
              <w:rPr>
                <w:sz w:val="20"/>
                <w:szCs w:val="20"/>
                <w:color w:val="auto"/>
              </w:rPr>
            </w:pPr>
            <w:r>
              <w:rPr>
                <w:rFonts w:ascii="Arial" w:cs="Arial" w:eastAsia="Arial" w:hAnsi="Arial"/>
                <w:sz w:val="14"/>
                <w:szCs w:val="14"/>
                <w:b w:val="1"/>
                <w:bCs w:val="1"/>
                <w:color w:val="auto"/>
              </w:rPr>
              <w:t>Total</w:t>
            </w:r>
          </w:p>
        </w:tc>
        <w:tc>
          <w:tcPr>
            <w:tcW w:w="320" w:type="dxa"/>
            <w:vAlign w:val="bottom"/>
          </w:tcPr>
          <w:p>
            <w:pPr>
              <w:spacing w:after="0"/>
              <w:rPr>
                <w:sz w:val="14"/>
                <w:szCs w:val="14"/>
                <w:color w:val="auto"/>
              </w:rPr>
            </w:pPr>
          </w:p>
        </w:tc>
        <w:tc>
          <w:tcPr>
            <w:tcW w:w="600" w:type="dxa"/>
            <w:vAlign w:val="bottom"/>
          </w:tcPr>
          <w:p>
            <w:pPr>
              <w:jc w:val="center"/>
              <w:spacing w:after="0"/>
              <w:rPr>
                <w:sz w:val="20"/>
                <w:szCs w:val="20"/>
                <w:color w:val="auto"/>
              </w:rPr>
            </w:pPr>
            <w:r>
              <w:rPr>
                <w:rFonts w:ascii="Arial" w:cs="Arial" w:eastAsia="Arial" w:hAnsi="Arial"/>
                <w:sz w:val="14"/>
                <w:szCs w:val="14"/>
                <w:b w:val="1"/>
                <w:bCs w:val="1"/>
                <w:color w:val="auto"/>
                <w:w w:val="92"/>
              </w:rPr>
              <w:t>Level 1</w:t>
            </w:r>
          </w:p>
        </w:tc>
        <w:tc>
          <w:tcPr>
            <w:tcW w:w="320" w:type="dxa"/>
            <w:vAlign w:val="bottom"/>
          </w:tcPr>
          <w:p>
            <w:pPr>
              <w:spacing w:after="0"/>
              <w:rPr>
                <w:sz w:val="14"/>
                <w:szCs w:val="14"/>
                <w:color w:val="auto"/>
              </w:rPr>
            </w:pPr>
          </w:p>
        </w:tc>
        <w:tc>
          <w:tcPr>
            <w:tcW w:w="660" w:type="dxa"/>
            <w:vAlign w:val="bottom"/>
            <w:gridSpan w:val="3"/>
          </w:tcPr>
          <w:p>
            <w:pPr>
              <w:ind w:left="80"/>
              <w:spacing w:after="0"/>
              <w:rPr>
                <w:sz w:val="20"/>
                <w:szCs w:val="20"/>
                <w:color w:val="auto"/>
              </w:rPr>
            </w:pPr>
            <w:r>
              <w:rPr>
                <w:rFonts w:ascii="Arial" w:cs="Arial" w:eastAsia="Arial" w:hAnsi="Arial"/>
                <w:sz w:val="14"/>
                <w:szCs w:val="14"/>
                <w:b w:val="1"/>
                <w:bCs w:val="1"/>
                <w:color w:val="auto"/>
              </w:rPr>
              <w:t>Level 2</w:t>
            </w:r>
          </w:p>
        </w:tc>
        <w:tc>
          <w:tcPr>
            <w:tcW w:w="0" w:type="dxa"/>
            <w:vAlign w:val="bottom"/>
          </w:tcPr>
          <w:p>
            <w:pPr>
              <w:spacing w:after="0"/>
              <w:rPr>
                <w:sz w:val="1"/>
                <w:szCs w:val="1"/>
                <w:color w:val="auto"/>
              </w:rPr>
            </w:pPr>
          </w:p>
        </w:tc>
      </w:tr>
      <w:tr>
        <w:trPr>
          <w:trHeight w:val="196"/>
        </w:trPr>
        <w:tc>
          <w:tcPr>
            <w:tcW w:w="37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304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740" w:type="dxa"/>
            <w:vAlign w:val="bottom"/>
          </w:tcPr>
          <w:p>
            <w:pPr>
              <w:spacing w:after="0"/>
              <w:rPr>
                <w:sz w:val="20"/>
                <w:szCs w:val="20"/>
                <w:color w:val="auto"/>
              </w:rPr>
            </w:pPr>
            <w:r>
              <w:rPr>
                <w:rFonts w:ascii="Arial" w:cs="Arial" w:eastAsia="Arial" w:hAnsi="Arial"/>
                <w:sz w:val="18"/>
                <w:szCs w:val="18"/>
                <w:color w:val="auto"/>
              </w:rPr>
              <w:t>Cash equivalents:</w:t>
            </w:r>
          </w:p>
        </w:tc>
        <w:tc>
          <w:tcPr>
            <w:tcW w:w="30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Money market funds</w:t>
            </w:r>
          </w:p>
        </w:tc>
        <w:tc>
          <w:tcPr>
            <w:tcW w:w="3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$24,981</w:t>
            </w:r>
          </w:p>
        </w:tc>
        <w:tc>
          <w:tcPr>
            <w:tcW w:w="920" w:type="dxa"/>
            <w:vAlign w:val="bottom"/>
            <w:gridSpan w:val="2"/>
            <w:shd w:val="clear" w:color="auto" w:fill="CCEEFF"/>
          </w:tcPr>
          <w:p>
            <w:pPr>
              <w:jc w:val="center"/>
              <w:ind w:left="230"/>
              <w:spacing w:after="0"/>
              <w:rPr>
                <w:sz w:val="20"/>
                <w:szCs w:val="20"/>
                <w:color w:val="auto"/>
              </w:rPr>
            </w:pPr>
            <w:r>
              <w:rPr>
                <w:rFonts w:ascii="Arial" w:cs="Arial" w:eastAsia="Arial" w:hAnsi="Arial"/>
                <w:sz w:val="18"/>
                <w:szCs w:val="18"/>
                <w:color w:val="auto"/>
                <w:w w:val="92"/>
              </w:rPr>
              <w:t>$24,981</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740" w:type="dxa"/>
            <w:vAlign w:val="bottom"/>
          </w:tcPr>
          <w:p>
            <w:pPr>
              <w:spacing w:after="0"/>
              <w:rPr>
                <w:sz w:val="20"/>
                <w:szCs w:val="20"/>
                <w:color w:val="auto"/>
              </w:rPr>
            </w:pPr>
            <w:r>
              <w:rPr>
                <w:rFonts w:ascii="Arial" w:cs="Arial" w:eastAsia="Arial" w:hAnsi="Arial"/>
                <w:sz w:val="18"/>
                <w:szCs w:val="18"/>
                <w:color w:val="auto"/>
              </w:rPr>
              <w:t>Investment in marketable debt securities:</w:t>
            </w:r>
          </w:p>
        </w:tc>
        <w:tc>
          <w:tcPr>
            <w:tcW w:w="30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Municipal bonds</w:t>
            </w:r>
          </w:p>
        </w:tc>
        <w:tc>
          <w:tcPr>
            <w:tcW w:w="3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2,945</w:t>
            </w:r>
          </w:p>
        </w:tc>
        <w:tc>
          <w:tcPr>
            <w:tcW w:w="320" w:type="dxa"/>
            <w:vAlign w:val="bottom"/>
            <w:shd w:val="clear" w:color="auto" w:fill="CCEEFF"/>
          </w:tcPr>
          <w:p>
            <w:pPr>
              <w:spacing w:after="0"/>
              <w:rPr>
                <w:sz w:val="18"/>
                <w:szCs w:val="18"/>
                <w:color w:val="auto"/>
              </w:rPr>
            </w:pPr>
          </w:p>
        </w:tc>
        <w:tc>
          <w:tcPr>
            <w:tcW w:w="60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2,945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3740" w:type="dxa"/>
            <w:vAlign w:val="bottom"/>
          </w:tcPr>
          <w:p>
            <w:pPr>
              <w:ind w:left="360"/>
              <w:spacing w:after="0"/>
              <w:rPr>
                <w:sz w:val="20"/>
                <w:szCs w:val="20"/>
                <w:color w:val="auto"/>
              </w:rPr>
            </w:pPr>
            <w:r>
              <w:rPr>
                <w:rFonts w:ascii="Arial" w:cs="Arial" w:eastAsia="Arial" w:hAnsi="Arial"/>
                <w:sz w:val="18"/>
                <w:szCs w:val="18"/>
                <w:color w:val="auto"/>
              </w:rPr>
              <w:t>Corporate notes/bonds</w:t>
            </w:r>
          </w:p>
        </w:tc>
        <w:tc>
          <w:tcPr>
            <w:tcW w:w="3040" w:type="dxa"/>
            <w:vAlign w:val="bottom"/>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14,651</w:t>
            </w:r>
          </w:p>
        </w:tc>
        <w:tc>
          <w:tcPr>
            <w:tcW w:w="320" w:type="dxa"/>
            <w:vAlign w:val="bottom"/>
          </w:tcPr>
          <w:p>
            <w:pPr>
              <w:spacing w:after="0"/>
              <w:rPr>
                <w:sz w:val="19"/>
                <w:szCs w:val="19"/>
                <w:color w:val="auto"/>
              </w:rPr>
            </w:pPr>
          </w:p>
        </w:tc>
        <w:tc>
          <w:tcPr>
            <w:tcW w:w="600" w:type="dxa"/>
            <w:vAlign w:val="bottom"/>
            <w:tcBorders>
              <w:bottom w:val="single" w:sz="8" w:color="auto"/>
            </w:tcBorders>
          </w:tcPr>
          <w:p>
            <w:pPr>
              <w:ind w:left="3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14,651</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740" w:type="dxa"/>
            <w:vAlign w:val="bottom"/>
            <w:shd w:val="clear" w:color="auto" w:fill="CCEEFF"/>
          </w:tcPr>
          <w:p>
            <w:pPr>
              <w:spacing w:after="0"/>
              <w:rPr>
                <w:sz w:val="18"/>
                <w:szCs w:val="18"/>
                <w:color w:val="auto"/>
              </w:rPr>
            </w:pPr>
          </w:p>
        </w:tc>
        <w:tc>
          <w:tcPr>
            <w:tcW w:w="36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42,577</w:t>
            </w:r>
          </w:p>
        </w:tc>
        <w:tc>
          <w:tcPr>
            <w:tcW w:w="920" w:type="dxa"/>
            <w:vAlign w:val="bottom"/>
            <w:gridSpan w:val="2"/>
            <w:shd w:val="clear" w:color="auto" w:fill="CCEEFF"/>
          </w:tcPr>
          <w:p>
            <w:pPr>
              <w:jc w:val="center"/>
              <w:ind w:left="230"/>
              <w:spacing w:after="0"/>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24,981</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17,596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740" w:type="dxa"/>
            <w:vAlign w:val="bottom"/>
          </w:tcPr>
          <w:p>
            <w:pPr>
              <w:spacing w:after="0" w:line="20" w:lineRule="exact"/>
              <w:rPr>
                <w:sz w:val="1"/>
                <w:szCs w:val="1"/>
                <w:color w:val="auto"/>
              </w:rPr>
            </w:pPr>
          </w:p>
        </w:tc>
        <w:tc>
          <w:tcPr>
            <w:tcW w:w="3040" w:type="dxa"/>
            <w:vAlign w:val="bottom"/>
            <w:vMerge w:val="restart"/>
          </w:tcPr>
          <w:p>
            <w:pPr>
              <w:jc w:val="right"/>
              <w:ind w:right="1970"/>
              <w:spacing w:after="0"/>
              <w:rPr>
                <w:sz w:val="20"/>
                <w:szCs w:val="20"/>
                <w:color w:val="auto"/>
              </w:rPr>
            </w:pPr>
            <w:r>
              <w:rPr>
                <w:rFonts w:ascii="Arial" w:cs="Arial" w:eastAsia="Arial" w:hAnsi="Arial"/>
                <w:sz w:val="18"/>
                <w:szCs w:val="18"/>
                <w:color w:val="auto"/>
              </w:rPr>
              <w:t>19</w:t>
            </w: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740" w:type="dxa"/>
            <w:vAlign w:val="bottom"/>
          </w:tcPr>
          <w:p>
            <w:pPr>
              <w:spacing w:after="0"/>
              <w:rPr>
                <w:sz w:val="24"/>
                <w:szCs w:val="24"/>
                <w:color w:val="auto"/>
              </w:rPr>
            </w:pPr>
          </w:p>
        </w:tc>
        <w:tc>
          <w:tcPr>
            <w:tcW w:w="3040" w:type="dxa"/>
            <w:vAlign w:val="bottom"/>
            <w:vMerge w:val="continue"/>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60"/>
          </w:cols>
          <w:pgMar w:left="440" w:top="270" w:right="499" w:bottom="1440" w:gutter="0" w:footer="0" w:header="0"/>
        </w:sectPr>
      </w:pPr>
    </w:p>
    <w:bookmarkStart w:id="23" w:name="page24"/>
    <w:bookmarkEnd w:id="2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INPHI CORPORATION</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(Dollars in thousands except share and per share amounts)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40005</wp:posOffset>
            </wp:positionV>
            <wp:extent cx="699516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pacing w:after="0" w:line="223" w:lineRule="exact"/>
        <w:rPr>
          <w:sz w:val="20"/>
          <w:szCs w:val="20"/>
          <w:color w:val="auto"/>
        </w:rPr>
      </w:pPr>
    </w:p>
    <w:tbl>
      <w:tblPr>
        <w:tblLayout w:type="fixed"/>
        <w:tblInd w:w="880" w:type="dxa"/>
        <w:tblCellMar>
          <w:top w:w="0" w:type="dxa"/>
          <w:left w:w="0" w:type="dxa"/>
          <w:bottom w:w="0" w:type="dxa"/>
          <w:right w:w="0" w:type="dxa"/>
        </w:tblCellMar>
      </w:tblPr>
      <w:tr>
        <w:trPr>
          <w:trHeight w:val="171"/>
        </w:trPr>
        <w:tc>
          <w:tcPr>
            <w:tcW w:w="6660" w:type="dxa"/>
            <w:vAlign w:val="bottom"/>
          </w:tcPr>
          <w:p>
            <w:pPr>
              <w:spacing w:after="0"/>
              <w:rPr>
                <w:sz w:val="20"/>
                <w:szCs w:val="20"/>
                <w:color w:val="auto"/>
              </w:rPr>
            </w:pPr>
            <w:r>
              <w:rPr>
                <w:rFonts w:ascii="Arial" w:cs="Arial" w:eastAsia="Arial" w:hAnsi="Arial"/>
                <w:sz w:val="14"/>
                <w:szCs w:val="14"/>
                <w:b w:val="1"/>
                <w:bCs w:val="1"/>
                <w:color w:val="auto"/>
              </w:rPr>
              <w:t>December 31, 2020</w:t>
            </w: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jc w:val="right"/>
              <w:ind w:right="92"/>
              <w:spacing w:after="0"/>
              <w:rPr>
                <w:sz w:val="20"/>
                <w:szCs w:val="20"/>
                <w:color w:val="auto"/>
              </w:rPr>
            </w:pPr>
            <w:r>
              <w:rPr>
                <w:rFonts w:ascii="Arial" w:cs="Arial" w:eastAsia="Arial" w:hAnsi="Arial"/>
                <w:sz w:val="14"/>
                <w:szCs w:val="14"/>
                <w:b w:val="1"/>
                <w:bCs w:val="1"/>
                <w:color w:val="auto"/>
              </w:rPr>
              <w:t>Total</w:t>
            </w:r>
          </w:p>
        </w:tc>
        <w:tc>
          <w:tcPr>
            <w:tcW w:w="320" w:type="dxa"/>
            <w:vAlign w:val="bottom"/>
          </w:tcPr>
          <w:p>
            <w:pPr>
              <w:spacing w:after="0"/>
              <w:rPr>
                <w:sz w:val="14"/>
                <w:szCs w:val="14"/>
                <w:color w:val="auto"/>
              </w:rPr>
            </w:pPr>
          </w:p>
        </w:tc>
        <w:tc>
          <w:tcPr>
            <w:tcW w:w="600" w:type="dxa"/>
            <w:vAlign w:val="bottom"/>
          </w:tcPr>
          <w:p>
            <w:pPr>
              <w:jc w:val="center"/>
              <w:spacing w:after="0"/>
              <w:rPr>
                <w:sz w:val="20"/>
                <w:szCs w:val="20"/>
                <w:color w:val="auto"/>
              </w:rPr>
            </w:pPr>
            <w:r>
              <w:rPr>
                <w:rFonts w:ascii="Arial" w:cs="Arial" w:eastAsia="Arial" w:hAnsi="Arial"/>
                <w:sz w:val="14"/>
                <w:szCs w:val="14"/>
                <w:b w:val="1"/>
                <w:bCs w:val="1"/>
                <w:color w:val="auto"/>
                <w:w w:val="92"/>
              </w:rPr>
              <w:t>Level 1</w:t>
            </w:r>
          </w:p>
        </w:tc>
        <w:tc>
          <w:tcPr>
            <w:tcW w:w="320" w:type="dxa"/>
            <w:vAlign w:val="bottom"/>
          </w:tcPr>
          <w:p>
            <w:pPr>
              <w:spacing w:after="0"/>
              <w:rPr>
                <w:sz w:val="14"/>
                <w:szCs w:val="14"/>
                <w:color w:val="auto"/>
              </w:rPr>
            </w:pPr>
          </w:p>
        </w:tc>
        <w:tc>
          <w:tcPr>
            <w:tcW w:w="660" w:type="dxa"/>
            <w:vAlign w:val="bottom"/>
            <w:gridSpan w:val="3"/>
          </w:tcPr>
          <w:p>
            <w:pPr>
              <w:ind w:left="80"/>
              <w:spacing w:after="0"/>
              <w:rPr>
                <w:sz w:val="20"/>
                <w:szCs w:val="20"/>
                <w:color w:val="auto"/>
              </w:rPr>
            </w:pPr>
            <w:r>
              <w:rPr>
                <w:rFonts w:ascii="Arial" w:cs="Arial" w:eastAsia="Arial" w:hAnsi="Arial"/>
                <w:sz w:val="14"/>
                <w:szCs w:val="14"/>
                <w:b w:val="1"/>
                <w:bCs w:val="1"/>
                <w:color w:val="auto"/>
              </w:rPr>
              <w:t>Level 2</w:t>
            </w:r>
          </w:p>
        </w:tc>
      </w:tr>
      <w:tr>
        <w:trPr>
          <w:trHeight w:val="196"/>
        </w:trPr>
        <w:tc>
          <w:tcPr>
            <w:tcW w:w="66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r>
      <w:tr>
        <w:trPr>
          <w:trHeight w:val="216"/>
        </w:trPr>
        <w:tc>
          <w:tcPr>
            <w:tcW w:w="6660" w:type="dxa"/>
            <w:vAlign w:val="bottom"/>
          </w:tcPr>
          <w:p>
            <w:pPr>
              <w:spacing w:after="0"/>
              <w:rPr>
                <w:sz w:val="20"/>
                <w:szCs w:val="20"/>
                <w:color w:val="auto"/>
              </w:rPr>
            </w:pPr>
            <w:r>
              <w:rPr>
                <w:rFonts w:ascii="Arial" w:cs="Arial" w:eastAsia="Arial" w:hAnsi="Arial"/>
                <w:sz w:val="18"/>
                <w:szCs w:val="18"/>
                <w:color w:val="auto"/>
              </w:rPr>
              <w:t>Cash equivalents: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66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Money market funds</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21,044</w:t>
            </w:r>
          </w:p>
        </w:tc>
        <w:tc>
          <w:tcPr>
            <w:tcW w:w="920" w:type="dxa"/>
            <w:vAlign w:val="bottom"/>
            <w:gridSpan w:val="2"/>
            <w:shd w:val="clear" w:color="auto" w:fill="CCEEFF"/>
          </w:tcPr>
          <w:p>
            <w:pPr>
              <w:jc w:val="center"/>
              <w:ind w:left="230"/>
              <w:spacing w:after="0"/>
              <w:rPr>
                <w:sz w:val="20"/>
                <w:szCs w:val="20"/>
                <w:color w:val="auto"/>
              </w:rPr>
            </w:pPr>
            <w:r>
              <w:rPr>
                <w:rFonts w:ascii="Arial" w:cs="Arial" w:eastAsia="Arial" w:hAnsi="Arial"/>
                <w:sz w:val="18"/>
                <w:szCs w:val="18"/>
                <w:color w:val="auto"/>
                <w:w w:val="92"/>
              </w:rPr>
              <w:t>$20,408</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636</w:t>
            </w:r>
          </w:p>
        </w:tc>
        <w:tc>
          <w:tcPr>
            <w:tcW w:w="60" w:type="dxa"/>
            <w:vAlign w:val="bottom"/>
            <w:shd w:val="clear" w:color="auto" w:fill="CCEEFF"/>
          </w:tcPr>
          <w:p>
            <w:pPr>
              <w:spacing w:after="0"/>
              <w:rPr>
                <w:sz w:val="18"/>
                <w:szCs w:val="18"/>
                <w:color w:val="auto"/>
              </w:rPr>
            </w:pPr>
          </w:p>
        </w:tc>
      </w:tr>
      <w:tr>
        <w:trPr>
          <w:trHeight w:val="216"/>
        </w:trPr>
        <w:tc>
          <w:tcPr>
            <w:tcW w:w="6660" w:type="dxa"/>
            <w:vAlign w:val="bottom"/>
          </w:tcPr>
          <w:p>
            <w:pPr>
              <w:ind w:left="360"/>
              <w:spacing w:after="0"/>
              <w:rPr>
                <w:sz w:val="20"/>
                <w:szCs w:val="20"/>
                <w:color w:val="auto"/>
              </w:rPr>
            </w:pPr>
            <w:r>
              <w:rPr>
                <w:rFonts w:ascii="Arial" w:cs="Arial" w:eastAsia="Arial" w:hAnsi="Arial"/>
                <w:sz w:val="18"/>
                <w:szCs w:val="18"/>
                <w:color w:val="auto"/>
              </w:rPr>
              <w:t>Commercial paper</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18,297</w:t>
            </w:r>
          </w:p>
        </w:tc>
        <w:tc>
          <w:tcPr>
            <w:tcW w:w="320" w:type="dxa"/>
            <w:vAlign w:val="bottom"/>
          </w:tcPr>
          <w:p>
            <w:pPr>
              <w:spacing w:after="0"/>
              <w:rPr>
                <w:sz w:val="18"/>
                <w:szCs w:val="18"/>
                <w:color w:val="auto"/>
              </w:rPr>
            </w:pPr>
          </w:p>
        </w:tc>
        <w:tc>
          <w:tcPr>
            <w:tcW w:w="600" w:type="dxa"/>
            <w:vAlign w:val="bottom"/>
          </w:tcPr>
          <w:p>
            <w:pPr>
              <w:ind w:left="3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18,297</w:t>
            </w:r>
          </w:p>
        </w:tc>
        <w:tc>
          <w:tcPr>
            <w:tcW w:w="60" w:type="dxa"/>
            <w:vAlign w:val="bottom"/>
          </w:tcPr>
          <w:p>
            <w:pPr>
              <w:spacing w:after="0"/>
              <w:rPr>
                <w:sz w:val="18"/>
                <w:szCs w:val="18"/>
                <w:color w:val="auto"/>
              </w:rPr>
            </w:pPr>
          </w:p>
        </w:tc>
      </w:tr>
      <w:tr>
        <w:trPr>
          <w:trHeight w:val="216"/>
        </w:trPr>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Investments in marketable securities: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6660" w:type="dxa"/>
            <w:vAlign w:val="bottom"/>
          </w:tcPr>
          <w:p>
            <w:pPr>
              <w:ind w:left="360"/>
              <w:spacing w:after="0"/>
              <w:rPr>
                <w:sz w:val="20"/>
                <w:szCs w:val="20"/>
                <w:color w:val="auto"/>
              </w:rPr>
            </w:pPr>
            <w:r>
              <w:rPr>
                <w:rFonts w:ascii="Arial" w:cs="Arial" w:eastAsia="Arial" w:hAnsi="Arial"/>
                <w:sz w:val="18"/>
                <w:szCs w:val="18"/>
                <w:color w:val="auto"/>
              </w:rPr>
              <w:t>Municipal bonds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18,940</w:t>
            </w:r>
          </w:p>
        </w:tc>
        <w:tc>
          <w:tcPr>
            <w:tcW w:w="320" w:type="dxa"/>
            <w:vAlign w:val="bottom"/>
          </w:tcPr>
          <w:p>
            <w:pPr>
              <w:spacing w:after="0"/>
              <w:rPr>
                <w:sz w:val="18"/>
                <w:szCs w:val="18"/>
                <w:color w:val="auto"/>
              </w:rPr>
            </w:pPr>
          </w:p>
        </w:tc>
        <w:tc>
          <w:tcPr>
            <w:tcW w:w="600" w:type="dxa"/>
            <w:vAlign w:val="bottom"/>
          </w:tcPr>
          <w:p>
            <w:pPr>
              <w:ind w:left="3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18,940</w:t>
            </w:r>
          </w:p>
        </w:tc>
        <w:tc>
          <w:tcPr>
            <w:tcW w:w="60" w:type="dxa"/>
            <w:vAlign w:val="bottom"/>
          </w:tcPr>
          <w:p>
            <w:pPr>
              <w:spacing w:after="0"/>
              <w:rPr>
                <w:sz w:val="18"/>
                <w:szCs w:val="18"/>
                <w:color w:val="auto"/>
              </w:rPr>
            </w:pPr>
          </w:p>
        </w:tc>
      </w:tr>
      <w:tr>
        <w:trPr>
          <w:trHeight w:val="216"/>
        </w:trPr>
        <w:tc>
          <w:tcPr>
            <w:tcW w:w="66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Corporate notes/bonds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39,546</w:t>
            </w:r>
          </w:p>
        </w:tc>
        <w:tc>
          <w:tcPr>
            <w:tcW w:w="320" w:type="dxa"/>
            <w:vAlign w:val="bottom"/>
            <w:shd w:val="clear" w:color="auto" w:fill="CCEEFF"/>
          </w:tcPr>
          <w:p>
            <w:pPr>
              <w:spacing w:after="0"/>
              <w:rPr>
                <w:sz w:val="18"/>
                <w:szCs w:val="18"/>
                <w:color w:val="auto"/>
              </w:rPr>
            </w:pPr>
          </w:p>
        </w:tc>
        <w:tc>
          <w:tcPr>
            <w:tcW w:w="60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39,546</w:t>
            </w:r>
          </w:p>
        </w:tc>
        <w:tc>
          <w:tcPr>
            <w:tcW w:w="60" w:type="dxa"/>
            <w:vAlign w:val="bottom"/>
            <w:shd w:val="clear" w:color="auto" w:fill="CCEEFF"/>
          </w:tcPr>
          <w:p>
            <w:pPr>
              <w:spacing w:after="0"/>
              <w:rPr>
                <w:sz w:val="18"/>
                <w:szCs w:val="18"/>
                <w:color w:val="auto"/>
              </w:rPr>
            </w:pPr>
          </w:p>
        </w:tc>
      </w:tr>
      <w:tr>
        <w:trPr>
          <w:trHeight w:val="216"/>
        </w:trPr>
        <w:tc>
          <w:tcPr>
            <w:tcW w:w="6660" w:type="dxa"/>
            <w:vAlign w:val="bottom"/>
          </w:tcPr>
          <w:p>
            <w:pPr>
              <w:ind w:left="360"/>
              <w:spacing w:after="0"/>
              <w:rPr>
                <w:sz w:val="20"/>
                <w:szCs w:val="20"/>
                <w:color w:val="auto"/>
              </w:rPr>
            </w:pPr>
            <w:r>
              <w:rPr>
                <w:rFonts w:ascii="Arial" w:cs="Arial" w:eastAsia="Arial" w:hAnsi="Arial"/>
                <w:sz w:val="18"/>
                <w:szCs w:val="18"/>
                <w:color w:val="auto"/>
              </w:rPr>
              <w:t>Asset-backed securities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2,504</w:t>
            </w:r>
          </w:p>
        </w:tc>
        <w:tc>
          <w:tcPr>
            <w:tcW w:w="320" w:type="dxa"/>
            <w:vAlign w:val="bottom"/>
          </w:tcPr>
          <w:p>
            <w:pPr>
              <w:spacing w:after="0"/>
              <w:rPr>
                <w:sz w:val="18"/>
                <w:szCs w:val="18"/>
                <w:color w:val="auto"/>
              </w:rPr>
            </w:pPr>
          </w:p>
        </w:tc>
        <w:tc>
          <w:tcPr>
            <w:tcW w:w="600" w:type="dxa"/>
            <w:vAlign w:val="bottom"/>
          </w:tcPr>
          <w:p>
            <w:pPr>
              <w:ind w:left="3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2,504</w:t>
            </w:r>
          </w:p>
        </w:tc>
        <w:tc>
          <w:tcPr>
            <w:tcW w:w="60" w:type="dxa"/>
            <w:vAlign w:val="bottom"/>
          </w:tcPr>
          <w:p>
            <w:pPr>
              <w:spacing w:after="0"/>
              <w:rPr>
                <w:sz w:val="18"/>
                <w:szCs w:val="18"/>
                <w:color w:val="auto"/>
              </w:rPr>
            </w:pPr>
          </w:p>
        </w:tc>
      </w:tr>
      <w:tr>
        <w:trPr>
          <w:trHeight w:val="216"/>
        </w:trPr>
        <w:tc>
          <w:tcPr>
            <w:tcW w:w="66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Commercial paper</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2,399</w:t>
            </w:r>
          </w:p>
        </w:tc>
        <w:tc>
          <w:tcPr>
            <w:tcW w:w="320" w:type="dxa"/>
            <w:vAlign w:val="bottom"/>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2,399</w:t>
            </w:r>
          </w:p>
        </w:tc>
        <w:tc>
          <w:tcPr>
            <w:tcW w:w="60" w:type="dxa"/>
            <w:vAlign w:val="bottom"/>
            <w:shd w:val="clear" w:color="auto" w:fill="CCEEFF"/>
          </w:tcPr>
          <w:p>
            <w:pPr>
              <w:spacing w:after="0"/>
              <w:rPr>
                <w:sz w:val="18"/>
                <w:szCs w:val="18"/>
                <w:color w:val="auto"/>
              </w:rPr>
            </w:pPr>
          </w:p>
        </w:tc>
      </w:tr>
      <w:tr>
        <w:trPr>
          <w:trHeight w:val="223"/>
        </w:trPr>
        <w:tc>
          <w:tcPr>
            <w:tcW w:w="666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102,730</w:t>
            </w:r>
          </w:p>
        </w:tc>
        <w:tc>
          <w:tcPr>
            <w:tcW w:w="320" w:type="dxa"/>
            <w:vAlign w:val="bottom"/>
          </w:tcPr>
          <w:p>
            <w:pPr>
              <w:spacing w:after="0"/>
              <w:rPr>
                <w:sz w:val="19"/>
                <w:szCs w:val="19"/>
                <w:color w:val="auto"/>
              </w:rPr>
            </w:pPr>
          </w:p>
        </w:tc>
        <w:tc>
          <w:tcPr>
            <w:tcW w:w="600" w:type="dxa"/>
            <w:vAlign w:val="bottom"/>
            <w:tcBorders>
              <w:bottom w:val="single" w:sz="8" w:color="auto"/>
            </w:tcBorders>
          </w:tcPr>
          <w:p>
            <w:pPr>
              <w:jc w:val="center"/>
              <w:spacing w:after="0"/>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20,408</w:t>
            </w:r>
          </w:p>
        </w:tc>
        <w:tc>
          <w:tcPr>
            <w:tcW w:w="320" w:type="dxa"/>
            <w:vAlign w:val="bottom"/>
          </w:tcPr>
          <w:p>
            <w:pPr>
              <w:spacing w:after="0"/>
              <w:rPr>
                <w:sz w:val="19"/>
                <w:szCs w:val="19"/>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82,322</w:t>
            </w:r>
          </w:p>
        </w:tc>
        <w:tc>
          <w:tcPr>
            <w:tcW w:w="60" w:type="dxa"/>
            <w:vAlign w:val="bottom"/>
          </w:tcPr>
          <w:p>
            <w:pPr>
              <w:spacing w:after="0"/>
              <w:rPr>
                <w:sz w:val="19"/>
                <w:szCs w:val="19"/>
                <w:color w:val="auto"/>
              </w:rPr>
            </w:pPr>
          </w:p>
        </w:tc>
      </w:tr>
      <w:tr>
        <w:trPr>
          <w:trHeight w:val="20"/>
        </w:trPr>
        <w:tc>
          <w:tcPr>
            <w:tcW w:w="66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15" w:lineRule="exact"/>
        <w:rPr>
          <w:sz w:val="20"/>
          <w:szCs w:val="20"/>
          <w:color w:val="auto"/>
        </w:rPr>
      </w:pPr>
    </w:p>
    <w:p>
      <w:pPr>
        <w:ind w:right="320" w:firstLine="440"/>
        <w:spacing w:after="0" w:line="259" w:lineRule="auto"/>
        <w:rPr>
          <w:sz w:val="20"/>
          <w:szCs w:val="20"/>
          <w:color w:val="auto"/>
        </w:rPr>
      </w:pPr>
      <w:r>
        <w:rPr>
          <w:rFonts w:ascii="Arial" w:cs="Arial" w:eastAsia="Arial" w:hAnsi="Arial"/>
          <w:sz w:val="18"/>
          <w:szCs w:val="18"/>
          <w:color w:val="auto"/>
        </w:rPr>
        <w:t>As discussed in note 4, the Company has a marketable equity investment. The marketable equity investment is classified as Level 1 in the fair value hierarchy. As discussed in note 4, the Company has non-marketable equity investments, which are classified within Level 3 in the fair value hierarchy because the Company estimates the value based on valuation methods using the observable transaction price at the most recent transaction date.</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16. Segment and Geographic Information</w:t>
      </w:r>
    </w:p>
    <w:p>
      <w:pPr>
        <w:spacing w:after="0" w:line="121"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The Company operates in one reportable segment. The Company’s Chief Executive Officer, who is considered to be the chief operating decision maker, manages the Company’s operations as a whole and reviews consolidated financial information for purposes of evaluating financial performance and allocating resources. Revenue by region is classified based on the locations to which the products are shipped, which may differ from the customer’s principal offices.</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table sets forth the Company’s revenue by geographic region:</w:t>
      </w:r>
    </w:p>
    <w:p>
      <w:pPr>
        <w:spacing w:after="0" w:line="244" w:lineRule="exact"/>
        <w:rPr>
          <w:sz w:val="20"/>
          <w:szCs w:val="20"/>
          <w:color w:val="auto"/>
        </w:rPr>
      </w:pPr>
    </w:p>
    <w:tbl>
      <w:tblPr>
        <w:tblLayout w:type="fixed"/>
        <w:tblInd w:w="1320" w:type="dxa"/>
        <w:tblCellMar>
          <w:top w:w="0" w:type="dxa"/>
          <w:left w:w="0" w:type="dxa"/>
          <w:bottom w:w="0" w:type="dxa"/>
          <w:right w:w="0" w:type="dxa"/>
        </w:tblCellMar>
      </w:tblPr>
      <w:tr>
        <w:trPr>
          <w:trHeight w:val="171"/>
        </w:trPr>
        <w:tc>
          <w:tcPr>
            <w:tcW w:w="6200" w:type="dxa"/>
            <w:vAlign w:val="bottom"/>
          </w:tcPr>
          <w:p>
            <w:pPr>
              <w:spacing w:after="0"/>
              <w:rPr>
                <w:sz w:val="14"/>
                <w:szCs w:val="14"/>
                <w:color w:val="auto"/>
              </w:rPr>
            </w:pPr>
          </w:p>
        </w:tc>
        <w:tc>
          <w:tcPr>
            <w:tcW w:w="2160" w:type="dxa"/>
            <w:vAlign w:val="bottom"/>
            <w:gridSpan w:val="7"/>
          </w:tcPr>
          <w:p>
            <w:pPr>
              <w:ind w:left="80"/>
              <w:spacing w:after="0"/>
              <w:rPr>
                <w:sz w:val="20"/>
                <w:szCs w:val="20"/>
                <w:color w:val="auto"/>
              </w:rPr>
            </w:pPr>
            <w:r>
              <w:rPr>
                <w:rFonts w:ascii="Arial" w:cs="Arial" w:eastAsia="Arial" w:hAnsi="Arial"/>
                <w:sz w:val="14"/>
                <w:szCs w:val="14"/>
                <w:b w:val="1"/>
                <w:bCs w:val="1"/>
                <w:color w:val="auto"/>
                <w:w w:val="99"/>
              </w:rPr>
              <w:t>Three Months Ended March 31,</w:t>
            </w:r>
          </w:p>
        </w:tc>
      </w:tr>
      <w:tr>
        <w:trPr>
          <w:trHeight w:val="142"/>
        </w:trPr>
        <w:tc>
          <w:tcPr>
            <w:tcW w:w="6200" w:type="dxa"/>
            <w:vAlign w:val="bottom"/>
            <w:tcBorders>
              <w:bottom w:val="single" w:sz="8" w:color="CCEEFF"/>
            </w:tcBorders>
          </w:tcPr>
          <w:p>
            <w:pPr>
              <w:spacing w:after="0"/>
              <w:rPr>
                <w:sz w:val="12"/>
                <w:szCs w:val="12"/>
                <w:color w:val="auto"/>
              </w:rPr>
            </w:pPr>
          </w:p>
        </w:tc>
        <w:tc>
          <w:tcPr>
            <w:tcW w:w="200" w:type="dxa"/>
            <w:vAlign w:val="bottom"/>
            <w:tcBorders>
              <w:top w:val="single" w:sz="8" w:color="auto"/>
              <w:bottom w:val="single" w:sz="8" w:color="auto"/>
            </w:tcBorders>
          </w:tcPr>
          <w:p>
            <w:pPr>
              <w:spacing w:after="0"/>
              <w:rPr>
                <w:sz w:val="12"/>
                <w:szCs w:val="12"/>
                <w:color w:val="auto"/>
              </w:rPr>
            </w:pPr>
          </w:p>
        </w:tc>
        <w:tc>
          <w:tcPr>
            <w:tcW w:w="700" w:type="dxa"/>
            <w:vAlign w:val="bottom"/>
            <w:tcBorders>
              <w:top w:val="single" w:sz="8" w:color="auto"/>
              <w:bottom w:val="single" w:sz="8" w:color="auto"/>
            </w:tcBorders>
          </w:tcPr>
          <w:p>
            <w:pPr>
              <w:jc w:val="right"/>
              <w:ind w:right="213"/>
              <w:spacing w:after="0" w:line="142" w:lineRule="exact"/>
              <w:rPr>
                <w:sz w:val="20"/>
                <w:szCs w:val="20"/>
                <w:color w:val="auto"/>
              </w:rPr>
            </w:pPr>
            <w:r>
              <w:rPr>
                <w:rFonts w:ascii="Arial" w:cs="Arial" w:eastAsia="Arial" w:hAnsi="Arial"/>
                <w:sz w:val="14"/>
                <w:szCs w:val="14"/>
                <w:b w:val="1"/>
                <w:bCs w:val="1"/>
                <w:color w:val="auto"/>
              </w:rPr>
              <w:t>2021</w:t>
            </w:r>
          </w:p>
        </w:tc>
        <w:tc>
          <w:tcPr>
            <w:tcW w:w="160" w:type="dxa"/>
            <w:vAlign w:val="bottom"/>
            <w:tcBorders>
              <w:top w:val="single" w:sz="8" w:color="auto"/>
              <w:bottom w:val="single" w:sz="8" w:color="CCEEFF"/>
            </w:tcBorders>
          </w:tcPr>
          <w:p>
            <w:pPr>
              <w:spacing w:after="0"/>
              <w:rPr>
                <w:sz w:val="12"/>
                <w:szCs w:val="12"/>
                <w:color w:val="auto"/>
              </w:rPr>
            </w:pPr>
          </w:p>
        </w:tc>
        <w:tc>
          <w:tcPr>
            <w:tcW w:w="160" w:type="dxa"/>
            <w:vAlign w:val="bottom"/>
            <w:tcBorders>
              <w:top w:val="single" w:sz="8" w:color="auto"/>
              <w:bottom w:val="single" w:sz="8" w:color="CCEEFF"/>
            </w:tcBorders>
          </w:tcPr>
          <w:p>
            <w:pPr>
              <w:spacing w:after="0"/>
              <w:rPr>
                <w:sz w:val="12"/>
                <w:szCs w:val="12"/>
                <w:color w:val="auto"/>
              </w:rPr>
            </w:pPr>
          </w:p>
        </w:tc>
        <w:tc>
          <w:tcPr>
            <w:tcW w:w="180" w:type="dxa"/>
            <w:vAlign w:val="bottom"/>
            <w:tcBorders>
              <w:top w:val="single" w:sz="8" w:color="auto"/>
              <w:bottom w:val="single" w:sz="8" w:color="auto"/>
            </w:tcBorders>
          </w:tcPr>
          <w:p>
            <w:pPr>
              <w:spacing w:after="0"/>
              <w:rPr>
                <w:sz w:val="12"/>
                <w:szCs w:val="12"/>
                <w:color w:val="auto"/>
              </w:rPr>
            </w:pPr>
          </w:p>
        </w:tc>
        <w:tc>
          <w:tcPr>
            <w:tcW w:w="720" w:type="dxa"/>
            <w:vAlign w:val="bottom"/>
            <w:tcBorders>
              <w:top w:val="single" w:sz="8" w:color="auto"/>
              <w:bottom w:val="single" w:sz="8" w:color="auto"/>
            </w:tcBorders>
          </w:tcPr>
          <w:p>
            <w:pPr>
              <w:jc w:val="right"/>
              <w:ind w:right="233"/>
              <w:spacing w:after="0" w:line="142" w:lineRule="exact"/>
              <w:rPr>
                <w:sz w:val="20"/>
                <w:szCs w:val="20"/>
                <w:color w:val="auto"/>
              </w:rPr>
            </w:pPr>
            <w:r>
              <w:rPr>
                <w:rFonts w:ascii="Arial" w:cs="Arial" w:eastAsia="Arial" w:hAnsi="Arial"/>
                <w:sz w:val="14"/>
                <w:szCs w:val="14"/>
                <w:b w:val="1"/>
                <w:bCs w:val="1"/>
                <w:color w:val="auto"/>
              </w:rPr>
              <w:t>2020</w:t>
            </w:r>
          </w:p>
        </w:tc>
        <w:tc>
          <w:tcPr>
            <w:tcW w:w="40" w:type="dxa"/>
            <w:vAlign w:val="bottom"/>
            <w:tcBorders>
              <w:bottom w:val="single" w:sz="8" w:color="CCEEFF"/>
            </w:tcBorders>
          </w:tcPr>
          <w:p>
            <w:pPr>
              <w:spacing w:after="0"/>
              <w:rPr>
                <w:sz w:val="12"/>
                <w:szCs w:val="12"/>
                <w:color w:val="auto"/>
              </w:rPr>
            </w:pPr>
          </w:p>
        </w:tc>
      </w:tr>
      <w:tr>
        <w:trPr>
          <w:trHeight w:val="210"/>
        </w:trPr>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China</w:t>
            </w:r>
          </w:p>
        </w:tc>
        <w:tc>
          <w:tcPr>
            <w:tcW w:w="200" w:type="dxa"/>
            <w:vAlign w:val="bottom"/>
            <w:shd w:val="clear" w:color="auto" w:fill="CCEEFF"/>
          </w:tcPr>
          <w:p>
            <w:pPr>
              <w:jc w:val="right"/>
              <w:ind w:right="16"/>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109,246</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27"/>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67,841</w:t>
            </w:r>
          </w:p>
        </w:tc>
        <w:tc>
          <w:tcPr>
            <w:tcW w:w="40" w:type="dxa"/>
            <w:vAlign w:val="bottom"/>
            <w:shd w:val="clear" w:color="auto" w:fill="CCEEFF"/>
          </w:tcPr>
          <w:p>
            <w:pPr>
              <w:spacing w:after="0"/>
              <w:rPr>
                <w:sz w:val="18"/>
                <w:szCs w:val="18"/>
                <w:color w:val="auto"/>
              </w:rPr>
            </w:pPr>
          </w:p>
        </w:tc>
      </w:tr>
      <w:tr>
        <w:trPr>
          <w:trHeight w:val="216"/>
        </w:trPr>
        <w:tc>
          <w:tcPr>
            <w:tcW w:w="6200" w:type="dxa"/>
            <w:vAlign w:val="bottom"/>
          </w:tcPr>
          <w:p>
            <w:pPr>
              <w:spacing w:after="0"/>
              <w:rPr>
                <w:sz w:val="20"/>
                <w:szCs w:val="20"/>
                <w:color w:val="auto"/>
              </w:rPr>
            </w:pPr>
            <w:r>
              <w:rPr>
                <w:rFonts w:ascii="Arial" w:cs="Arial" w:eastAsia="Arial" w:hAnsi="Arial"/>
                <w:sz w:val="18"/>
                <w:szCs w:val="18"/>
                <w:color w:val="auto"/>
              </w:rPr>
              <w:t>United States</w:t>
            </w:r>
          </w:p>
        </w:tc>
        <w:tc>
          <w:tcPr>
            <w:tcW w:w="2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24,358</w:t>
            </w: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41,604</w:t>
            </w:r>
          </w:p>
        </w:tc>
      </w:tr>
      <w:tr>
        <w:trPr>
          <w:trHeight w:val="216"/>
        </w:trPr>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Thailand</w:t>
            </w:r>
          </w:p>
        </w:tc>
        <w:tc>
          <w:tcPr>
            <w:tcW w:w="2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17,519</w:t>
            </w: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13,930</w:t>
            </w:r>
          </w:p>
        </w:tc>
      </w:tr>
      <w:tr>
        <w:trPr>
          <w:trHeight w:val="216"/>
        </w:trPr>
        <w:tc>
          <w:tcPr>
            <w:tcW w:w="6200" w:type="dxa"/>
            <w:vAlign w:val="bottom"/>
          </w:tcPr>
          <w:p>
            <w:pPr>
              <w:spacing w:after="0"/>
              <w:rPr>
                <w:sz w:val="20"/>
                <w:szCs w:val="20"/>
                <w:color w:val="auto"/>
              </w:rPr>
            </w:pPr>
            <w:r>
              <w:rPr>
                <w:rFonts w:ascii="Arial" w:cs="Arial" w:eastAsia="Arial" w:hAnsi="Arial"/>
                <w:sz w:val="18"/>
                <w:szCs w:val="18"/>
                <w:color w:val="auto"/>
              </w:rPr>
              <w:t>Other</w:t>
            </w:r>
          </w:p>
        </w:tc>
        <w:tc>
          <w:tcPr>
            <w:tcW w:w="2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26,294</w:t>
            </w: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16,055</w:t>
            </w:r>
          </w:p>
        </w:tc>
      </w:tr>
      <w:tr>
        <w:trPr>
          <w:trHeight w:val="27"/>
        </w:trPr>
        <w:tc>
          <w:tcPr>
            <w:tcW w:w="620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r>
      <w:tr>
        <w:trPr>
          <w:trHeight w:val="216"/>
        </w:trPr>
        <w:tc>
          <w:tcPr>
            <w:tcW w:w="620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6"/>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177,417</w:t>
            </w:r>
          </w:p>
        </w:tc>
        <w:tc>
          <w:tcPr>
            <w:tcW w:w="16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ind w:right="27"/>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139,430</w:t>
            </w:r>
          </w:p>
        </w:tc>
      </w:tr>
      <w:tr>
        <w:trPr>
          <w:trHeight w:val="20"/>
        </w:trPr>
        <w:tc>
          <w:tcPr>
            <w:tcW w:w="620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15" w:lineRule="exact"/>
        <w:rPr>
          <w:sz w:val="20"/>
          <w:szCs w:val="20"/>
          <w:color w:val="auto"/>
        </w:rPr>
      </w:pPr>
    </w:p>
    <w:p>
      <w:pPr>
        <w:ind w:right="140" w:firstLine="440"/>
        <w:spacing w:after="0" w:line="308" w:lineRule="auto"/>
        <w:rPr>
          <w:sz w:val="20"/>
          <w:szCs w:val="20"/>
          <w:color w:val="auto"/>
        </w:rPr>
      </w:pPr>
      <w:r>
        <w:rPr>
          <w:rFonts w:ascii="Arial" w:cs="Arial" w:eastAsia="Arial" w:hAnsi="Arial"/>
          <w:sz w:val="17"/>
          <w:szCs w:val="17"/>
          <w:color w:val="auto"/>
        </w:rPr>
        <w:t>As of March 31, 2021, $72,483 of long-lived tangible assets are located outside the United States, of which $59,490 are located in Taiwan. As of December 31, 2020, $72,364 of long-lived tangible assets are located outside the United States, of which $59,931 are located in Taiwan.</w:t>
      </w:r>
    </w:p>
    <w:p>
      <w:pPr>
        <w:spacing w:after="0" w:line="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000"/>
          </w:cols>
          <w:pgMar w:left="440" w:top="270" w:right="459" w:bottom="1440" w:gutter="0" w:footer="0" w:header="0"/>
        </w:sectPr>
      </w:pPr>
    </w:p>
    <w:bookmarkStart w:id="24" w:name="page25"/>
    <w:bookmarkEnd w:id="24"/>
    <w:p>
      <w:pPr>
        <w:jc w:val="center"/>
        <w:ind w:right="-3"/>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INPHI CORPORATION</w:t>
      </w:r>
    </w:p>
    <w:p>
      <w:pPr>
        <w:spacing w:after="0" w:line="27"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9"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(Dollars in thousands except share and per share amounts)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40005</wp:posOffset>
            </wp:positionV>
            <wp:extent cx="699516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pacing w:after="0" w:line="227" w:lineRule="exact"/>
        <w:rPr>
          <w:sz w:val="20"/>
          <w:szCs w:val="20"/>
          <w:color w:val="auto"/>
        </w:rPr>
      </w:pPr>
    </w:p>
    <w:p>
      <w:pPr>
        <w:jc w:val="both"/>
        <w:ind w:left="4" w:right="8180" w:hanging="4"/>
        <w:spacing w:after="0" w:line="425" w:lineRule="auto"/>
        <w:tabs>
          <w:tab w:leader="none" w:pos="274" w:val="left"/>
        </w:tabs>
        <w:numPr>
          <w:ilvl w:val="0"/>
          <w:numId w:val="3"/>
        </w:numPr>
        <w:rPr>
          <w:rFonts w:ascii="Arial" w:cs="Arial" w:eastAsia="Arial" w:hAnsi="Arial"/>
          <w:sz w:val="16"/>
          <w:szCs w:val="16"/>
          <w:b w:val="1"/>
          <w:bCs w:val="1"/>
          <w:color w:val="auto"/>
        </w:rPr>
      </w:pPr>
      <w:r>
        <w:rPr>
          <w:rFonts w:ascii="Arial" w:cs="Arial" w:eastAsia="Arial" w:hAnsi="Arial"/>
          <w:sz w:val="16"/>
          <w:szCs w:val="16"/>
          <w:b w:val="1"/>
          <w:bCs w:val="1"/>
          <w:color w:val="auto"/>
        </w:rPr>
        <w:t>Commitments and Contingencies Noncancelable Purchase Obligations</w:t>
      </w:r>
    </w:p>
    <w:p>
      <w:pPr>
        <w:ind w:left="4" w:right="20" w:firstLine="440"/>
        <w:spacing w:after="0" w:line="342" w:lineRule="auto"/>
        <w:rPr>
          <w:sz w:val="20"/>
          <w:szCs w:val="20"/>
          <w:color w:val="auto"/>
        </w:rPr>
      </w:pPr>
      <w:r>
        <w:rPr>
          <w:rFonts w:ascii="Arial" w:cs="Arial" w:eastAsia="Arial" w:hAnsi="Arial"/>
          <w:sz w:val="16"/>
          <w:szCs w:val="16"/>
          <w:color w:val="auto"/>
        </w:rPr>
        <w:t>The Company has noncancelable service agreements, including software licenses, colocation and cloud services used in research and development activities expiring in various years through 2025. As of March 31, 2021, future minimum payments under the noncancelable agreements are as follows:</w:t>
      </w:r>
    </w:p>
    <w:p>
      <w:pPr>
        <w:spacing w:after="0" w:line="165" w:lineRule="exact"/>
        <w:rPr>
          <w:sz w:val="20"/>
          <w:szCs w:val="20"/>
          <w:color w:val="auto"/>
        </w:rPr>
      </w:pPr>
    </w:p>
    <w:tbl>
      <w:tblPr>
        <w:tblLayout w:type="fixed"/>
        <w:tblInd w:w="1764" w:type="dxa"/>
        <w:tblCellMar>
          <w:top w:w="0" w:type="dxa"/>
          <w:left w:w="0" w:type="dxa"/>
          <w:bottom w:w="0" w:type="dxa"/>
          <w:right w:w="0" w:type="dxa"/>
        </w:tblCellMar>
      </w:tblPr>
      <w:tr>
        <w:trPr>
          <w:trHeight w:val="216"/>
        </w:trPr>
        <w:tc>
          <w:tcPr>
            <w:tcW w:w="6920" w:type="dxa"/>
            <w:vAlign w:val="bottom"/>
            <w:shd w:val="clear" w:color="auto" w:fill="CCEEFF"/>
          </w:tcPr>
          <w:p>
            <w:pPr>
              <w:spacing w:after="0"/>
              <w:rPr>
                <w:sz w:val="20"/>
                <w:szCs w:val="20"/>
                <w:color w:val="auto"/>
              </w:rPr>
            </w:pPr>
            <w:r>
              <w:rPr>
                <w:rFonts w:ascii="Arial" w:cs="Arial" w:eastAsia="Arial" w:hAnsi="Arial"/>
                <w:sz w:val="18"/>
                <w:szCs w:val="18"/>
                <w:color w:val="auto"/>
              </w:rPr>
              <w:t>2021 (remaining)</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834</w:t>
            </w:r>
          </w:p>
        </w:tc>
        <w:tc>
          <w:tcPr>
            <w:tcW w:w="40" w:type="dxa"/>
            <w:vAlign w:val="bottom"/>
            <w:shd w:val="clear" w:color="auto" w:fill="CCEEFF"/>
          </w:tcPr>
          <w:p>
            <w:pPr>
              <w:spacing w:after="0"/>
              <w:rPr>
                <w:sz w:val="18"/>
                <w:szCs w:val="18"/>
                <w:color w:val="auto"/>
              </w:rPr>
            </w:pPr>
          </w:p>
        </w:tc>
      </w:tr>
      <w:tr>
        <w:trPr>
          <w:trHeight w:val="216"/>
        </w:trPr>
        <w:tc>
          <w:tcPr>
            <w:tcW w:w="6920" w:type="dxa"/>
            <w:vAlign w:val="bottom"/>
          </w:tcPr>
          <w:p>
            <w:pPr>
              <w:spacing w:after="0"/>
              <w:rPr>
                <w:sz w:val="20"/>
                <w:szCs w:val="20"/>
                <w:color w:val="auto"/>
              </w:rPr>
            </w:pPr>
            <w:r>
              <w:rPr>
                <w:rFonts w:ascii="Arial" w:cs="Arial" w:eastAsia="Arial" w:hAnsi="Arial"/>
                <w:sz w:val="18"/>
                <w:szCs w:val="18"/>
                <w:color w:val="auto"/>
              </w:rPr>
              <w:t>2022</w:t>
            </w:r>
          </w:p>
        </w:tc>
        <w:tc>
          <w:tcPr>
            <w:tcW w:w="100" w:type="dxa"/>
            <w:vAlign w:val="bottom"/>
          </w:tcPr>
          <w:p>
            <w:pPr>
              <w:spacing w:after="0"/>
              <w:rPr>
                <w:sz w:val="18"/>
                <w:szCs w:val="18"/>
                <w:color w:val="auto"/>
              </w:rPr>
            </w:pPr>
          </w:p>
        </w:tc>
        <w:tc>
          <w:tcPr>
            <w:tcW w:w="420" w:type="dxa"/>
            <w:vAlign w:val="bottom"/>
            <w:gridSpan w:val="2"/>
          </w:tcPr>
          <w:p>
            <w:pPr>
              <w:jc w:val="right"/>
              <w:ind w:right="20"/>
              <w:spacing w:after="0"/>
              <w:rPr>
                <w:sz w:val="20"/>
                <w:szCs w:val="20"/>
                <w:color w:val="auto"/>
              </w:rPr>
            </w:pPr>
            <w:r>
              <w:rPr>
                <w:rFonts w:ascii="Arial" w:cs="Arial" w:eastAsia="Arial" w:hAnsi="Arial"/>
                <w:sz w:val="18"/>
                <w:szCs w:val="18"/>
                <w:color w:val="auto"/>
              </w:rPr>
              <w:t>312</w:t>
            </w:r>
          </w:p>
        </w:tc>
        <w:tc>
          <w:tcPr>
            <w:tcW w:w="40" w:type="dxa"/>
            <w:vAlign w:val="bottom"/>
          </w:tcPr>
          <w:p>
            <w:pPr>
              <w:spacing w:after="0"/>
              <w:rPr>
                <w:sz w:val="18"/>
                <w:szCs w:val="18"/>
                <w:color w:val="auto"/>
              </w:rPr>
            </w:pPr>
          </w:p>
        </w:tc>
      </w:tr>
      <w:tr>
        <w:trPr>
          <w:trHeight w:val="216"/>
        </w:trPr>
        <w:tc>
          <w:tcPr>
            <w:tcW w:w="6920" w:type="dxa"/>
            <w:vAlign w:val="bottom"/>
            <w:shd w:val="clear" w:color="auto" w:fill="CCEEFF"/>
          </w:tcPr>
          <w:p>
            <w:pPr>
              <w:spacing w:after="0"/>
              <w:rPr>
                <w:sz w:val="20"/>
                <w:szCs w:val="20"/>
                <w:color w:val="auto"/>
              </w:rPr>
            </w:pPr>
            <w:r>
              <w:rPr>
                <w:rFonts w:ascii="Arial" w:cs="Arial" w:eastAsia="Arial" w:hAnsi="Arial"/>
                <w:sz w:val="18"/>
                <w:szCs w:val="18"/>
                <w:color w:val="auto"/>
              </w:rPr>
              <w:t>2023</w:t>
            </w:r>
          </w:p>
        </w:tc>
        <w:tc>
          <w:tcPr>
            <w:tcW w:w="10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47</w:t>
            </w:r>
          </w:p>
        </w:tc>
        <w:tc>
          <w:tcPr>
            <w:tcW w:w="40" w:type="dxa"/>
            <w:vAlign w:val="bottom"/>
            <w:shd w:val="clear" w:color="auto" w:fill="CCEEFF"/>
          </w:tcPr>
          <w:p>
            <w:pPr>
              <w:spacing w:after="0"/>
              <w:rPr>
                <w:sz w:val="18"/>
                <w:szCs w:val="18"/>
                <w:color w:val="auto"/>
              </w:rPr>
            </w:pPr>
          </w:p>
        </w:tc>
      </w:tr>
      <w:tr>
        <w:trPr>
          <w:trHeight w:val="216"/>
        </w:trPr>
        <w:tc>
          <w:tcPr>
            <w:tcW w:w="6920" w:type="dxa"/>
            <w:vAlign w:val="bottom"/>
          </w:tcPr>
          <w:p>
            <w:pPr>
              <w:spacing w:after="0"/>
              <w:rPr>
                <w:sz w:val="20"/>
                <w:szCs w:val="20"/>
                <w:color w:val="auto"/>
              </w:rPr>
            </w:pPr>
            <w:r>
              <w:rPr>
                <w:rFonts w:ascii="Arial" w:cs="Arial" w:eastAsia="Arial" w:hAnsi="Arial"/>
                <w:sz w:val="18"/>
                <w:szCs w:val="18"/>
                <w:color w:val="auto"/>
              </w:rPr>
              <w:t>2024</w:t>
            </w:r>
          </w:p>
        </w:tc>
        <w:tc>
          <w:tcPr>
            <w:tcW w:w="100" w:type="dxa"/>
            <w:vAlign w:val="bottom"/>
          </w:tcPr>
          <w:p>
            <w:pPr>
              <w:spacing w:after="0"/>
              <w:rPr>
                <w:sz w:val="18"/>
                <w:szCs w:val="18"/>
                <w:color w:val="auto"/>
              </w:rPr>
            </w:pPr>
          </w:p>
        </w:tc>
        <w:tc>
          <w:tcPr>
            <w:tcW w:w="420" w:type="dxa"/>
            <w:vAlign w:val="bottom"/>
            <w:gridSpan w:val="2"/>
          </w:tcPr>
          <w:p>
            <w:pPr>
              <w:jc w:val="right"/>
              <w:ind w:right="20"/>
              <w:spacing w:after="0"/>
              <w:rPr>
                <w:sz w:val="20"/>
                <w:szCs w:val="20"/>
                <w:color w:val="auto"/>
              </w:rPr>
            </w:pPr>
            <w:r>
              <w:rPr>
                <w:rFonts w:ascii="Arial" w:cs="Arial" w:eastAsia="Arial" w:hAnsi="Arial"/>
                <w:sz w:val="18"/>
                <w:szCs w:val="18"/>
                <w:color w:val="auto"/>
              </w:rPr>
              <w:t>46</w:t>
            </w:r>
          </w:p>
        </w:tc>
        <w:tc>
          <w:tcPr>
            <w:tcW w:w="40" w:type="dxa"/>
            <w:vAlign w:val="bottom"/>
          </w:tcPr>
          <w:p>
            <w:pPr>
              <w:spacing w:after="0"/>
              <w:rPr>
                <w:sz w:val="18"/>
                <w:szCs w:val="18"/>
                <w:color w:val="auto"/>
              </w:rPr>
            </w:pPr>
          </w:p>
        </w:tc>
      </w:tr>
      <w:tr>
        <w:trPr>
          <w:trHeight w:val="216"/>
        </w:trPr>
        <w:tc>
          <w:tcPr>
            <w:tcW w:w="6920" w:type="dxa"/>
            <w:vAlign w:val="bottom"/>
            <w:shd w:val="clear" w:color="auto" w:fill="CCEEFF"/>
          </w:tcPr>
          <w:p>
            <w:pPr>
              <w:spacing w:after="0"/>
              <w:rPr>
                <w:sz w:val="20"/>
                <w:szCs w:val="20"/>
                <w:color w:val="auto"/>
              </w:rPr>
            </w:pPr>
            <w:r>
              <w:rPr>
                <w:rFonts w:ascii="Arial" w:cs="Arial" w:eastAsia="Arial" w:hAnsi="Arial"/>
                <w:sz w:val="18"/>
                <w:szCs w:val="18"/>
                <w:color w:val="auto"/>
              </w:rPr>
              <w:t>2025</w:t>
            </w:r>
          </w:p>
        </w:tc>
        <w:tc>
          <w:tcPr>
            <w:tcW w:w="10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37</w:t>
            </w:r>
          </w:p>
        </w:tc>
        <w:tc>
          <w:tcPr>
            <w:tcW w:w="40" w:type="dxa"/>
            <w:vAlign w:val="bottom"/>
            <w:shd w:val="clear" w:color="auto" w:fill="CCEEFF"/>
          </w:tcPr>
          <w:p>
            <w:pPr>
              <w:spacing w:after="0"/>
              <w:rPr>
                <w:sz w:val="18"/>
                <w:szCs w:val="18"/>
                <w:color w:val="auto"/>
              </w:rPr>
            </w:pPr>
          </w:p>
        </w:tc>
      </w:tr>
      <w:tr>
        <w:trPr>
          <w:trHeight w:val="223"/>
        </w:trPr>
        <w:tc>
          <w:tcPr>
            <w:tcW w:w="6920" w:type="dxa"/>
            <w:vAlign w:val="bottom"/>
          </w:tcPr>
          <w:p>
            <w:pPr>
              <w:ind w:left="360"/>
              <w:spacing w:after="0"/>
              <w:rPr>
                <w:sz w:val="20"/>
                <w:szCs w:val="20"/>
                <w:color w:val="auto"/>
              </w:rPr>
            </w:pPr>
            <w:r>
              <w:rPr>
                <w:rFonts w:ascii="Arial" w:cs="Arial" w:eastAsia="Arial" w:hAnsi="Arial"/>
                <w:sz w:val="18"/>
                <w:szCs w:val="18"/>
                <w:color w:val="auto"/>
              </w:rPr>
              <w:t>Total</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4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4"/>
              </w:rPr>
              <w:t>1,276</w:t>
            </w:r>
          </w:p>
        </w:tc>
        <w:tc>
          <w:tcPr>
            <w:tcW w:w="20" w:type="dxa"/>
            <w:vAlign w:val="bottom"/>
            <w:tcBorders>
              <w:bottom w:val="single" w:sz="8" w:color="auto"/>
            </w:tcBorders>
          </w:tcPr>
          <w:p>
            <w:pPr>
              <w:spacing w:after="0"/>
              <w:rPr>
                <w:sz w:val="19"/>
                <w:szCs w:val="19"/>
                <w:color w:val="auto"/>
              </w:rPr>
            </w:pPr>
          </w:p>
        </w:tc>
        <w:tc>
          <w:tcPr>
            <w:tcW w:w="40" w:type="dxa"/>
            <w:vAlign w:val="bottom"/>
          </w:tcPr>
          <w:p>
            <w:pPr>
              <w:spacing w:after="0"/>
              <w:rPr>
                <w:sz w:val="19"/>
                <w:szCs w:val="19"/>
                <w:color w:val="auto"/>
              </w:rPr>
            </w:pPr>
          </w:p>
        </w:tc>
      </w:tr>
      <w:tr>
        <w:trPr>
          <w:trHeight w:val="20"/>
        </w:trPr>
        <w:tc>
          <w:tcPr>
            <w:tcW w:w="69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15" w:lineRule="exact"/>
        <w:rPr>
          <w:sz w:val="20"/>
          <w:szCs w:val="20"/>
          <w:color w:val="auto"/>
        </w:rPr>
      </w:pPr>
    </w:p>
    <w:p>
      <w:pPr>
        <w:ind w:left="4" w:firstLine="440"/>
        <w:spacing w:after="0" w:line="263" w:lineRule="auto"/>
        <w:rPr>
          <w:sz w:val="20"/>
          <w:szCs w:val="20"/>
          <w:color w:val="auto"/>
        </w:rPr>
      </w:pPr>
      <w:r>
        <w:rPr>
          <w:rFonts w:ascii="Arial" w:cs="Arial" w:eastAsia="Arial" w:hAnsi="Arial"/>
          <w:sz w:val="18"/>
          <w:szCs w:val="18"/>
          <w:color w:val="auto"/>
        </w:rPr>
        <w:t>The Company depends upon third-party subcontractors to manufacture its wafers. The Company’s subcontractor relationships typically allow for the cancellation of outstanding purchase orders, but require payment of all expenses incurred through the date of cancellation. As of March 31, 2021, the total value of open purchase orders for wafers was approximately $51,452.</w:t>
      </w:r>
    </w:p>
    <w:p>
      <w:pPr>
        <w:spacing w:after="0" w:line="288"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Legal Proceedings</w:t>
      </w:r>
    </w:p>
    <w:p>
      <w:pPr>
        <w:spacing w:after="0" w:line="121" w:lineRule="exact"/>
        <w:rPr>
          <w:sz w:val="20"/>
          <w:szCs w:val="20"/>
          <w:color w:val="auto"/>
        </w:rPr>
      </w:pPr>
    </w:p>
    <w:p>
      <w:pPr>
        <w:ind w:left="4"/>
        <w:spacing w:after="0"/>
        <w:rPr>
          <w:sz w:val="20"/>
          <w:szCs w:val="20"/>
          <w:color w:val="auto"/>
        </w:rPr>
      </w:pPr>
      <w:r>
        <w:rPr>
          <w:rFonts w:ascii="Arial" w:cs="Arial" w:eastAsia="Arial" w:hAnsi="Arial"/>
          <w:sz w:val="18"/>
          <w:szCs w:val="18"/>
          <w:i w:val="1"/>
          <w:iCs w:val="1"/>
          <w:color w:val="auto"/>
        </w:rPr>
        <w:t>Netlist, Inc. v. Inphi Corporation, Case No. 09-cv-6900 (C.D. Cal.)</w:t>
      </w:r>
    </w:p>
    <w:p>
      <w:pPr>
        <w:spacing w:after="0" w:line="117" w:lineRule="exact"/>
        <w:rPr>
          <w:sz w:val="20"/>
          <w:szCs w:val="20"/>
          <w:color w:val="auto"/>
        </w:rPr>
      </w:pPr>
    </w:p>
    <w:p>
      <w:pPr>
        <w:ind w:left="4" w:right="60" w:firstLine="440"/>
        <w:spacing w:after="0" w:line="290" w:lineRule="auto"/>
        <w:rPr>
          <w:sz w:val="20"/>
          <w:szCs w:val="20"/>
          <w:color w:val="auto"/>
        </w:rPr>
      </w:pPr>
      <w:r>
        <w:rPr>
          <w:rFonts w:ascii="Arial" w:cs="Arial" w:eastAsia="Arial" w:hAnsi="Arial"/>
          <w:sz w:val="16"/>
          <w:szCs w:val="16"/>
          <w:color w:val="auto"/>
        </w:rPr>
        <w:t>On September 22, 2009, Netlist filed suit in the United States District Court, Central District of California (the “Court”), asserting that the Company infringes U.S. Patent No. 7,532,537. Netlist filed an amended complaint on December 22, 2009, further asserting that the Company infringes U.S. Patent Nos. 7,619,912 and 7,636,274, collectively with U.S. Patent No. 7,532,537, the patents-in-suit, and seeking both unspecified monetary damages to be determined and an injunction to prevent further infringement. These infringement claims allege that the iMB</w:t>
      </w:r>
      <w:r>
        <w:rPr>
          <w:rFonts w:ascii="Arial" w:cs="Arial" w:eastAsia="Arial" w:hAnsi="Arial"/>
          <w:sz w:val="13"/>
          <w:szCs w:val="13"/>
          <w:color w:val="auto"/>
        </w:rPr>
        <w:t>™</w:t>
      </w:r>
      <w:r>
        <w:rPr>
          <w:rFonts w:ascii="Arial" w:cs="Arial" w:eastAsia="Arial" w:hAnsi="Arial"/>
          <w:sz w:val="16"/>
          <w:szCs w:val="16"/>
          <w:color w:val="auto"/>
        </w:rPr>
        <w:t xml:space="preserve"> and certain other memory module components infringe the patents in-suit. The Company answered the amended complaint on February 11, 2010 and asserted that the Company does not infringe the patents-in-suit and that the patents-in-suit are invalid. In 2010, the Company filed inter partes requests for reexamination with the United States Patent and Trademark Office (the “USPTO”), asserting that the patents-in-suit are invalid. As a result of the proceedings at the USPTO, the Court has stayed the litigation, with the parties advising the Court on status every 120 days.</w:t>
      </w:r>
    </w:p>
    <w:p>
      <w:pPr>
        <w:spacing w:after="0" w:line="165" w:lineRule="exact"/>
        <w:rPr>
          <w:sz w:val="20"/>
          <w:szCs w:val="20"/>
          <w:color w:val="auto"/>
        </w:rPr>
      </w:pPr>
    </w:p>
    <w:p>
      <w:pPr>
        <w:ind w:left="4" w:right="80" w:firstLine="440"/>
        <w:spacing w:after="0" w:line="275" w:lineRule="auto"/>
        <w:rPr>
          <w:sz w:val="20"/>
          <w:szCs w:val="20"/>
          <w:color w:val="auto"/>
        </w:rPr>
      </w:pPr>
      <w:r>
        <w:rPr>
          <w:rFonts w:ascii="Arial" w:cs="Arial" w:eastAsia="Arial" w:hAnsi="Arial"/>
          <w:sz w:val="17"/>
          <w:szCs w:val="17"/>
          <w:color w:val="auto"/>
        </w:rPr>
        <w:t>As to the proceeding at the USPTO, reexamination has been ordered and concluded for all of the patents that Netlist alleged to infringe. The Reexamination Certificate for U.S. Patent No. 7,532,537 was issued on August 2, 2016 based on amended claims being determined patentable. The Reexamination Certificate for U.S. Patent No. 7,636,274 was issued on November 5, 2018, indicating that all claims, 1 through 97, were cancelled. The Reexamination Certificate for U.S. Patent No. 7,619,912 was issued on February 8, 2021, with certain claims being cancelled, other amended claims being determined patentable, and further claims dependent on the amended claim being determined patentable</w:t>
      </w:r>
    </w:p>
    <w:p>
      <w:pPr>
        <w:spacing w:after="0" w:line="176" w:lineRule="exact"/>
        <w:rPr>
          <w:sz w:val="20"/>
          <w:szCs w:val="20"/>
          <w:color w:val="auto"/>
        </w:rPr>
      </w:pPr>
    </w:p>
    <w:p>
      <w:pPr>
        <w:ind w:left="4" w:right="780" w:firstLine="440"/>
        <w:spacing w:after="0" w:line="263" w:lineRule="auto"/>
        <w:rPr>
          <w:sz w:val="20"/>
          <w:szCs w:val="20"/>
          <w:color w:val="auto"/>
        </w:rPr>
      </w:pPr>
      <w:r>
        <w:rPr>
          <w:rFonts w:ascii="Arial" w:cs="Arial" w:eastAsia="Arial" w:hAnsi="Arial"/>
          <w:sz w:val="18"/>
          <w:szCs w:val="18"/>
          <w:color w:val="auto"/>
        </w:rPr>
        <w:t>While the Company intends to defend the lawsuit vigorously to the extent that Netlist has valid claims remaining in view of the USPTO proceedings, the litigation, whether or not determined in the Company’s favor or settled, could be costly and time-consuming and could divert management’s attention and resources, which could adversely affect the Company’s business.</w:t>
      </w:r>
    </w:p>
    <w:p>
      <w:pPr>
        <w:spacing w:after="0" w:line="184" w:lineRule="exact"/>
        <w:rPr>
          <w:sz w:val="20"/>
          <w:szCs w:val="20"/>
          <w:color w:val="auto"/>
        </w:rPr>
      </w:pPr>
    </w:p>
    <w:p>
      <w:pPr>
        <w:ind w:left="4" w:firstLine="440"/>
        <w:spacing w:after="0" w:line="311" w:lineRule="auto"/>
        <w:rPr>
          <w:sz w:val="20"/>
          <w:szCs w:val="20"/>
          <w:color w:val="auto"/>
        </w:rPr>
      </w:pPr>
      <w:r>
        <w:rPr>
          <w:rFonts w:ascii="Arial" w:cs="Arial" w:eastAsia="Arial" w:hAnsi="Arial"/>
          <w:sz w:val="16"/>
          <w:szCs w:val="16"/>
          <w:color w:val="auto"/>
        </w:rPr>
        <w:t>Due to the nature of the litigation, the Company is currently unable to predict the final outcome of this lawsuit and therefore cannot determine the likelihood of loss nor estimate a range of possible loss. However, because of the nature and inherent uncertainties of litigation, should the outcome of these actions be unfavorable, the Company’s business, financial condition, results of operations or cash flows could be materially and adversely affected.</w:t>
      </w:r>
    </w:p>
    <w:p>
      <w:pPr>
        <w:spacing w:after="0" w:line="257" w:lineRule="exact"/>
        <w:rPr>
          <w:sz w:val="20"/>
          <w:szCs w:val="20"/>
          <w:color w:val="auto"/>
        </w:rPr>
      </w:pPr>
    </w:p>
    <w:p>
      <w:pPr>
        <w:ind w:left="4"/>
        <w:spacing w:after="0"/>
        <w:rPr>
          <w:sz w:val="20"/>
          <w:szCs w:val="20"/>
          <w:color w:val="auto"/>
        </w:rPr>
      </w:pPr>
      <w:r>
        <w:rPr>
          <w:rFonts w:ascii="Arial" w:cs="Arial" w:eastAsia="Arial" w:hAnsi="Arial"/>
          <w:sz w:val="18"/>
          <w:szCs w:val="18"/>
          <w:i w:val="1"/>
          <w:iCs w:val="1"/>
          <w:color w:val="auto"/>
        </w:rPr>
        <w:t>Claims Against eSilicon Corporation</w:t>
      </w:r>
    </w:p>
    <w:p>
      <w:pPr>
        <w:spacing w:after="0" w:line="117" w:lineRule="exact"/>
        <w:rPr>
          <w:sz w:val="20"/>
          <w:szCs w:val="20"/>
          <w:color w:val="auto"/>
        </w:rPr>
      </w:pPr>
    </w:p>
    <w:p>
      <w:pPr>
        <w:ind w:left="4" w:right="140" w:firstLine="440"/>
        <w:spacing w:after="0" w:line="301" w:lineRule="auto"/>
        <w:rPr>
          <w:sz w:val="20"/>
          <w:szCs w:val="20"/>
          <w:color w:val="auto"/>
        </w:rPr>
      </w:pPr>
      <w:r>
        <w:rPr>
          <w:rFonts w:ascii="Arial" w:cs="Arial" w:eastAsia="Arial" w:hAnsi="Arial"/>
          <w:sz w:val="16"/>
          <w:szCs w:val="16"/>
          <w:color w:val="auto"/>
        </w:rPr>
        <w:t>In connection with the Company’s acquisition of eSilicon, eSilicon and the Company have received written communications from certain former stockholders of eSilicon demanding to inspect eSilicon’s books and records and indicating that such stockholders will be seeking appraisal of shares they held in eSilicon. Certain of these former eSilicon stockholders also have stated that they may assert claims against eSilicon’s directors and senior officers for alleged breaches of fiduciary duty and other violations in connection with the merger between eSilicon and a subsidiary of the Company.</w:t>
      </w:r>
    </w:p>
    <w:p>
      <w:pPr>
        <w:spacing w:after="0" w:line="90"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004"/>
          </w:cols>
          <w:pgMar w:left="436" w:top="270" w:right="459" w:bottom="1440" w:gutter="0" w:footer="0" w:header="0"/>
        </w:sectPr>
      </w:pPr>
    </w:p>
    <w:bookmarkStart w:id="25" w:name="page26"/>
    <w:bookmarkEnd w:id="2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INPHI CORPORATION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(Dollars in thousands except share and per share amounts)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40005</wp:posOffset>
            </wp:positionV>
            <wp:extent cx="699516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pacing w:after="0" w:line="231" w:lineRule="exact"/>
        <w:rPr>
          <w:sz w:val="20"/>
          <w:szCs w:val="20"/>
          <w:color w:val="auto"/>
        </w:rPr>
      </w:pPr>
    </w:p>
    <w:p>
      <w:pPr>
        <w:ind w:right="200" w:firstLine="440"/>
        <w:spacing w:after="0" w:line="275" w:lineRule="auto"/>
        <w:rPr>
          <w:sz w:val="20"/>
          <w:szCs w:val="20"/>
          <w:color w:val="auto"/>
        </w:rPr>
      </w:pPr>
      <w:r>
        <w:rPr>
          <w:rFonts w:ascii="Arial" w:cs="Arial" w:eastAsia="Arial" w:hAnsi="Arial"/>
          <w:sz w:val="17"/>
          <w:szCs w:val="17"/>
          <w:color w:val="auto"/>
        </w:rPr>
        <w:t>On May 11, 2020, three purported former stockholders of eSilicon initiated an action in the Delaware Court of Chancery captioned Tran v. eSilicon Corporation, C.A. No. 2020-0356-PAF, seeking appraisal of certain eSilicon shares. On June 4, 2020, eSilicon answered the petition and filed the verified list required by DGCL § 262(f). On December 31, 2020, after eSilicon finalized settlement agreements for immaterial amount with these petitioners and certain other stockholders who also purported to demand appraisal for shares of eSilicon common stock, the Court of Chancery dismissed the Tran action with prejudice pursuant to the stipulation of the parties.</w:t>
      </w:r>
    </w:p>
    <w:p>
      <w:pPr>
        <w:spacing w:after="0" w:line="176" w:lineRule="exact"/>
        <w:rPr>
          <w:sz w:val="20"/>
          <w:szCs w:val="20"/>
          <w:color w:val="auto"/>
        </w:rPr>
      </w:pPr>
    </w:p>
    <w:p>
      <w:pPr>
        <w:ind w:right="20" w:firstLine="440"/>
        <w:spacing w:after="0" w:line="286" w:lineRule="auto"/>
        <w:rPr>
          <w:sz w:val="20"/>
          <w:szCs w:val="20"/>
          <w:color w:val="auto"/>
        </w:rPr>
      </w:pPr>
      <w:r>
        <w:rPr>
          <w:rFonts w:ascii="Arial" w:cs="Arial" w:eastAsia="Arial" w:hAnsi="Arial"/>
          <w:sz w:val="17"/>
          <w:szCs w:val="17"/>
          <w:color w:val="auto"/>
        </w:rPr>
        <w:t>On December 23, 2020, seven purported former stockholders of eSilicon initiated an action in the Delaware Court of Chancery captioned Kupec v. eSilicon Corporation, C.A. No. 2020-1099-PAF, seeking appraisal of certain eSilicon shares. On January 19, 2021, eSilicon answered the petition and filed the verified list required by DGCL § 262(f). Discovery in this action is ongoing and no trial date has been set.</w:t>
      </w:r>
    </w:p>
    <w:p>
      <w:pPr>
        <w:spacing w:after="0" w:line="165" w:lineRule="exact"/>
        <w:rPr>
          <w:sz w:val="20"/>
          <w:szCs w:val="20"/>
          <w:color w:val="auto"/>
        </w:rPr>
      </w:pPr>
    </w:p>
    <w:p>
      <w:pPr>
        <w:ind w:right="60" w:firstLine="440"/>
        <w:spacing w:after="0" w:line="263" w:lineRule="auto"/>
        <w:rPr>
          <w:sz w:val="20"/>
          <w:szCs w:val="20"/>
          <w:color w:val="auto"/>
        </w:rPr>
      </w:pPr>
      <w:r>
        <w:rPr>
          <w:rFonts w:ascii="Arial" w:cs="Arial" w:eastAsia="Arial" w:hAnsi="Arial"/>
          <w:sz w:val="18"/>
          <w:szCs w:val="18"/>
          <w:color w:val="auto"/>
        </w:rPr>
        <w:t>The Company is unaware of any other petition for appraisal or lawsuit that has been filed by any former eSilicon stockholder. The Company plans to vigorously defend against lawsuits arising out of or relating to the merger agreement and/or the merger that may be filed in the future. Amounts payable as a result of these claims are recoverable from the escrow set up as part of the eSilicon acquisition.</w:t>
      </w:r>
    </w:p>
    <w:p>
      <w:pPr>
        <w:spacing w:after="0" w:line="184" w:lineRule="exact"/>
        <w:rPr>
          <w:sz w:val="20"/>
          <w:szCs w:val="20"/>
          <w:color w:val="auto"/>
        </w:rPr>
      </w:pPr>
    </w:p>
    <w:p>
      <w:pPr>
        <w:ind w:firstLine="440"/>
        <w:spacing w:after="0" w:line="308" w:lineRule="auto"/>
        <w:rPr>
          <w:sz w:val="20"/>
          <w:szCs w:val="20"/>
          <w:color w:val="auto"/>
        </w:rPr>
      </w:pPr>
      <w:r>
        <w:rPr>
          <w:rFonts w:ascii="Arial" w:cs="Arial" w:eastAsia="Arial" w:hAnsi="Arial"/>
          <w:sz w:val="17"/>
          <w:szCs w:val="17"/>
          <w:color w:val="auto"/>
        </w:rPr>
        <w:t>From time to time, the Company is involved in certain other litigation matters but does not consider these matters to be material either individually or in the aggregate. The Company’s view of these matters may change in the future as the litigation and events related thereto unfold.</w:t>
      </w:r>
    </w:p>
    <w:p>
      <w:pPr>
        <w:spacing w:after="0" w:line="2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Indemnifications</w:t>
      </w:r>
    </w:p>
    <w:p>
      <w:pPr>
        <w:spacing w:after="0" w:line="121" w:lineRule="exact"/>
        <w:rPr>
          <w:sz w:val="20"/>
          <w:szCs w:val="20"/>
          <w:color w:val="auto"/>
        </w:rPr>
      </w:pPr>
    </w:p>
    <w:p>
      <w:pPr>
        <w:ind w:right="20" w:firstLine="440"/>
        <w:spacing w:after="0" w:line="254" w:lineRule="auto"/>
        <w:rPr>
          <w:sz w:val="20"/>
          <w:szCs w:val="20"/>
          <w:color w:val="auto"/>
        </w:rPr>
      </w:pPr>
      <w:r>
        <w:rPr>
          <w:rFonts w:ascii="Arial" w:cs="Arial" w:eastAsia="Arial" w:hAnsi="Arial"/>
          <w:sz w:val="18"/>
          <w:szCs w:val="18"/>
          <w:color w:val="auto"/>
        </w:rPr>
        <w:t>In the ordinary course of business, the Company may provide indemnifications of varying scope and terms to customers, vendors, lessors, investors, directors, officers, employees and other parties with respect to certain matters, including, but not limited to, losses arising out of the Company’s breach of such agreements, services to be provided by the Company, or from intellectual property infringement claims made by third-parties. These indemnifications may survive termination of the underlying agreement and the maximum potential amount of future payments the Company could be required to make under these indemnification provisions may not be subject to maximum loss clauses. The Company has not incurred material costs to defend lawsuits or settle claims related to these indemnifications. Accordingly, the Company has no liabilities recorded for these agreements as of March 31, 2021 and December 31, 2020.</w:t>
      </w:r>
    </w:p>
    <w:p>
      <w:pPr>
        <w:spacing w:after="0" w:line="299" w:lineRule="exact"/>
        <w:rPr>
          <w:sz w:val="20"/>
          <w:szCs w:val="20"/>
          <w:color w:val="auto"/>
        </w:rPr>
      </w:pPr>
    </w:p>
    <w:p>
      <w:pPr>
        <w:ind w:left="220"/>
        <w:spacing w:after="0"/>
        <w:rPr>
          <w:sz w:val="20"/>
          <w:szCs w:val="20"/>
          <w:color w:val="auto"/>
        </w:rPr>
      </w:pPr>
      <w:r>
        <w:rPr>
          <w:rFonts w:ascii="Arial" w:cs="Arial" w:eastAsia="Arial" w:hAnsi="Arial"/>
          <w:sz w:val="18"/>
          <w:szCs w:val="18"/>
          <w:b w:val="1"/>
          <w:bCs w:val="1"/>
          <w:color w:val="auto"/>
        </w:rPr>
        <w:t>18. Merger with Marvell Technology</w:t>
      </w:r>
    </w:p>
    <w:p>
      <w:pPr>
        <w:spacing w:after="0" w:line="121" w:lineRule="exact"/>
        <w:rPr>
          <w:sz w:val="20"/>
          <w:szCs w:val="20"/>
          <w:color w:val="auto"/>
        </w:rPr>
      </w:pPr>
    </w:p>
    <w:p>
      <w:pPr>
        <w:ind w:right="280" w:firstLine="440"/>
        <w:spacing w:after="0" w:line="263" w:lineRule="auto"/>
        <w:rPr>
          <w:sz w:val="20"/>
          <w:szCs w:val="20"/>
          <w:color w:val="auto"/>
        </w:rPr>
      </w:pPr>
      <w:r>
        <w:rPr>
          <w:rFonts w:ascii="Arial" w:cs="Arial" w:eastAsia="Arial" w:hAnsi="Arial"/>
          <w:sz w:val="18"/>
          <w:szCs w:val="18"/>
          <w:color w:val="auto"/>
        </w:rPr>
        <w:t>The Company has evaluated subsequent events through May 19, 2021, the date on which the condensed consolidated financial statements were available to be issued and has determined the following subsequent event is reportable other than those disclosed elsewhere in the condensed consolidated financial statements.</w:t>
      </w:r>
    </w:p>
    <w:p>
      <w:pPr>
        <w:spacing w:after="0" w:line="184" w:lineRule="exact"/>
        <w:rPr>
          <w:sz w:val="20"/>
          <w:szCs w:val="20"/>
          <w:color w:val="auto"/>
        </w:rPr>
      </w:pPr>
    </w:p>
    <w:p>
      <w:pPr>
        <w:ind w:right="80" w:firstLine="440"/>
        <w:spacing w:after="0" w:line="289" w:lineRule="auto"/>
        <w:rPr>
          <w:sz w:val="20"/>
          <w:szCs w:val="20"/>
          <w:color w:val="auto"/>
        </w:rPr>
      </w:pPr>
      <w:r>
        <w:rPr>
          <w:rFonts w:ascii="Arial" w:cs="Arial" w:eastAsia="Arial" w:hAnsi="Arial"/>
          <w:sz w:val="16"/>
          <w:szCs w:val="16"/>
          <w:color w:val="auto"/>
        </w:rPr>
        <w:t>On October 29, 2020, the Company entered into an Agreement and Plan of Merger and Reorganization with Marvell Technology Group Ltd., a Bermuda exempted company (“Marvell”), Maui HoldCo, Inc., a Delaware corporation and a wholly-owned subsidiary of Marvell (“HoldCo”), Maui Acquisition Company Ltd, a Bermuda exempted company and a wholly-owned subsidiary of HoldCo (“Bermuda Merger Sub”), and Indigo Acquisition Corp., a Delaware corporation and a wholly-owned subsidiary of HoldCo (“Delaware Merger Sub”), pursuant to which, subject to the terms and conditions of the Merger Agreement, Bermuda Merger Sub will merge with and into Marvell, with Marvell surviving the merger as a wholly-owned subsidiary of HoldCo (the “Bermuda Merger”), followed immediately by the merger of Delaware Merger Sub with and into the Company, with the Company surviving the merger as a wholly-owned subsidiary of HoldCo (the “Delaware Merger” and, together with the Bermuda Merger, the “Mergers”). The Mergers will result in a combined company domiciled in the United States, with Marvell shareholders owning approximately 83% of the combined company, and the Company’s stockholders owning approximately 17% of the combined company. The Mergers closed on April 20, 2021.</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20"/>
          </w:cols>
          <w:pgMar w:left="440" w:top="270" w:right="439" w:bottom="1440" w:gutter="0" w:footer="0" w:header="0"/>
        </w:sectPr>
      </w:pPr>
    </w:p>
    <w:bookmarkStart w:id="26" w:name="page27"/>
    <w:bookmarkEnd w:id="26"/>
    <w:p>
      <w:pPr>
        <w:ind w:left="10080"/>
        <w:spacing w:after="0"/>
        <w:rPr>
          <w:sz w:val="20"/>
          <w:szCs w:val="20"/>
          <w:color w:val="auto"/>
        </w:rPr>
      </w:pPr>
      <w:r>
        <w:rPr>
          <w:rFonts w:ascii="Arial" w:cs="Arial" w:eastAsia="Arial" w:hAnsi="Arial"/>
          <w:sz w:val="16"/>
          <w:szCs w:val="16"/>
          <w:b w:val="1"/>
          <w:bCs w:val="1"/>
          <w:color w:val="auto"/>
        </w:rPr>
        <w:t>Exhibit 99.2</w:t>
      </w:r>
    </w:p>
    <w:p>
      <w:pPr>
        <w:spacing w:after="0" w:line="200" w:lineRule="exact"/>
        <w:rPr>
          <w:sz w:val="20"/>
          <w:szCs w:val="20"/>
          <w:color w:val="auto"/>
        </w:rPr>
      </w:pPr>
    </w:p>
    <w:p>
      <w:pPr>
        <w:spacing w:after="0" w:line="26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PRO FORMA CONDENSED COMBINED FINANCIAL INFORMATION</w:t>
      </w:r>
    </w:p>
    <w:p>
      <w:pPr>
        <w:spacing w:after="0" w:line="229" w:lineRule="exact"/>
        <w:rPr>
          <w:sz w:val="20"/>
          <w:szCs w:val="20"/>
          <w:color w:val="auto"/>
        </w:rPr>
      </w:pPr>
    </w:p>
    <w:p>
      <w:pPr>
        <w:ind w:right="180"/>
        <w:spacing w:after="0" w:line="291" w:lineRule="auto"/>
        <w:rPr>
          <w:sz w:val="20"/>
          <w:szCs w:val="20"/>
          <w:color w:val="auto"/>
        </w:rPr>
      </w:pPr>
      <w:r>
        <w:rPr>
          <w:rFonts w:ascii="Arial" w:cs="Arial" w:eastAsia="Arial" w:hAnsi="Arial"/>
          <w:sz w:val="16"/>
          <w:szCs w:val="16"/>
          <w:color w:val="auto"/>
        </w:rPr>
        <w:t>On April 20, 2021, Marvell Technology, Inc. (“the Company” or “MTI”) completed the acquisition of Inphi (the “Inphi acquisition”). Inphi is a global leader in high-speed data movement enabled by optical interconnects. The Inphi acquisition was primarily intended to create an opportunity for the combined company to be uniquely positioned to serve the data-driven world, addressing high growth, attractive end markets such as cloud data center and 5G. In accordance with the terms of the Agreement and Plan of Merger dated as of October 29, 2020, by and among the Company and Inphi (the “Inphi merger agreement”), the Company acquired all outstanding shares of common stock of Inphi for $66 per share in cash and 2.323 shares of the Company’s common stock exchanged for each share of Inphi common stock. The merger consideration paid in cash was funded with a combination of cash on hand and funds from the Company’s debt financing. See “Note 2 – Description of Debt Financing” for additional information.</w:t>
      </w:r>
    </w:p>
    <w:p>
      <w:pPr>
        <w:spacing w:after="0" w:line="166"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The unaudited pro forma condensed combined statements of operations for the year ended January 30, 2021 and the six months ended July 31, 2021 give effect to the Inphi acquisition as if it had occurred on February 2, 2020, the beginning of the annual period presented. The unaudited pro forma condensed combined financial information and related notes have been prepared utilizing period ends that differ by less than one quarter, as permitted by Regulation S-X. The unaudited pro forma condensed combined statement of operations for the year ended January 30, 2021 combines the audited consolidated statement of operations of Marvell Technology Group Ltd. (“Marvell”) for the year ended January 30, 2021 with Inphi’s audited consolidated statement of operations for the year ended December 31, 2020. The unaudited pro forma condensed combined statement of operations for the six months ended July 31, 2021 has been prepared using the unaudited condensed consolidated statement of operations of MTI for the six months ended July 31, 2021 and the pre-acquisition historical information of Inphi from February 2, 2021 through the acquisition date derived from the underlying books and records of Inphi. Inphi’s historical results of operations for January 2021 are not included in either pro forma period. Inphi’s January 2021 Net revenue and Net loss were $26.6 million and $4.7 million, respectively.</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color w:val="auto"/>
        </w:rPr>
        <w:t>The unaudited pro forma condensed combined financial information should be read in conjunction with:</w:t>
      </w:r>
    </w:p>
    <w:p>
      <w:pPr>
        <w:spacing w:after="0" w:line="131" w:lineRule="exact"/>
        <w:rPr>
          <w:sz w:val="20"/>
          <w:szCs w:val="20"/>
          <w:color w:val="auto"/>
        </w:rPr>
      </w:pPr>
    </w:p>
    <w:p>
      <w:pPr>
        <w:ind w:left="960" w:hanging="532"/>
        <w:spacing w:after="0"/>
        <w:tabs>
          <w:tab w:leader="none" w:pos="9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accompanying notes to the unaudited condensed combined pro forma financial information;</w:t>
      </w:r>
    </w:p>
    <w:p>
      <w:pPr>
        <w:spacing w:after="0" w:line="130" w:lineRule="exact"/>
        <w:rPr>
          <w:rFonts w:ascii="Arial" w:cs="Arial" w:eastAsia="Arial" w:hAnsi="Arial"/>
          <w:sz w:val="18"/>
          <w:szCs w:val="18"/>
          <w:color w:val="auto"/>
        </w:rPr>
      </w:pPr>
    </w:p>
    <w:p>
      <w:pPr>
        <w:ind w:left="960" w:right="280" w:hanging="532"/>
        <w:spacing w:after="0" w:line="308" w:lineRule="auto"/>
        <w:tabs>
          <w:tab w:leader="none" w:pos="960" w:val="left"/>
        </w:tabs>
        <w:numPr>
          <w:ilvl w:val="0"/>
          <w:numId w:val="4"/>
        </w:numPr>
        <w:rPr>
          <w:rFonts w:ascii="Arial" w:cs="Arial" w:eastAsia="Arial" w:hAnsi="Arial"/>
          <w:sz w:val="17"/>
          <w:szCs w:val="17"/>
          <w:color w:val="auto"/>
        </w:rPr>
      </w:pPr>
      <w:r>
        <w:rPr>
          <w:rFonts w:ascii="Arial" w:cs="Arial" w:eastAsia="Arial" w:hAnsi="Arial"/>
          <w:sz w:val="17"/>
          <w:szCs w:val="17"/>
          <w:color w:val="auto"/>
        </w:rPr>
        <w:t xml:space="preserve">the separate audited consolidated financial statements of Marvell Technology Group, Ltd. as of and for the year ended January 30, 2021 and the related notes, included in Marvell’s </w:t>
      </w:r>
      <w:r>
        <w:rPr>
          <w:rFonts w:ascii="Arial" w:cs="Arial" w:eastAsia="Arial" w:hAnsi="Arial"/>
          <w:sz w:val="17"/>
          <w:szCs w:val="17"/>
          <w:u w:val="single" w:color="auto"/>
          <w:color w:val="auto"/>
        </w:rPr>
        <w:t>Annual Report on Form 10-K</w:t>
      </w:r>
      <w:r>
        <w:rPr>
          <w:rFonts w:ascii="Arial" w:cs="Arial" w:eastAsia="Arial" w:hAnsi="Arial"/>
          <w:sz w:val="17"/>
          <w:szCs w:val="17"/>
          <w:color w:val="auto"/>
        </w:rPr>
        <w:t xml:space="preserve"> for the fiscal year ended January 30, 2021;</w:t>
      </w:r>
    </w:p>
    <w:p>
      <w:pPr>
        <w:spacing w:after="0" w:line="51" w:lineRule="exact"/>
        <w:rPr>
          <w:rFonts w:ascii="Arial" w:cs="Arial" w:eastAsia="Arial" w:hAnsi="Arial"/>
          <w:sz w:val="17"/>
          <w:szCs w:val="17"/>
          <w:color w:val="auto"/>
        </w:rPr>
      </w:pPr>
    </w:p>
    <w:p>
      <w:pPr>
        <w:ind w:left="960" w:right="520" w:hanging="532"/>
        <w:spacing w:after="0" w:line="277" w:lineRule="auto"/>
        <w:tabs>
          <w:tab w:leader="none" w:pos="960" w:val="left"/>
        </w:tabs>
        <w:numPr>
          <w:ilvl w:val="0"/>
          <w:numId w:val="4"/>
        </w:numPr>
        <w:rPr>
          <w:rFonts w:ascii="Arial" w:cs="Arial" w:eastAsia="Arial" w:hAnsi="Arial"/>
          <w:sz w:val="18"/>
          <w:szCs w:val="18"/>
          <w:color w:val="auto"/>
        </w:rPr>
      </w:pPr>
      <w:r>
        <w:rPr>
          <w:rFonts w:ascii="Arial" w:cs="Arial" w:eastAsia="Arial" w:hAnsi="Arial"/>
          <w:sz w:val="18"/>
          <w:szCs w:val="18"/>
          <w:color w:val="auto"/>
        </w:rPr>
        <w:t xml:space="preserve">the separate unaudited condensed consolidated financial statements of MTI as of and for the six months ended July 31, 2021 and the related notes, included in MTI’s Quarterly Report on Form 10-Q for the period ended </w:t>
      </w:r>
      <w:r>
        <w:rPr>
          <w:rFonts w:ascii="Arial" w:cs="Arial" w:eastAsia="Arial" w:hAnsi="Arial"/>
          <w:sz w:val="18"/>
          <w:szCs w:val="18"/>
          <w:u w:val="single" w:color="auto"/>
          <w:color w:val="auto"/>
        </w:rPr>
        <w:t>July 31, 2021</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960" w:right="500" w:hanging="532"/>
        <w:spacing w:after="0" w:line="277" w:lineRule="auto"/>
        <w:tabs>
          <w:tab w:leader="none" w:pos="960" w:val="left"/>
        </w:tabs>
        <w:numPr>
          <w:ilvl w:val="0"/>
          <w:numId w:val="4"/>
        </w:numPr>
        <w:rPr>
          <w:rFonts w:ascii="Arial" w:cs="Arial" w:eastAsia="Arial" w:hAnsi="Arial"/>
          <w:sz w:val="18"/>
          <w:szCs w:val="18"/>
          <w:color w:val="auto"/>
        </w:rPr>
      </w:pPr>
      <w:r>
        <w:rPr>
          <w:rFonts w:ascii="Arial" w:cs="Arial" w:eastAsia="Arial" w:hAnsi="Arial"/>
          <w:sz w:val="18"/>
          <w:szCs w:val="18"/>
          <w:color w:val="auto"/>
        </w:rPr>
        <w:t xml:space="preserve">the separate audited consolidated financial statements of Inphi as of and for the year ended December 31, 2020 and the related notes, included in Inphi’s </w:t>
      </w:r>
      <w:r>
        <w:rPr>
          <w:rFonts w:ascii="Arial" w:cs="Arial" w:eastAsia="Arial" w:hAnsi="Arial"/>
          <w:sz w:val="18"/>
          <w:szCs w:val="18"/>
          <w:u w:val="single" w:color="auto"/>
          <w:color w:val="auto"/>
        </w:rPr>
        <w:t>Annual Report on Form 10-K</w:t>
      </w:r>
      <w:r>
        <w:rPr>
          <w:rFonts w:ascii="Arial" w:cs="Arial" w:eastAsia="Arial" w:hAnsi="Arial"/>
          <w:sz w:val="18"/>
          <w:szCs w:val="18"/>
          <w:color w:val="auto"/>
        </w:rPr>
        <w:t xml:space="preserve"> for the fiscal year ended December 31, 2020;</w:t>
      </w:r>
    </w:p>
    <w:p>
      <w:pPr>
        <w:spacing w:after="0" w:line="75" w:lineRule="exact"/>
        <w:rPr>
          <w:rFonts w:ascii="Arial" w:cs="Arial" w:eastAsia="Arial" w:hAnsi="Arial"/>
          <w:sz w:val="18"/>
          <w:szCs w:val="18"/>
          <w:color w:val="auto"/>
        </w:rPr>
      </w:pPr>
    </w:p>
    <w:p>
      <w:pPr>
        <w:ind w:left="960" w:right="160" w:hanging="532"/>
        <w:spacing w:after="0" w:line="277" w:lineRule="auto"/>
        <w:tabs>
          <w:tab w:leader="none" w:pos="9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separate unaudited condensed consolidated financial statements of Inphi as of and for the three months ended March 31, 2021 and the related notes, included as an Exhibit to this Form 8-K</w:t>
      </w:r>
    </w:p>
    <w:p>
      <w:pPr>
        <w:spacing w:after="0" w:line="170" w:lineRule="exact"/>
        <w:rPr>
          <w:sz w:val="20"/>
          <w:szCs w:val="20"/>
          <w:color w:val="auto"/>
        </w:rPr>
      </w:pPr>
    </w:p>
    <w:p>
      <w:pPr>
        <w:ind w:right="40"/>
        <w:spacing w:after="0" w:line="275" w:lineRule="auto"/>
        <w:rPr>
          <w:sz w:val="20"/>
          <w:szCs w:val="20"/>
          <w:color w:val="auto"/>
        </w:rPr>
      </w:pPr>
      <w:r>
        <w:rPr>
          <w:rFonts w:ascii="Arial" w:cs="Arial" w:eastAsia="Arial" w:hAnsi="Arial"/>
          <w:sz w:val="17"/>
          <w:szCs w:val="17"/>
          <w:color w:val="auto"/>
        </w:rPr>
        <w:t>The unaudited pro forma condensed combined financial information presented below is for illustrative purposes only and is not necessarily indicative of the results of operations that would have been realized if the acquisitions had been completed on the date indicated, does not reflect synergies that might have been achieved, nor is it indicative of future operating results. The pro forma adjustments are based upon currently available information and certain assumptions the Company believes are reasonable under the circumstances. In addition, the pro forma financial statements do not purport to project the future operating results of the combined company.</w:t>
      </w:r>
    </w:p>
    <w:p>
      <w:pPr>
        <w:spacing w:after="0" w:line="176" w:lineRule="exact"/>
        <w:rPr>
          <w:sz w:val="20"/>
          <w:szCs w:val="20"/>
          <w:color w:val="auto"/>
        </w:rPr>
      </w:pPr>
    </w:p>
    <w:p>
      <w:pPr>
        <w:ind w:right="20"/>
        <w:spacing w:after="0" w:line="271" w:lineRule="auto"/>
        <w:rPr>
          <w:sz w:val="20"/>
          <w:szCs w:val="20"/>
          <w:color w:val="auto"/>
        </w:rPr>
      </w:pPr>
      <w:r>
        <w:rPr>
          <w:rFonts w:ascii="Arial" w:cs="Arial" w:eastAsia="Arial" w:hAnsi="Arial"/>
          <w:sz w:val="17"/>
          <w:szCs w:val="17"/>
          <w:color w:val="auto"/>
        </w:rPr>
        <w:t>The pro forma financial statements have been prepared in accordance with Article 11 of Regulation S-X. The Inphi acquisition is reflected in the pro forma condensed combined financial statements using the acquisition method of accounting under ASC 805, with MTI designated as the acquirer for accounting purposes. The acquisition accounting is preliminary and may be revised with adjustment to goodwill as additional information becomes available during the measurement period from the closing date of the acquisition to finalize such preliminary estimates. Any such revisions or changes may be material. Accordingly, the transaction related adjustments are preliminary and have been made solely for the purpose of providing pro forma financial statements prepared in accordance with Article 11 of Regulation S-X. Differences between these preliminary estimates and the final acquisition accounting may occur and these differences could have a material impact on the accompanying pro forma financial statements and the combined company’s future results of operations and financial position.</w:t>
      </w:r>
    </w:p>
    <w:p>
      <w:pPr>
        <w:spacing w:after="0" w:line="178" w:lineRule="exact"/>
        <w:rPr>
          <w:sz w:val="20"/>
          <w:szCs w:val="20"/>
          <w:color w:val="auto"/>
        </w:rPr>
      </w:pPr>
    </w:p>
    <w:p>
      <w:pPr>
        <w:ind w:right="760"/>
        <w:spacing w:after="0" w:line="342" w:lineRule="auto"/>
        <w:rPr>
          <w:sz w:val="20"/>
          <w:szCs w:val="20"/>
          <w:color w:val="auto"/>
        </w:rPr>
      </w:pPr>
      <w:r>
        <w:rPr>
          <w:rFonts w:ascii="Arial" w:cs="Arial" w:eastAsia="Arial" w:hAnsi="Arial"/>
          <w:sz w:val="16"/>
          <w:szCs w:val="16"/>
          <w:color w:val="auto"/>
        </w:rPr>
        <w:t>The pro forma financial statements do not reflect any cost or growth synergies that the combined company may achieve as a result of the Inphi acquisition, or the costs to combine the operations of MTI and Inphi, or the costs necessary to achieve these cost or growth synergies.</w:t>
      </w:r>
    </w:p>
    <w:p>
      <w:pPr>
        <w:sectPr>
          <w:pgSz w:w="11900" w:h="16838" w:orient="portrait"/>
          <w:cols w:equalWidth="0" w:num="1">
            <w:col w:w="11020"/>
          </w:cols>
          <w:pgMar w:left="440" w:top="121" w:right="439" w:bottom="1440" w:gutter="0" w:footer="0" w:header="0"/>
        </w:sectPr>
      </w:pPr>
    </w:p>
    <w:bookmarkStart w:id="27" w:name="page28"/>
    <w:bookmarkEnd w:id="27"/>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UNAUDITED PRO FORMA CONDENSED COMBINED STATEMENT OF OPERATIONS</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For the year ended January 30, 2021 (In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0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200" w:type="dxa"/>
            <w:vAlign w:val="bottom"/>
            <w:tcBorders>
              <w:bottom w:val="single" w:sz="8" w:color="auto"/>
            </w:tcBorders>
            <w:gridSpan w:val="3"/>
          </w:tcPr>
          <w:p>
            <w:pPr>
              <w:ind w:left="560"/>
              <w:spacing w:after="0"/>
              <w:rPr>
                <w:sz w:val="20"/>
                <w:szCs w:val="20"/>
                <w:color w:val="auto"/>
              </w:rPr>
            </w:pPr>
            <w:r>
              <w:rPr>
                <w:rFonts w:ascii="Arial" w:cs="Arial" w:eastAsia="Arial" w:hAnsi="Arial"/>
                <w:sz w:val="14"/>
                <w:szCs w:val="14"/>
                <w:b w:val="1"/>
                <w:bCs w:val="1"/>
                <w:color w:val="auto"/>
                <w:w w:val="97"/>
              </w:rPr>
              <w:t>Historical</w:t>
            </w:r>
          </w:p>
        </w:tc>
        <w:tc>
          <w:tcPr>
            <w:tcW w:w="62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420" w:type="dxa"/>
            <w:vAlign w:val="bottom"/>
            <w:gridSpan w:val="3"/>
            <w:vMerge w:val="restart"/>
          </w:tcPr>
          <w:p>
            <w:pPr>
              <w:jc w:val="center"/>
              <w:ind w:right="461"/>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19"/>
        </w:trPr>
        <w:tc>
          <w:tcPr>
            <w:tcW w:w="3020" w:type="dxa"/>
            <w:vAlign w:val="bottom"/>
          </w:tcPr>
          <w:p>
            <w:pPr>
              <w:spacing w:after="0"/>
              <w:rPr>
                <w:sz w:val="10"/>
                <w:szCs w:val="10"/>
                <w:color w:val="auto"/>
              </w:rPr>
            </w:pPr>
          </w:p>
        </w:tc>
        <w:tc>
          <w:tcPr>
            <w:tcW w:w="1080" w:type="dxa"/>
            <w:vAlign w:val="bottom"/>
            <w:gridSpan w:val="3"/>
          </w:tcPr>
          <w:p>
            <w:pPr>
              <w:jc w:val="center"/>
              <w:ind w:right="161"/>
              <w:spacing w:after="0" w:line="119" w:lineRule="exact"/>
              <w:rPr>
                <w:sz w:val="20"/>
                <w:szCs w:val="20"/>
                <w:color w:val="auto"/>
              </w:rPr>
            </w:pPr>
            <w:r>
              <w:rPr>
                <w:rFonts w:ascii="Arial" w:cs="Arial" w:eastAsia="Arial" w:hAnsi="Arial"/>
                <w:sz w:val="13"/>
                <w:szCs w:val="13"/>
                <w:b w:val="1"/>
                <w:bCs w:val="1"/>
                <w:color w:val="auto"/>
              </w:rPr>
              <w:t>Year Ended</w:t>
            </w:r>
          </w:p>
        </w:tc>
        <w:tc>
          <w:tcPr>
            <w:tcW w:w="840" w:type="dxa"/>
            <w:vAlign w:val="bottom"/>
            <w:gridSpan w:val="2"/>
          </w:tcPr>
          <w:p>
            <w:pPr>
              <w:jc w:val="center"/>
              <w:spacing w:after="0" w:line="119" w:lineRule="exact"/>
              <w:rPr>
                <w:sz w:val="20"/>
                <w:szCs w:val="20"/>
                <w:color w:val="auto"/>
              </w:rPr>
            </w:pPr>
            <w:r>
              <w:rPr>
                <w:rFonts w:ascii="Arial" w:cs="Arial" w:eastAsia="Arial" w:hAnsi="Arial"/>
                <w:sz w:val="13"/>
                <w:szCs w:val="13"/>
                <w:b w:val="1"/>
                <w:bCs w:val="1"/>
                <w:color w:val="auto"/>
              </w:rPr>
              <w:t>Year Ended</w:t>
            </w:r>
          </w:p>
        </w:tc>
        <w:tc>
          <w:tcPr>
            <w:tcW w:w="1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14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3020" w:type="dxa"/>
            <w:vAlign w:val="bottom"/>
          </w:tcPr>
          <w:p>
            <w:pPr>
              <w:spacing w:after="0"/>
              <w:rPr>
                <w:sz w:val="12"/>
                <w:szCs w:val="12"/>
                <w:color w:val="auto"/>
              </w:rPr>
            </w:pPr>
          </w:p>
        </w:tc>
        <w:tc>
          <w:tcPr>
            <w:tcW w:w="1080" w:type="dxa"/>
            <w:vAlign w:val="bottom"/>
            <w:gridSpan w:val="3"/>
          </w:tcPr>
          <w:p>
            <w:pPr>
              <w:jc w:val="center"/>
              <w:ind w:right="181"/>
              <w:spacing w:after="0" w:line="149" w:lineRule="exact"/>
              <w:rPr>
                <w:sz w:val="20"/>
                <w:szCs w:val="20"/>
                <w:color w:val="auto"/>
              </w:rPr>
            </w:pPr>
            <w:r>
              <w:rPr>
                <w:rFonts w:ascii="Arial" w:cs="Arial" w:eastAsia="Arial" w:hAnsi="Arial"/>
                <w:sz w:val="14"/>
                <w:szCs w:val="14"/>
                <w:b w:val="1"/>
                <w:bCs w:val="1"/>
                <w:color w:val="auto"/>
                <w:w w:val="95"/>
              </w:rPr>
              <w:t>January 30,</w:t>
            </w:r>
          </w:p>
        </w:tc>
        <w:tc>
          <w:tcPr>
            <w:tcW w:w="10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December 31,</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20" w:type="dxa"/>
            <w:vAlign w:val="bottom"/>
            <w:gridSpan w:val="3"/>
          </w:tcPr>
          <w:p>
            <w:pPr>
              <w:jc w:val="center"/>
              <w:ind w:right="441"/>
              <w:spacing w:after="0" w:line="149" w:lineRule="exact"/>
              <w:rPr>
                <w:sz w:val="20"/>
                <w:szCs w:val="20"/>
                <w:color w:val="auto"/>
              </w:rPr>
            </w:pPr>
            <w:r>
              <w:rPr>
                <w:rFonts w:ascii="Arial" w:cs="Arial" w:eastAsia="Arial" w:hAnsi="Arial"/>
                <w:sz w:val="14"/>
                <w:szCs w:val="14"/>
                <w:b w:val="1"/>
                <w:bCs w:val="1"/>
                <w:color w:val="auto"/>
                <w:w w:val="95"/>
              </w:rPr>
              <w:t>January 30,</w:t>
            </w:r>
          </w:p>
        </w:tc>
        <w:tc>
          <w:tcPr>
            <w:tcW w:w="0" w:type="dxa"/>
            <w:vAlign w:val="bottom"/>
          </w:tcPr>
          <w:p>
            <w:pPr>
              <w:spacing w:after="0"/>
              <w:rPr>
                <w:sz w:val="1"/>
                <w:szCs w:val="1"/>
                <w:color w:val="auto"/>
              </w:rPr>
            </w:pPr>
          </w:p>
        </w:tc>
      </w:tr>
      <w:tr>
        <w:trPr>
          <w:trHeight w:val="171"/>
        </w:trPr>
        <w:tc>
          <w:tcPr>
            <w:tcW w:w="30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ind w:right="12"/>
              <w:spacing w:after="0"/>
              <w:rPr>
                <w:sz w:val="20"/>
                <w:szCs w:val="20"/>
                <w:color w:val="auto"/>
              </w:rPr>
            </w:pPr>
            <w:r>
              <w:rPr>
                <w:rFonts w:ascii="Arial" w:cs="Arial" w:eastAsia="Arial" w:hAnsi="Arial"/>
                <w:sz w:val="14"/>
                <w:szCs w:val="14"/>
                <w:b w:val="1"/>
                <w:bCs w:val="1"/>
                <w:color w:val="auto"/>
                <w:w w:val="96"/>
              </w:rPr>
              <w:t>2021</w:t>
            </w:r>
          </w:p>
        </w:tc>
        <w:tc>
          <w:tcPr>
            <w:tcW w:w="26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center"/>
              <w:ind w:right="132"/>
              <w:spacing w:after="0"/>
              <w:rPr>
                <w:sz w:val="20"/>
                <w:szCs w:val="20"/>
                <w:color w:val="auto"/>
              </w:rPr>
            </w:pPr>
            <w:r>
              <w:rPr>
                <w:rFonts w:ascii="Arial" w:cs="Arial" w:eastAsia="Arial" w:hAnsi="Arial"/>
                <w:sz w:val="14"/>
                <w:szCs w:val="14"/>
                <w:b w:val="1"/>
                <w:bCs w:val="1"/>
                <w:color w:val="auto"/>
                <w:w w:val="89"/>
              </w:rPr>
              <w:t>2020</w:t>
            </w: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Debt</w:t>
            </w:r>
          </w:p>
        </w:tc>
        <w:tc>
          <w:tcPr>
            <w:tcW w:w="660" w:type="dxa"/>
            <w:vAlign w:val="bottom"/>
          </w:tcPr>
          <w:p>
            <w:pPr>
              <w:spacing w:after="0"/>
              <w:rPr>
                <w:sz w:val="14"/>
                <w:szCs w:val="14"/>
                <w:color w:val="auto"/>
              </w:rPr>
            </w:pPr>
          </w:p>
        </w:tc>
        <w:tc>
          <w:tcPr>
            <w:tcW w:w="960" w:type="dxa"/>
            <w:vAlign w:val="bottom"/>
            <w:gridSpan w:val="3"/>
            <w:vMerge w:val="restart"/>
          </w:tcPr>
          <w:p>
            <w:pPr>
              <w:jc w:val="center"/>
              <w:ind w:right="61"/>
              <w:spacing w:after="0"/>
              <w:rPr>
                <w:sz w:val="20"/>
                <w:szCs w:val="20"/>
                <w:color w:val="auto"/>
              </w:rPr>
            </w:pPr>
            <w:r>
              <w:rPr>
                <w:rFonts w:ascii="Arial" w:cs="Arial" w:eastAsia="Arial" w:hAnsi="Arial"/>
                <w:sz w:val="14"/>
                <w:szCs w:val="14"/>
                <w:b w:val="1"/>
                <w:bCs w:val="1"/>
                <w:color w:val="auto"/>
                <w:w w:val="93"/>
              </w:rPr>
              <w:t>Transaction</w:t>
            </w:r>
          </w:p>
        </w:tc>
        <w:tc>
          <w:tcPr>
            <w:tcW w:w="5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2021</w:t>
            </w:r>
          </w:p>
        </w:tc>
        <w:tc>
          <w:tcPr>
            <w:tcW w:w="5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6"/>
        </w:trPr>
        <w:tc>
          <w:tcPr>
            <w:tcW w:w="3020" w:type="dxa"/>
            <w:vAlign w:val="bottom"/>
          </w:tcPr>
          <w:p>
            <w:pPr>
              <w:spacing w:after="0"/>
              <w:rPr>
                <w:sz w:val="9"/>
                <w:szCs w:val="9"/>
                <w:color w:val="auto"/>
              </w:rPr>
            </w:pPr>
          </w:p>
        </w:tc>
        <w:tc>
          <w:tcPr>
            <w:tcW w:w="1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62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2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Reclassification</w:t>
            </w:r>
          </w:p>
        </w:tc>
        <w:tc>
          <w:tcPr>
            <w:tcW w:w="100" w:type="dxa"/>
            <w:vAlign w:val="bottom"/>
          </w:tcPr>
          <w:p>
            <w:pPr>
              <w:spacing w:after="0"/>
              <w:rPr>
                <w:sz w:val="9"/>
                <w:szCs w:val="9"/>
                <w:color w:val="auto"/>
              </w:rPr>
            </w:pPr>
          </w:p>
        </w:tc>
        <w:tc>
          <w:tcPr>
            <w:tcW w:w="880" w:type="dxa"/>
            <w:vAlign w:val="bottom"/>
            <w:gridSpan w:val="2"/>
            <w:vMerge w:val="continue"/>
          </w:tcPr>
          <w:p>
            <w:pPr>
              <w:spacing w:after="0"/>
              <w:rPr>
                <w:sz w:val="9"/>
                <w:szCs w:val="9"/>
                <w:color w:val="auto"/>
              </w:rPr>
            </w:pPr>
          </w:p>
        </w:tc>
        <w:tc>
          <w:tcPr>
            <w:tcW w:w="660" w:type="dxa"/>
            <w:vAlign w:val="bottom"/>
          </w:tcPr>
          <w:p>
            <w:pPr>
              <w:spacing w:after="0"/>
              <w:rPr>
                <w:sz w:val="9"/>
                <w:szCs w:val="9"/>
                <w:color w:val="auto"/>
              </w:rPr>
            </w:pPr>
          </w:p>
        </w:tc>
        <w:tc>
          <w:tcPr>
            <w:tcW w:w="960" w:type="dxa"/>
            <w:vAlign w:val="bottom"/>
            <w:gridSpan w:val="3"/>
            <w:vMerge w:val="continue"/>
          </w:tcPr>
          <w:p>
            <w:pPr>
              <w:spacing w:after="0"/>
              <w:rPr>
                <w:sz w:val="9"/>
                <w:szCs w:val="9"/>
                <w:color w:val="auto"/>
              </w:rPr>
            </w:pPr>
          </w:p>
        </w:tc>
        <w:tc>
          <w:tcPr>
            <w:tcW w:w="580" w:type="dxa"/>
            <w:vAlign w:val="bottom"/>
          </w:tcPr>
          <w:p>
            <w:pPr>
              <w:spacing w:after="0"/>
              <w:rPr>
                <w:sz w:val="9"/>
                <w:szCs w:val="9"/>
                <w:color w:val="auto"/>
              </w:rPr>
            </w:pPr>
          </w:p>
        </w:tc>
        <w:tc>
          <w:tcPr>
            <w:tcW w:w="1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8"/>
        </w:trPr>
        <w:tc>
          <w:tcPr>
            <w:tcW w:w="30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20" w:type="dxa"/>
            <w:vAlign w:val="bottom"/>
            <w:gridSpan w:val="3"/>
            <w:vMerge w:val="continue"/>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gridSpan w:val="2"/>
          </w:tcPr>
          <w:p>
            <w:pPr>
              <w:jc w:val="right"/>
              <w:ind w:right="201"/>
              <w:spacing w:after="0" w:line="149" w:lineRule="exact"/>
              <w:rPr>
                <w:sz w:val="20"/>
                <w:szCs w:val="20"/>
                <w:color w:val="auto"/>
              </w:rPr>
            </w:pPr>
            <w:r>
              <w:rPr>
                <w:rFonts w:ascii="Arial" w:cs="Arial" w:eastAsia="Arial" w:hAnsi="Arial"/>
                <w:sz w:val="14"/>
                <w:szCs w:val="14"/>
                <w:b w:val="1"/>
                <w:bCs w:val="1"/>
                <w:color w:val="auto"/>
                <w:w w:val="87"/>
              </w:rPr>
              <w:t>Financing</w:t>
            </w:r>
          </w:p>
        </w:tc>
        <w:tc>
          <w:tcPr>
            <w:tcW w:w="660" w:type="dxa"/>
            <w:vAlign w:val="bottom"/>
          </w:tcPr>
          <w:p>
            <w:pPr>
              <w:spacing w:after="0"/>
              <w:rPr>
                <w:sz w:val="12"/>
                <w:szCs w:val="12"/>
                <w:color w:val="auto"/>
              </w:rPr>
            </w:pPr>
          </w:p>
        </w:tc>
        <w:tc>
          <w:tcPr>
            <w:tcW w:w="960" w:type="dxa"/>
            <w:vAlign w:val="bottom"/>
            <w:gridSpan w:val="3"/>
          </w:tcPr>
          <w:p>
            <w:pPr>
              <w:jc w:val="center"/>
              <w:ind w:right="61"/>
              <w:spacing w:after="0" w:line="149" w:lineRule="exact"/>
              <w:rPr>
                <w:sz w:val="20"/>
                <w:szCs w:val="20"/>
                <w:color w:val="auto"/>
              </w:rPr>
            </w:pPr>
            <w:r>
              <w:rPr>
                <w:rFonts w:ascii="Arial" w:cs="Arial" w:eastAsia="Arial" w:hAnsi="Arial"/>
                <w:sz w:val="14"/>
                <w:szCs w:val="14"/>
                <w:b w:val="1"/>
                <w:bCs w:val="1"/>
                <w:color w:val="auto"/>
                <w:w w:val="90"/>
              </w:rPr>
              <w:t>Accounting</w:t>
            </w: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320" w:type="dxa"/>
            <w:vAlign w:val="bottom"/>
            <w:gridSpan w:val="2"/>
            <w:vMerge w:val="restart"/>
          </w:tcPr>
          <w:p>
            <w:pPr>
              <w:jc w:val="center"/>
              <w:ind w:right="541"/>
              <w:spacing w:after="0"/>
              <w:rPr>
                <w:sz w:val="20"/>
                <w:szCs w:val="20"/>
                <w:color w:val="auto"/>
              </w:rPr>
            </w:pPr>
            <w:r>
              <w:rPr>
                <w:rFonts w:ascii="Arial" w:cs="Arial" w:eastAsia="Arial" w:hAnsi="Arial"/>
                <w:sz w:val="14"/>
                <w:szCs w:val="14"/>
                <w:b w:val="1"/>
                <w:bCs w:val="1"/>
                <w:color w:val="auto"/>
                <w:w w:val="94"/>
              </w:rPr>
              <w:t>Pro Forma</w:t>
            </w:r>
          </w:p>
        </w:tc>
        <w:tc>
          <w:tcPr>
            <w:tcW w:w="0" w:type="dxa"/>
            <w:vAlign w:val="bottom"/>
          </w:tcPr>
          <w:p>
            <w:pPr>
              <w:spacing w:after="0"/>
              <w:rPr>
                <w:sz w:val="1"/>
                <w:szCs w:val="1"/>
                <w:color w:val="auto"/>
              </w:rPr>
            </w:pPr>
          </w:p>
        </w:tc>
      </w:tr>
      <w:tr>
        <w:trPr>
          <w:trHeight w:val="148"/>
        </w:trPr>
        <w:tc>
          <w:tcPr>
            <w:tcW w:w="30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80" w:type="dxa"/>
            <w:vAlign w:val="bottom"/>
            <w:gridSpan w:val="2"/>
            <w:vMerge w:val="restart"/>
          </w:tcPr>
          <w:p>
            <w:pPr>
              <w:jc w:val="center"/>
              <w:ind w:right="281"/>
              <w:spacing w:after="0"/>
              <w:rPr>
                <w:sz w:val="20"/>
                <w:szCs w:val="20"/>
                <w:color w:val="auto"/>
              </w:rPr>
            </w:pPr>
            <w:r>
              <w:rPr>
                <w:rFonts w:ascii="Arial" w:cs="Arial" w:eastAsia="Arial" w:hAnsi="Arial"/>
                <w:sz w:val="14"/>
                <w:szCs w:val="14"/>
                <w:b w:val="1"/>
                <w:bCs w:val="1"/>
                <w:color w:val="auto"/>
              </w:rPr>
              <w:t>Marvell</w:t>
            </w:r>
          </w:p>
        </w:tc>
        <w:tc>
          <w:tcPr>
            <w:tcW w:w="220" w:type="dxa"/>
            <w:vAlign w:val="bottom"/>
          </w:tcPr>
          <w:p>
            <w:pPr>
              <w:spacing w:after="0"/>
              <w:rPr>
                <w:sz w:val="12"/>
                <w:szCs w:val="12"/>
                <w:color w:val="auto"/>
              </w:rPr>
            </w:pPr>
          </w:p>
        </w:tc>
        <w:tc>
          <w:tcPr>
            <w:tcW w:w="780" w:type="dxa"/>
            <w:vAlign w:val="bottom"/>
            <w:gridSpan w:val="2"/>
            <w:vMerge w:val="restart"/>
          </w:tcPr>
          <w:p>
            <w:pPr>
              <w:jc w:val="center"/>
              <w:ind w:right="301"/>
              <w:spacing w:after="0"/>
              <w:rPr>
                <w:sz w:val="20"/>
                <w:szCs w:val="20"/>
                <w:color w:val="auto"/>
              </w:rPr>
            </w:pPr>
            <w:r>
              <w:rPr>
                <w:rFonts w:ascii="Arial" w:cs="Arial" w:eastAsia="Arial" w:hAnsi="Arial"/>
                <w:sz w:val="14"/>
                <w:szCs w:val="14"/>
                <w:b w:val="1"/>
                <w:bCs w:val="1"/>
                <w:color w:val="auto"/>
                <w:w w:val="95"/>
              </w:rPr>
              <w:t>Inphi</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140" w:type="dxa"/>
            <w:vAlign w:val="bottom"/>
            <w:gridSpan w:val="2"/>
          </w:tcPr>
          <w:p>
            <w:pPr>
              <w:jc w:val="right"/>
              <w:ind w:right="340"/>
              <w:spacing w:after="0" w:line="149" w:lineRule="exact"/>
              <w:rPr>
                <w:sz w:val="20"/>
                <w:szCs w:val="20"/>
                <w:color w:val="auto"/>
              </w:rPr>
            </w:pPr>
            <w:r>
              <w:rPr>
                <w:rFonts w:ascii="Arial" w:cs="Arial" w:eastAsia="Arial" w:hAnsi="Arial"/>
                <w:sz w:val="14"/>
                <w:szCs w:val="14"/>
                <w:b w:val="1"/>
                <w:bCs w:val="1"/>
                <w:color w:val="auto"/>
                <w:w w:val="91"/>
              </w:rPr>
              <w:t>Adjustments</w:t>
            </w:r>
          </w:p>
        </w:tc>
        <w:tc>
          <w:tcPr>
            <w:tcW w:w="9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Adjustments</w:t>
            </w:r>
          </w:p>
        </w:tc>
        <w:tc>
          <w:tcPr>
            <w:tcW w:w="660" w:type="dxa"/>
            <w:vAlign w:val="bottom"/>
          </w:tcPr>
          <w:p>
            <w:pPr>
              <w:spacing w:after="0"/>
              <w:rPr>
                <w:sz w:val="12"/>
                <w:szCs w:val="12"/>
                <w:color w:val="auto"/>
              </w:rPr>
            </w:pPr>
          </w:p>
        </w:tc>
        <w:tc>
          <w:tcPr>
            <w:tcW w:w="960" w:type="dxa"/>
            <w:vAlign w:val="bottom"/>
            <w:gridSpan w:val="3"/>
          </w:tcPr>
          <w:p>
            <w:pPr>
              <w:jc w:val="center"/>
              <w:ind w:right="61"/>
              <w:spacing w:after="0" w:line="149" w:lineRule="exact"/>
              <w:rPr>
                <w:sz w:val="20"/>
                <w:szCs w:val="20"/>
                <w:color w:val="auto"/>
              </w:rPr>
            </w:pPr>
            <w:r>
              <w:rPr>
                <w:rFonts w:ascii="Arial" w:cs="Arial" w:eastAsia="Arial" w:hAnsi="Arial"/>
                <w:sz w:val="14"/>
                <w:szCs w:val="14"/>
                <w:b w:val="1"/>
                <w:bCs w:val="1"/>
                <w:color w:val="auto"/>
                <w:w w:val="91"/>
              </w:rPr>
              <w:t>Adjustments</w:t>
            </w: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32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3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8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4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(Note 4)</w:t>
            </w:r>
          </w:p>
        </w:tc>
        <w:tc>
          <w:tcPr>
            <w:tcW w:w="100" w:type="dxa"/>
            <w:vAlign w:val="bottom"/>
          </w:tcPr>
          <w:p>
            <w:pPr>
              <w:spacing w:after="0"/>
              <w:rPr>
                <w:sz w:val="14"/>
                <w:szCs w:val="14"/>
                <w:color w:val="auto"/>
              </w:rPr>
            </w:pPr>
          </w:p>
        </w:tc>
        <w:tc>
          <w:tcPr>
            <w:tcW w:w="880" w:type="dxa"/>
            <w:vAlign w:val="bottom"/>
            <w:gridSpan w:val="2"/>
          </w:tcPr>
          <w:p>
            <w:pPr>
              <w:ind w:left="60"/>
              <w:spacing w:after="0"/>
              <w:rPr>
                <w:sz w:val="20"/>
                <w:szCs w:val="20"/>
                <w:color w:val="auto"/>
              </w:rPr>
            </w:pPr>
            <w:r>
              <w:rPr>
                <w:rFonts w:ascii="Arial" w:cs="Arial" w:eastAsia="Arial" w:hAnsi="Arial"/>
                <w:sz w:val="14"/>
                <w:szCs w:val="14"/>
                <w:b w:val="1"/>
                <w:bCs w:val="1"/>
                <w:color w:val="auto"/>
              </w:rPr>
              <w:t>(Note 6)</w:t>
            </w: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gridSpan w:val="2"/>
          </w:tcPr>
          <w:p>
            <w:pPr>
              <w:jc w:val="center"/>
              <w:ind w:right="181"/>
              <w:spacing w:after="0"/>
              <w:rPr>
                <w:sz w:val="20"/>
                <w:szCs w:val="20"/>
                <w:color w:val="auto"/>
              </w:rPr>
            </w:pPr>
            <w:r>
              <w:rPr>
                <w:rFonts w:ascii="Arial" w:cs="Arial" w:eastAsia="Arial" w:hAnsi="Arial"/>
                <w:sz w:val="14"/>
                <w:szCs w:val="14"/>
                <w:b w:val="1"/>
                <w:bCs w:val="1"/>
                <w:color w:val="auto"/>
                <w:w w:val="95"/>
              </w:rPr>
              <w:t>(Note 7)</w:t>
            </w: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20" w:type="dxa"/>
            <w:vAlign w:val="bottom"/>
            <w:gridSpan w:val="2"/>
          </w:tcPr>
          <w:p>
            <w:pPr>
              <w:jc w:val="center"/>
              <w:ind w:right="561"/>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209"/>
        </w:trPr>
        <w:tc>
          <w:tcPr>
            <w:tcW w:w="30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b w:val="1"/>
                <w:bCs w:val="1"/>
                <w:color w:val="auto"/>
              </w:rPr>
              <w:t>Net revenue</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2,968,900</w:t>
            </w:r>
          </w:p>
        </w:tc>
        <w:tc>
          <w:tcPr>
            <w:tcW w:w="26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682,954</w:t>
            </w:r>
          </w:p>
        </w:tc>
        <w:tc>
          <w:tcPr>
            <w:tcW w:w="1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3,651,854</w:t>
            </w:r>
          </w:p>
        </w:tc>
        <w:tc>
          <w:tcPr>
            <w:tcW w:w="5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20" w:type="dxa"/>
            <w:vAlign w:val="bottom"/>
          </w:tcPr>
          <w:p>
            <w:pPr>
              <w:spacing w:after="0"/>
              <w:rPr>
                <w:sz w:val="20"/>
                <w:szCs w:val="20"/>
                <w:color w:val="auto"/>
              </w:rPr>
            </w:pPr>
            <w:r>
              <w:rPr>
                <w:rFonts w:ascii="Arial" w:cs="Arial" w:eastAsia="Arial" w:hAnsi="Arial"/>
                <w:sz w:val="18"/>
                <w:szCs w:val="18"/>
                <w:b w:val="1"/>
                <w:bCs w:val="1"/>
                <w:color w:val="auto"/>
              </w:rPr>
              <w:t>Cost of goods sold</w:t>
            </w:r>
          </w:p>
        </w:tc>
        <w:tc>
          <w:tcPr>
            <w:tcW w:w="100" w:type="dxa"/>
            <w:vAlign w:val="bottom"/>
          </w:tcPr>
          <w:p>
            <w:pPr>
              <w:spacing w:after="0"/>
              <w:rPr>
                <w:sz w:val="18"/>
                <w:szCs w:val="18"/>
                <w:color w:val="auto"/>
              </w:rPr>
            </w:pPr>
          </w:p>
        </w:tc>
        <w:tc>
          <w:tcPr>
            <w:tcW w:w="980" w:type="dxa"/>
            <w:vAlign w:val="bottom"/>
            <w:gridSpan w:val="2"/>
          </w:tcPr>
          <w:p>
            <w:pPr>
              <w:jc w:val="right"/>
              <w:ind w:right="181"/>
              <w:spacing w:after="0"/>
              <w:rPr>
                <w:sz w:val="20"/>
                <w:szCs w:val="20"/>
                <w:color w:val="auto"/>
              </w:rPr>
            </w:pPr>
            <w:r>
              <w:rPr>
                <w:rFonts w:ascii="Arial" w:cs="Arial" w:eastAsia="Arial" w:hAnsi="Arial"/>
                <w:sz w:val="18"/>
                <w:szCs w:val="18"/>
                <w:color w:val="auto"/>
                <w:w w:val="87"/>
              </w:rPr>
              <w:t>1,480,550</w:t>
            </w:r>
          </w:p>
        </w:tc>
        <w:tc>
          <w:tcPr>
            <w:tcW w:w="220" w:type="dxa"/>
            <w:vAlign w:val="bottom"/>
          </w:tcPr>
          <w:p>
            <w:pPr>
              <w:spacing w:after="0"/>
              <w:rPr>
                <w:sz w:val="18"/>
                <w:szCs w:val="18"/>
                <w:color w:val="auto"/>
              </w:rPr>
            </w:pPr>
          </w:p>
        </w:tc>
        <w:tc>
          <w:tcPr>
            <w:tcW w:w="780" w:type="dxa"/>
            <w:vAlign w:val="bottom"/>
            <w:gridSpan w:val="2"/>
          </w:tcPr>
          <w:p>
            <w:pPr>
              <w:jc w:val="right"/>
              <w:ind w:right="81"/>
              <w:spacing w:after="0"/>
              <w:rPr>
                <w:sz w:val="20"/>
                <w:szCs w:val="20"/>
                <w:color w:val="auto"/>
              </w:rPr>
            </w:pPr>
            <w:r>
              <w:rPr>
                <w:rFonts w:ascii="Arial" w:cs="Arial" w:eastAsia="Arial" w:hAnsi="Arial"/>
                <w:sz w:val="18"/>
                <w:szCs w:val="18"/>
                <w:color w:val="auto"/>
                <w:w w:val="92"/>
              </w:rPr>
              <w:t>311,823</w:t>
            </w: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80" w:type="dxa"/>
            <w:vAlign w:val="bottom"/>
            <w:gridSpan w:val="2"/>
          </w:tcPr>
          <w:p>
            <w:pPr>
              <w:jc w:val="right"/>
              <w:ind w:right="201"/>
              <w:spacing w:after="0"/>
              <w:rPr>
                <w:sz w:val="20"/>
                <w:szCs w:val="20"/>
                <w:color w:val="auto"/>
              </w:rPr>
            </w:pPr>
            <w:r>
              <w:rPr>
                <w:rFonts w:ascii="Arial" w:cs="Arial" w:eastAsia="Arial" w:hAnsi="Arial"/>
                <w:sz w:val="18"/>
                <w:szCs w:val="18"/>
                <w:color w:val="auto"/>
              </w:rPr>
              <w:t>—</w:t>
            </w:r>
          </w:p>
        </w:tc>
        <w:tc>
          <w:tcPr>
            <w:tcW w:w="6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81"/>
              <w:spacing w:after="0"/>
              <w:rPr>
                <w:sz w:val="20"/>
                <w:szCs w:val="20"/>
                <w:color w:val="auto"/>
              </w:rPr>
            </w:pPr>
            <w:r>
              <w:rPr>
                <w:rFonts w:ascii="Arial" w:cs="Arial" w:eastAsia="Arial" w:hAnsi="Arial"/>
                <w:sz w:val="18"/>
                <w:szCs w:val="18"/>
                <w:color w:val="auto"/>
              </w:rPr>
              <w:t>492,249</w:t>
            </w:r>
          </w:p>
        </w:tc>
        <w:tc>
          <w:tcPr>
            <w:tcW w:w="680" w:type="dxa"/>
            <w:vAlign w:val="bottom"/>
            <w:gridSpan w:val="2"/>
          </w:tcPr>
          <w:p>
            <w:pPr>
              <w:ind w:left="120"/>
              <w:spacing w:after="0"/>
              <w:rPr>
                <w:sz w:val="20"/>
                <w:szCs w:val="20"/>
                <w:color w:val="auto"/>
              </w:rPr>
            </w:pPr>
            <w:r>
              <w:rPr>
                <w:rFonts w:ascii="Arial" w:cs="Arial" w:eastAsia="Arial" w:hAnsi="Arial"/>
                <w:sz w:val="18"/>
                <w:szCs w:val="18"/>
                <w:color w:val="auto"/>
              </w:rPr>
              <w:t>7(a)</w:t>
            </w:r>
          </w:p>
        </w:tc>
        <w:tc>
          <w:tcPr>
            <w:tcW w:w="1320" w:type="dxa"/>
            <w:vAlign w:val="bottom"/>
            <w:gridSpan w:val="2"/>
          </w:tcPr>
          <w:p>
            <w:pPr>
              <w:jc w:val="right"/>
              <w:ind w:right="461"/>
              <w:spacing w:after="0"/>
              <w:rPr>
                <w:sz w:val="20"/>
                <w:szCs w:val="20"/>
                <w:color w:val="auto"/>
              </w:rPr>
            </w:pPr>
            <w:r>
              <w:rPr>
                <w:rFonts w:ascii="Arial" w:cs="Arial" w:eastAsia="Arial" w:hAnsi="Arial"/>
                <w:sz w:val="18"/>
                <w:szCs w:val="18"/>
                <w:color w:val="auto"/>
                <w:w w:val="94"/>
              </w:rPr>
              <w:t>2,284,622</w:t>
            </w:r>
          </w:p>
        </w:tc>
        <w:tc>
          <w:tcPr>
            <w:tcW w:w="0" w:type="dxa"/>
            <w:vAlign w:val="bottom"/>
          </w:tcPr>
          <w:p>
            <w:pPr>
              <w:spacing w:after="0"/>
              <w:rPr>
                <w:sz w:val="1"/>
                <w:szCs w:val="1"/>
                <w:color w:val="auto"/>
              </w:rPr>
            </w:pPr>
          </w:p>
        </w:tc>
      </w:tr>
      <w:tr>
        <w:trPr>
          <w:trHeight w:val="27"/>
        </w:trPr>
        <w:tc>
          <w:tcPr>
            <w:tcW w:w="30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6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5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0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Gross profit</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81"/>
              <w:spacing w:after="0"/>
              <w:rPr>
                <w:sz w:val="20"/>
                <w:szCs w:val="20"/>
                <w:color w:val="auto"/>
              </w:rPr>
            </w:pPr>
            <w:r>
              <w:rPr>
                <w:rFonts w:ascii="Arial" w:cs="Arial" w:eastAsia="Arial" w:hAnsi="Arial"/>
                <w:sz w:val="18"/>
                <w:szCs w:val="18"/>
                <w:color w:val="auto"/>
                <w:w w:val="87"/>
              </w:rPr>
              <w:t>1,488,350</w:t>
            </w:r>
          </w:p>
        </w:tc>
        <w:tc>
          <w:tcPr>
            <w:tcW w:w="2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w w:val="92"/>
              </w:rPr>
              <w:t>371,131</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1"/>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w w:val="93"/>
              </w:rPr>
              <w:t>(492,249)</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61"/>
              <w:spacing w:after="0"/>
              <w:rPr>
                <w:sz w:val="20"/>
                <w:szCs w:val="20"/>
                <w:color w:val="auto"/>
              </w:rPr>
            </w:pPr>
            <w:r>
              <w:rPr>
                <w:rFonts w:ascii="Arial" w:cs="Arial" w:eastAsia="Arial" w:hAnsi="Arial"/>
                <w:sz w:val="18"/>
                <w:szCs w:val="18"/>
                <w:color w:val="auto"/>
                <w:w w:val="94"/>
              </w:rPr>
              <w:t>1,367,232</w:t>
            </w:r>
          </w:p>
        </w:tc>
        <w:tc>
          <w:tcPr>
            <w:tcW w:w="0" w:type="dxa"/>
            <w:vAlign w:val="bottom"/>
          </w:tcPr>
          <w:p>
            <w:pPr>
              <w:spacing w:after="0"/>
              <w:rPr>
                <w:sz w:val="1"/>
                <w:szCs w:val="1"/>
                <w:color w:val="auto"/>
              </w:rPr>
            </w:pPr>
          </w:p>
        </w:tc>
      </w:tr>
      <w:tr>
        <w:trPr>
          <w:trHeight w:val="223"/>
        </w:trPr>
        <w:tc>
          <w:tcPr>
            <w:tcW w:w="3020" w:type="dxa"/>
            <w:vAlign w:val="bottom"/>
          </w:tcPr>
          <w:p>
            <w:pPr>
              <w:ind w:left="360"/>
              <w:spacing w:after="0"/>
              <w:rPr>
                <w:sz w:val="20"/>
                <w:szCs w:val="20"/>
                <w:color w:val="auto"/>
              </w:rPr>
            </w:pPr>
            <w:r>
              <w:rPr>
                <w:rFonts w:ascii="Arial" w:cs="Arial" w:eastAsia="Arial" w:hAnsi="Arial"/>
                <w:sz w:val="18"/>
                <w:szCs w:val="18"/>
                <w:b w:val="1"/>
                <w:bCs w:val="1"/>
                <w:color w:val="auto"/>
              </w:rPr>
              <w:t>Operating expenses:</w:t>
            </w: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260" w:type="dxa"/>
            <w:vAlign w:val="bottom"/>
          </w:tcPr>
          <w:p>
            <w:pPr>
              <w:spacing w:after="0"/>
              <w:rPr>
                <w:sz w:val="19"/>
                <w:szCs w:val="19"/>
                <w:color w:val="auto"/>
              </w:rPr>
            </w:pPr>
          </w:p>
        </w:tc>
        <w:tc>
          <w:tcPr>
            <w:tcW w:w="2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80" w:type="dxa"/>
            <w:vAlign w:val="bottom"/>
            <w:tcBorders>
              <w:top w:val="single" w:sz="8" w:color="auto"/>
            </w:tcBorders>
          </w:tcPr>
          <w:p>
            <w:pPr>
              <w:spacing w:after="0"/>
              <w:rPr>
                <w:sz w:val="19"/>
                <w:szCs w:val="19"/>
                <w:color w:val="auto"/>
              </w:rPr>
            </w:pPr>
          </w:p>
        </w:tc>
        <w:tc>
          <w:tcPr>
            <w:tcW w:w="2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spacing w:after="0"/>
              <w:rPr>
                <w:sz w:val="19"/>
                <w:szCs w:val="19"/>
                <w:color w:val="auto"/>
              </w:rPr>
            </w:pPr>
          </w:p>
        </w:tc>
        <w:tc>
          <w:tcPr>
            <w:tcW w:w="1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80" w:type="dxa"/>
            <w:vAlign w:val="bottom"/>
            <w:tcBorders>
              <w:top w:val="single" w:sz="8" w:color="auto"/>
            </w:tcBorders>
          </w:tcPr>
          <w:p>
            <w:pPr>
              <w:spacing w:after="0"/>
              <w:rPr>
                <w:sz w:val="19"/>
                <w:szCs w:val="19"/>
                <w:color w:val="auto"/>
              </w:rPr>
            </w:pPr>
          </w:p>
        </w:tc>
        <w:tc>
          <w:tcPr>
            <w:tcW w:w="1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80" w:type="dxa"/>
            <w:vAlign w:val="bottom"/>
            <w:tcBorders>
              <w:top w:val="single" w:sz="8" w:color="auto"/>
            </w:tcBorders>
          </w:tcPr>
          <w:p>
            <w:pPr>
              <w:spacing w:after="0"/>
              <w:rPr>
                <w:sz w:val="19"/>
                <w:szCs w:val="19"/>
                <w:color w:val="auto"/>
              </w:rPr>
            </w:pPr>
          </w:p>
        </w:tc>
        <w:tc>
          <w:tcPr>
            <w:tcW w:w="5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0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81"/>
              <w:spacing w:after="0"/>
              <w:rPr>
                <w:sz w:val="20"/>
                <w:szCs w:val="20"/>
                <w:color w:val="auto"/>
              </w:rPr>
            </w:pPr>
            <w:r>
              <w:rPr>
                <w:rFonts w:ascii="Arial" w:cs="Arial" w:eastAsia="Arial" w:hAnsi="Arial"/>
                <w:sz w:val="18"/>
                <w:szCs w:val="18"/>
                <w:color w:val="auto"/>
                <w:w w:val="87"/>
              </w:rPr>
              <w:t>1,072,740</w:t>
            </w:r>
          </w:p>
        </w:tc>
        <w:tc>
          <w:tcPr>
            <w:tcW w:w="2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w w:val="92"/>
              </w:rPr>
              <w:t>269,147</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1"/>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21,920</w:t>
            </w:r>
          </w:p>
        </w:tc>
        <w:tc>
          <w:tcPr>
            <w:tcW w:w="68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rPr>
              <w:t>7(b)</w:t>
            </w:r>
          </w:p>
        </w:tc>
        <w:tc>
          <w:tcPr>
            <w:tcW w:w="1320" w:type="dxa"/>
            <w:vAlign w:val="bottom"/>
            <w:gridSpan w:val="2"/>
            <w:shd w:val="clear" w:color="auto" w:fill="CCEEFF"/>
          </w:tcPr>
          <w:p>
            <w:pPr>
              <w:jc w:val="right"/>
              <w:ind w:right="461"/>
              <w:spacing w:after="0"/>
              <w:rPr>
                <w:sz w:val="20"/>
                <w:szCs w:val="20"/>
                <w:color w:val="auto"/>
              </w:rPr>
            </w:pPr>
            <w:r>
              <w:rPr>
                <w:rFonts w:ascii="Arial" w:cs="Arial" w:eastAsia="Arial" w:hAnsi="Arial"/>
                <w:sz w:val="18"/>
                <w:szCs w:val="18"/>
                <w:color w:val="auto"/>
                <w:w w:val="94"/>
              </w:rPr>
              <w:t>1,363,807</w:t>
            </w:r>
          </w:p>
        </w:tc>
        <w:tc>
          <w:tcPr>
            <w:tcW w:w="0" w:type="dxa"/>
            <w:vAlign w:val="bottom"/>
          </w:tcPr>
          <w:p>
            <w:pPr>
              <w:spacing w:after="0"/>
              <w:rPr>
                <w:sz w:val="1"/>
                <w:szCs w:val="1"/>
                <w:color w:val="auto"/>
              </w:rPr>
            </w:pPr>
          </w:p>
        </w:tc>
      </w:tr>
      <w:tr>
        <w:trPr>
          <w:trHeight w:val="202"/>
        </w:trPr>
        <w:tc>
          <w:tcPr>
            <w:tcW w:w="3020" w:type="dxa"/>
            <w:vAlign w:val="bottom"/>
          </w:tcPr>
          <w:p>
            <w:pPr>
              <w:ind w:left="360"/>
              <w:spacing w:after="0" w:line="201" w:lineRule="exact"/>
              <w:rPr>
                <w:sz w:val="20"/>
                <w:szCs w:val="20"/>
                <w:color w:val="auto"/>
              </w:rPr>
            </w:pPr>
            <w:r>
              <w:rPr>
                <w:rFonts w:ascii="Arial" w:cs="Arial" w:eastAsia="Arial" w:hAnsi="Arial"/>
                <w:sz w:val="18"/>
                <w:szCs w:val="18"/>
                <w:color w:val="auto"/>
              </w:rPr>
              <w:t>Selling, general and</w:t>
            </w: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020" w:type="dxa"/>
            <w:vAlign w:val="bottom"/>
          </w:tcPr>
          <w:p>
            <w:pPr>
              <w:ind w:left="540"/>
              <w:spacing w:after="0"/>
              <w:rPr>
                <w:sz w:val="20"/>
                <w:szCs w:val="20"/>
                <w:color w:val="auto"/>
              </w:rPr>
            </w:pPr>
            <w:r>
              <w:rPr>
                <w:rFonts w:ascii="Arial" w:cs="Arial" w:eastAsia="Arial" w:hAnsi="Arial"/>
                <w:sz w:val="18"/>
                <w:szCs w:val="18"/>
                <w:color w:val="auto"/>
              </w:rPr>
              <w:t>administrative</w:t>
            </w:r>
          </w:p>
        </w:tc>
        <w:tc>
          <w:tcPr>
            <w:tcW w:w="100" w:type="dxa"/>
            <w:vAlign w:val="bottom"/>
          </w:tcPr>
          <w:p>
            <w:pPr>
              <w:spacing w:after="0"/>
              <w:rPr>
                <w:sz w:val="20"/>
                <w:szCs w:val="20"/>
                <w:color w:val="auto"/>
              </w:rPr>
            </w:pPr>
          </w:p>
        </w:tc>
        <w:tc>
          <w:tcPr>
            <w:tcW w:w="980" w:type="dxa"/>
            <w:vAlign w:val="bottom"/>
            <w:gridSpan w:val="2"/>
          </w:tcPr>
          <w:p>
            <w:pPr>
              <w:jc w:val="right"/>
              <w:ind w:right="181"/>
              <w:spacing w:after="0"/>
              <w:rPr>
                <w:sz w:val="20"/>
                <w:szCs w:val="20"/>
                <w:color w:val="auto"/>
              </w:rPr>
            </w:pPr>
            <w:r>
              <w:rPr>
                <w:rFonts w:ascii="Arial" w:cs="Arial" w:eastAsia="Arial" w:hAnsi="Arial"/>
                <w:sz w:val="18"/>
                <w:szCs w:val="18"/>
                <w:color w:val="auto"/>
              </w:rPr>
              <w:t>467,240</w:t>
            </w:r>
          </w:p>
        </w:tc>
        <w:tc>
          <w:tcPr>
            <w:tcW w:w="220" w:type="dxa"/>
            <w:vAlign w:val="bottom"/>
          </w:tcPr>
          <w:p>
            <w:pPr>
              <w:spacing w:after="0"/>
              <w:rPr>
                <w:sz w:val="20"/>
                <w:szCs w:val="20"/>
                <w:color w:val="auto"/>
              </w:rPr>
            </w:pPr>
          </w:p>
        </w:tc>
        <w:tc>
          <w:tcPr>
            <w:tcW w:w="780" w:type="dxa"/>
            <w:vAlign w:val="bottom"/>
            <w:gridSpan w:val="2"/>
          </w:tcPr>
          <w:p>
            <w:pPr>
              <w:jc w:val="right"/>
              <w:ind w:right="181"/>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140" w:type="dxa"/>
            <w:vAlign w:val="bottom"/>
            <w:gridSpan w:val="2"/>
          </w:tcPr>
          <w:p>
            <w:pPr>
              <w:jc w:val="right"/>
              <w:ind w:right="260"/>
              <w:spacing w:after="0"/>
              <w:rPr>
                <w:sz w:val="20"/>
                <w:szCs w:val="20"/>
                <w:color w:val="auto"/>
              </w:rPr>
            </w:pPr>
            <w:r>
              <w:rPr>
                <w:rFonts w:ascii="Arial" w:cs="Arial" w:eastAsia="Arial" w:hAnsi="Arial"/>
                <w:sz w:val="18"/>
                <w:szCs w:val="18"/>
                <w:color w:val="auto"/>
              </w:rPr>
              <w:t>118,809</w:t>
            </w:r>
          </w:p>
        </w:tc>
        <w:tc>
          <w:tcPr>
            <w:tcW w:w="100" w:type="dxa"/>
            <w:vAlign w:val="bottom"/>
          </w:tcPr>
          <w:p>
            <w:pPr>
              <w:spacing w:after="0"/>
              <w:rPr>
                <w:sz w:val="20"/>
                <w:szCs w:val="20"/>
                <w:color w:val="auto"/>
              </w:rPr>
            </w:pPr>
          </w:p>
        </w:tc>
        <w:tc>
          <w:tcPr>
            <w:tcW w:w="880" w:type="dxa"/>
            <w:vAlign w:val="bottom"/>
            <w:gridSpan w:val="2"/>
          </w:tcPr>
          <w:p>
            <w:pPr>
              <w:jc w:val="right"/>
              <w:ind w:right="201"/>
              <w:spacing w:after="0"/>
              <w:rPr>
                <w:sz w:val="20"/>
                <w:szCs w:val="20"/>
                <w:color w:val="auto"/>
              </w:rPr>
            </w:pPr>
            <w:r>
              <w:rPr>
                <w:rFonts w:ascii="Arial" w:cs="Arial" w:eastAsia="Arial" w:hAnsi="Arial"/>
                <w:sz w:val="18"/>
                <w:szCs w:val="18"/>
                <w:color w:val="auto"/>
              </w:rPr>
              <w:t>—</w:t>
            </w:r>
          </w:p>
        </w:tc>
        <w:tc>
          <w:tcPr>
            <w:tcW w:w="6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40" w:type="dxa"/>
            <w:vAlign w:val="bottom"/>
            <w:gridSpan w:val="2"/>
          </w:tcPr>
          <w:p>
            <w:pPr>
              <w:jc w:val="right"/>
              <w:ind w:right="81"/>
              <w:spacing w:after="0"/>
              <w:rPr>
                <w:sz w:val="20"/>
                <w:szCs w:val="20"/>
                <w:color w:val="auto"/>
              </w:rPr>
            </w:pPr>
            <w:r>
              <w:rPr>
                <w:rFonts w:ascii="Arial" w:cs="Arial" w:eastAsia="Arial" w:hAnsi="Arial"/>
                <w:sz w:val="18"/>
                <w:szCs w:val="18"/>
                <w:color w:val="auto"/>
              </w:rPr>
              <w:t>402,327</w:t>
            </w:r>
          </w:p>
        </w:tc>
        <w:tc>
          <w:tcPr>
            <w:tcW w:w="680" w:type="dxa"/>
            <w:vAlign w:val="bottom"/>
            <w:gridSpan w:val="2"/>
          </w:tcPr>
          <w:p>
            <w:pPr>
              <w:ind w:left="120"/>
              <w:spacing w:after="0"/>
              <w:rPr>
                <w:sz w:val="20"/>
                <w:szCs w:val="20"/>
                <w:color w:val="auto"/>
              </w:rPr>
            </w:pPr>
            <w:r>
              <w:rPr>
                <w:rFonts w:ascii="Arial" w:cs="Arial" w:eastAsia="Arial" w:hAnsi="Arial"/>
                <w:sz w:val="18"/>
                <w:szCs w:val="18"/>
                <w:color w:val="auto"/>
              </w:rPr>
              <w:t>7(c)</w:t>
            </w:r>
          </w:p>
        </w:tc>
        <w:tc>
          <w:tcPr>
            <w:tcW w:w="1320" w:type="dxa"/>
            <w:vAlign w:val="bottom"/>
            <w:gridSpan w:val="2"/>
          </w:tcPr>
          <w:p>
            <w:pPr>
              <w:jc w:val="right"/>
              <w:ind w:right="461"/>
              <w:spacing w:after="0"/>
              <w:rPr>
                <w:sz w:val="20"/>
                <w:szCs w:val="20"/>
                <w:color w:val="auto"/>
              </w:rPr>
            </w:pPr>
            <w:r>
              <w:rPr>
                <w:rFonts w:ascii="Arial" w:cs="Arial" w:eastAsia="Arial" w:hAnsi="Arial"/>
                <w:sz w:val="18"/>
                <w:szCs w:val="18"/>
                <w:color w:val="auto"/>
              </w:rPr>
              <w:t>988,376</w:t>
            </w:r>
          </w:p>
        </w:tc>
        <w:tc>
          <w:tcPr>
            <w:tcW w:w="0" w:type="dxa"/>
            <w:vAlign w:val="bottom"/>
          </w:tcPr>
          <w:p>
            <w:pPr>
              <w:spacing w:after="0"/>
              <w:rPr>
                <w:sz w:val="1"/>
                <w:szCs w:val="1"/>
                <w:color w:val="auto"/>
              </w:rPr>
            </w:pPr>
          </w:p>
        </w:tc>
      </w:tr>
      <w:tr>
        <w:trPr>
          <w:trHeight w:val="216"/>
        </w:trPr>
        <w:tc>
          <w:tcPr>
            <w:tcW w:w="30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Sales and marketing</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61"/>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61,290</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(61,290)</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1"/>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61"/>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54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020" w:type="dxa"/>
            <w:vAlign w:val="bottom"/>
          </w:tcPr>
          <w:p>
            <w:pPr>
              <w:ind w:left="360"/>
              <w:spacing w:after="0"/>
              <w:rPr>
                <w:sz w:val="20"/>
                <w:szCs w:val="20"/>
                <w:color w:val="auto"/>
              </w:rPr>
            </w:pPr>
            <w:r>
              <w:rPr>
                <w:rFonts w:ascii="Arial" w:cs="Arial" w:eastAsia="Arial" w:hAnsi="Arial"/>
                <w:sz w:val="18"/>
                <w:szCs w:val="18"/>
                <w:color w:val="auto"/>
              </w:rPr>
              <w:t>General and administrative</w:t>
            </w:r>
          </w:p>
        </w:tc>
        <w:tc>
          <w:tcPr>
            <w:tcW w:w="100" w:type="dxa"/>
            <w:vAlign w:val="bottom"/>
          </w:tcPr>
          <w:p>
            <w:pPr>
              <w:spacing w:after="0"/>
              <w:rPr>
                <w:sz w:val="18"/>
                <w:szCs w:val="18"/>
                <w:color w:val="auto"/>
              </w:rPr>
            </w:pPr>
          </w:p>
        </w:tc>
        <w:tc>
          <w:tcPr>
            <w:tcW w:w="980" w:type="dxa"/>
            <w:vAlign w:val="bottom"/>
            <w:gridSpan w:val="2"/>
          </w:tcPr>
          <w:p>
            <w:pPr>
              <w:jc w:val="right"/>
              <w:ind w:right="261"/>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780" w:type="dxa"/>
            <w:vAlign w:val="bottom"/>
            <w:gridSpan w:val="2"/>
          </w:tcPr>
          <w:p>
            <w:pPr>
              <w:jc w:val="right"/>
              <w:ind w:right="81"/>
              <w:spacing w:after="0"/>
              <w:rPr>
                <w:sz w:val="20"/>
                <w:szCs w:val="20"/>
                <w:color w:val="auto"/>
              </w:rPr>
            </w:pPr>
            <w:r>
              <w:rPr>
                <w:rFonts w:ascii="Arial" w:cs="Arial" w:eastAsia="Arial" w:hAnsi="Arial"/>
                <w:sz w:val="18"/>
                <w:szCs w:val="18"/>
                <w:color w:val="auto"/>
              </w:rPr>
              <w:t>57,519</w:t>
            </w: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40" w:type="dxa"/>
            <w:vAlign w:val="bottom"/>
            <w:gridSpan w:val="2"/>
          </w:tcPr>
          <w:p>
            <w:pPr>
              <w:jc w:val="right"/>
              <w:ind w:right="200"/>
              <w:spacing w:after="0"/>
              <w:rPr>
                <w:sz w:val="20"/>
                <w:szCs w:val="20"/>
                <w:color w:val="auto"/>
              </w:rPr>
            </w:pPr>
            <w:r>
              <w:rPr>
                <w:rFonts w:ascii="Arial" w:cs="Arial" w:eastAsia="Arial" w:hAnsi="Arial"/>
                <w:sz w:val="18"/>
                <w:szCs w:val="18"/>
                <w:color w:val="auto"/>
              </w:rPr>
              <w:t>(57,519)</w:t>
            </w:r>
          </w:p>
        </w:tc>
        <w:tc>
          <w:tcPr>
            <w:tcW w:w="100" w:type="dxa"/>
            <w:vAlign w:val="bottom"/>
          </w:tcPr>
          <w:p>
            <w:pPr>
              <w:spacing w:after="0"/>
              <w:rPr>
                <w:sz w:val="18"/>
                <w:szCs w:val="18"/>
                <w:color w:val="auto"/>
              </w:rPr>
            </w:pPr>
          </w:p>
        </w:tc>
        <w:tc>
          <w:tcPr>
            <w:tcW w:w="880" w:type="dxa"/>
            <w:vAlign w:val="bottom"/>
            <w:gridSpan w:val="2"/>
          </w:tcPr>
          <w:p>
            <w:pPr>
              <w:jc w:val="right"/>
              <w:ind w:right="201"/>
              <w:spacing w:after="0"/>
              <w:rPr>
                <w:sz w:val="20"/>
                <w:szCs w:val="20"/>
                <w:color w:val="auto"/>
              </w:rPr>
            </w:pPr>
            <w:r>
              <w:rPr>
                <w:rFonts w:ascii="Arial" w:cs="Arial" w:eastAsia="Arial" w:hAnsi="Arial"/>
                <w:sz w:val="18"/>
                <w:szCs w:val="18"/>
                <w:color w:val="auto"/>
              </w:rPr>
              <w:t>—</w:t>
            </w:r>
          </w:p>
        </w:tc>
        <w:tc>
          <w:tcPr>
            <w:tcW w:w="6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61"/>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20" w:type="dxa"/>
            <w:vAlign w:val="bottom"/>
            <w:gridSpan w:val="2"/>
          </w:tcPr>
          <w:p>
            <w:pPr>
              <w:jc w:val="right"/>
              <w:ind w:right="54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0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Legal settlement</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81"/>
              <w:spacing w:after="0"/>
              <w:rPr>
                <w:sz w:val="20"/>
                <w:szCs w:val="20"/>
                <w:color w:val="auto"/>
              </w:rPr>
            </w:pPr>
            <w:r>
              <w:rPr>
                <w:rFonts w:ascii="Arial" w:cs="Arial" w:eastAsia="Arial" w:hAnsi="Arial"/>
                <w:sz w:val="18"/>
                <w:szCs w:val="18"/>
                <w:color w:val="auto"/>
              </w:rPr>
              <w:t>36,000</w:t>
            </w:r>
          </w:p>
        </w:tc>
        <w:tc>
          <w:tcPr>
            <w:tcW w:w="2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1"/>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1"/>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61"/>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61"/>
              <w:spacing w:after="0"/>
              <w:rPr>
                <w:sz w:val="20"/>
                <w:szCs w:val="20"/>
                <w:color w:val="auto"/>
              </w:rPr>
            </w:pPr>
            <w:r>
              <w:rPr>
                <w:rFonts w:ascii="Arial" w:cs="Arial" w:eastAsia="Arial" w:hAnsi="Arial"/>
                <w:sz w:val="18"/>
                <w:szCs w:val="18"/>
                <w:color w:val="auto"/>
              </w:rPr>
              <w:t>36,000</w:t>
            </w:r>
          </w:p>
        </w:tc>
        <w:tc>
          <w:tcPr>
            <w:tcW w:w="0" w:type="dxa"/>
            <w:vAlign w:val="bottom"/>
          </w:tcPr>
          <w:p>
            <w:pPr>
              <w:spacing w:after="0"/>
              <w:rPr>
                <w:sz w:val="1"/>
                <w:szCs w:val="1"/>
                <w:color w:val="auto"/>
              </w:rPr>
            </w:pPr>
          </w:p>
        </w:tc>
      </w:tr>
      <w:tr>
        <w:trPr>
          <w:trHeight w:val="216"/>
        </w:trPr>
        <w:tc>
          <w:tcPr>
            <w:tcW w:w="3020" w:type="dxa"/>
            <w:vAlign w:val="bottom"/>
          </w:tcPr>
          <w:p>
            <w:pPr>
              <w:ind w:left="360"/>
              <w:spacing w:after="0"/>
              <w:rPr>
                <w:sz w:val="20"/>
                <w:szCs w:val="20"/>
                <w:color w:val="auto"/>
              </w:rPr>
            </w:pPr>
            <w:r>
              <w:rPr>
                <w:rFonts w:ascii="Arial" w:cs="Arial" w:eastAsia="Arial" w:hAnsi="Arial"/>
                <w:sz w:val="18"/>
                <w:szCs w:val="18"/>
                <w:color w:val="auto"/>
              </w:rPr>
              <w:t>Restructuring related charges</w:t>
            </w:r>
          </w:p>
        </w:tc>
        <w:tc>
          <w:tcPr>
            <w:tcW w:w="100" w:type="dxa"/>
            <w:vAlign w:val="bottom"/>
          </w:tcPr>
          <w:p>
            <w:pPr>
              <w:spacing w:after="0"/>
              <w:rPr>
                <w:sz w:val="18"/>
                <w:szCs w:val="18"/>
                <w:color w:val="auto"/>
              </w:rPr>
            </w:pPr>
          </w:p>
        </w:tc>
        <w:tc>
          <w:tcPr>
            <w:tcW w:w="980" w:type="dxa"/>
            <w:vAlign w:val="bottom"/>
            <w:gridSpan w:val="2"/>
          </w:tcPr>
          <w:p>
            <w:pPr>
              <w:jc w:val="right"/>
              <w:ind w:right="181"/>
              <w:spacing w:after="0"/>
              <w:rPr>
                <w:sz w:val="20"/>
                <w:szCs w:val="20"/>
                <w:color w:val="auto"/>
              </w:rPr>
            </w:pPr>
            <w:r>
              <w:rPr>
                <w:rFonts w:ascii="Arial" w:cs="Arial" w:eastAsia="Arial" w:hAnsi="Arial"/>
                <w:sz w:val="18"/>
                <w:szCs w:val="18"/>
                <w:color w:val="auto"/>
              </w:rPr>
              <w:t>170,759</w:t>
            </w:r>
          </w:p>
        </w:tc>
        <w:tc>
          <w:tcPr>
            <w:tcW w:w="220" w:type="dxa"/>
            <w:vAlign w:val="bottom"/>
          </w:tcPr>
          <w:p>
            <w:pPr>
              <w:spacing w:after="0"/>
              <w:rPr>
                <w:sz w:val="18"/>
                <w:szCs w:val="18"/>
                <w:color w:val="auto"/>
              </w:rPr>
            </w:pPr>
          </w:p>
        </w:tc>
        <w:tc>
          <w:tcPr>
            <w:tcW w:w="780" w:type="dxa"/>
            <w:vAlign w:val="bottom"/>
            <w:gridSpan w:val="2"/>
          </w:tcPr>
          <w:p>
            <w:pPr>
              <w:jc w:val="right"/>
              <w:ind w:right="181"/>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80" w:type="dxa"/>
            <w:vAlign w:val="bottom"/>
            <w:gridSpan w:val="2"/>
          </w:tcPr>
          <w:p>
            <w:pPr>
              <w:jc w:val="right"/>
              <w:ind w:right="201"/>
              <w:spacing w:after="0"/>
              <w:rPr>
                <w:sz w:val="20"/>
                <w:szCs w:val="20"/>
                <w:color w:val="auto"/>
              </w:rPr>
            </w:pPr>
            <w:r>
              <w:rPr>
                <w:rFonts w:ascii="Arial" w:cs="Arial" w:eastAsia="Arial" w:hAnsi="Arial"/>
                <w:sz w:val="18"/>
                <w:szCs w:val="18"/>
                <w:color w:val="auto"/>
              </w:rPr>
              <w:t>—</w:t>
            </w:r>
          </w:p>
        </w:tc>
        <w:tc>
          <w:tcPr>
            <w:tcW w:w="6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61"/>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20" w:type="dxa"/>
            <w:vAlign w:val="bottom"/>
            <w:gridSpan w:val="2"/>
          </w:tcPr>
          <w:p>
            <w:pPr>
              <w:jc w:val="right"/>
              <w:ind w:right="461"/>
              <w:spacing w:after="0"/>
              <w:rPr>
                <w:sz w:val="20"/>
                <w:szCs w:val="20"/>
                <w:color w:val="auto"/>
              </w:rPr>
            </w:pPr>
            <w:r>
              <w:rPr>
                <w:rFonts w:ascii="Arial" w:cs="Arial" w:eastAsia="Arial" w:hAnsi="Arial"/>
                <w:sz w:val="18"/>
                <w:szCs w:val="18"/>
                <w:color w:val="auto"/>
              </w:rPr>
              <w:t>170,759</w:t>
            </w:r>
          </w:p>
        </w:tc>
        <w:tc>
          <w:tcPr>
            <w:tcW w:w="0" w:type="dxa"/>
            <w:vAlign w:val="bottom"/>
          </w:tcPr>
          <w:p>
            <w:pPr>
              <w:spacing w:after="0"/>
              <w:rPr>
                <w:sz w:val="1"/>
                <w:szCs w:val="1"/>
                <w:color w:val="auto"/>
              </w:rPr>
            </w:pPr>
          </w:p>
        </w:tc>
      </w:tr>
      <w:tr>
        <w:trPr>
          <w:trHeight w:val="27"/>
        </w:trPr>
        <w:tc>
          <w:tcPr>
            <w:tcW w:w="30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6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5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020" w:type="dxa"/>
            <w:vAlign w:val="bottom"/>
            <w:shd w:val="clear" w:color="auto" w:fill="CCEEFF"/>
          </w:tcPr>
          <w:p>
            <w:pPr>
              <w:spacing w:after="0"/>
              <w:rPr>
                <w:sz w:val="20"/>
                <w:szCs w:val="20"/>
                <w:color w:val="auto"/>
              </w:rPr>
            </w:pPr>
            <w:r>
              <w:rPr>
                <w:rFonts w:ascii="Arial" w:cs="Arial" w:eastAsia="Arial" w:hAnsi="Arial"/>
                <w:sz w:val="18"/>
                <w:szCs w:val="18"/>
                <w:color w:val="auto"/>
              </w:rPr>
              <w:t>Total operating expenses</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81"/>
              <w:spacing w:after="0"/>
              <w:rPr>
                <w:sz w:val="20"/>
                <w:szCs w:val="20"/>
                <w:color w:val="auto"/>
              </w:rPr>
            </w:pPr>
            <w:r>
              <w:rPr>
                <w:rFonts w:ascii="Arial" w:cs="Arial" w:eastAsia="Arial" w:hAnsi="Arial"/>
                <w:sz w:val="18"/>
                <w:szCs w:val="18"/>
                <w:color w:val="auto"/>
                <w:w w:val="87"/>
              </w:rPr>
              <w:t>1,746,739</w:t>
            </w:r>
          </w:p>
        </w:tc>
        <w:tc>
          <w:tcPr>
            <w:tcW w:w="2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w w:val="92"/>
              </w:rPr>
              <w:t>387,956</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1"/>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424,247</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61"/>
              <w:spacing w:after="0"/>
              <w:rPr>
                <w:sz w:val="20"/>
                <w:szCs w:val="20"/>
                <w:color w:val="auto"/>
              </w:rPr>
            </w:pPr>
            <w:r>
              <w:rPr>
                <w:rFonts w:ascii="Arial" w:cs="Arial" w:eastAsia="Arial" w:hAnsi="Arial"/>
                <w:sz w:val="18"/>
                <w:szCs w:val="18"/>
                <w:color w:val="auto"/>
                <w:w w:val="94"/>
              </w:rPr>
              <w:t>2,558,942</w:t>
            </w:r>
          </w:p>
        </w:tc>
        <w:tc>
          <w:tcPr>
            <w:tcW w:w="0" w:type="dxa"/>
            <w:vAlign w:val="bottom"/>
          </w:tcPr>
          <w:p>
            <w:pPr>
              <w:spacing w:after="0"/>
              <w:rPr>
                <w:sz w:val="1"/>
                <w:szCs w:val="1"/>
                <w:color w:val="auto"/>
              </w:rPr>
            </w:pPr>
          </w:p>
        </w:tc>
      </w:tr>
      <w:tr>
        <w:trPr>
          <w:trHeight w:val="223"/>
        </w:trPr>
        <w:tc>
          <w:tcPr>
            <w:tcW w:w="3020" w:type="dxa"/>
            <w:vAlign w:val="bottom"/>
          </w:tcPr>
          <w:p>
            <w:pPr>
              <w:spacing w:after="0"/>
              <w:rPr>
                <w:sz w:val="20"/>
                <w:szCs w:val="20"/>
                <w:color w:val="auto"/>
              </w:rPr>
            </w:pPr>
            <w:r>
              <w:rPr>
                <w:rFonts w:ascii="Arial" w:cs="Arial" w:eastAsia="Arial" w:hAnsi="Arial"/>
                <w:sz w:val="18"/>
                <w:szCs w:val="18"/>
                <w:color w:val="auto"/>
              </w:rPr>
              <w:t>Operating loss</w:t>
            </w: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0"/>
              </w:rPr>
              <w:t>(258,389)</w:t>
            </w:r>
          </w:p>
        </w:tc>
        <w:tc>
          <w:tcPr>
            <w:tcW w:w="260" w:type="dxa"/>
            <w:vAlign w:val="bottom"/>
          </w:tcPr>
          <w:p>
            <w:pPr>
              <w:spacing w:after="0"/>
              <w:rPr>
                <w:sz w:val="19"/>
                <w:szCs w:val="19"/>
                <w:color w:val="auto"/>
              </w:rPr>
            </w:pPr>
          </w:p>
        </w:tc>
        <w:tc>
          <w:tcPr>
            <w:tcW w:w="2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(16,825)</w:t>
            </w: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5"/>
              </w:rPr>
              <w:t>(916,496)</w:t>
            </w:r>
          </w:p>
        </w:tc>
        <w:tc>
          <w:tcPr>
            <w:tcW w:w="1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2"/>
              </w:rPr>
              <w:t>(1,191,710)</w:t>
            </w:r>
          </w:p>
        </w:tc>
        <w:tc>
          <w:tcPr>
            <w:tcW w:w="5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0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Other income (expense):</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20" w:type="dxa"/>
            <w:vAlign w:val="bottom"/>
          </w:tcPr>
          <w:p>
            <w:pPr>
              <w:ind w:left="360"/>
              <w:spacing w:after="0"/>
              <w:rPr>
                <w:sz w:val="20"/>
                <w:szCs w:val="20"/>
                <w:color w:val="auto"/>
              </w:rPr>
            </w:pPr>
            <w:r>
              <w:rPr>
                <w:rFonts w:ascii="Arial" w:cs="Arial" w:eastAsia="Arial" w:hAnsi="Arial"/>
                <w:sz w:val="18"/>
                <w:szCs w:val="18"/>
                <w:color w:val="auto"/>
              </w:rPr>
              <w:t>Interest income</w:t>
            </w:r>
          </w:p>
        </w:tc>
        <w:tc>
          <w:tcPr>
            <w:tcW w:w="100" w:type="dxa"/>
            <w:vAlign w:val="bottom"/>
          </w:tcPr>
          <w:p>
            <w:pPr>
              <w:spacing w:after="0"/>
              <w:rPr>
                <w:sz w:val="18"/>
                <w:szCs w:val="18"/>
                <w:color w:val="auto"/>
              </w:rPr>
            </w:pPr>
          </w:p>
        </w:tc>
        <w:tc>
          <w:tcPr>
            <w:tcW w:w="980" w:type="dxa"/>
            <w:vAlign w:val="bottom"/>
            <w:gridSpan w:val="2"/>
          </w:tcPr>
          <w:p>
            <w:pPr>
              <w:jc w:val="right"/>
              <w:ind w:right="181"/>
              <w:spacing w:after="0"/>
              <w:rPr>
                <w:sz w:val="20"/>
                <w:szCs w:val="20"/>
                <w:color w:val="auto"/>
              </w:rPr>
            </w:pPr>
            <w:r>
              <w:rPr>
                <w:rFonts w:ascii="Arial" w:cs="Arial" w:eastAsia="Arial" w:hAnsi="Arial"/>
                <w:sz w:val="18"/>
                <w:szCs w:val="18"/>
                <w:color w:val="auto"/>
              </w:rPr>
              <w:t>2,599</w:t>
            </w:r>
          </w:p>
        </w:tc>
        <w:tc>
          <w:tcPr>
            <w:tcW w:w="220" w:type="dxa"/>
            <w:vAlign w:val="bottom"/>
          </w:tcPr>
          <w:p>
            <w:pPr>
              <w:spacing w:after="0"/>
              <w:rPr>
                <w:sz w:val="18"/>
                <w:szCs w:val="18"/>
                <w:color w:val="auto"/>
              </w:rPr>
            </w:pPr>
          </w:p>
        </w:tc>
        <w:tc>
          <w:tcPr>
            <w:tcW w:w="780" w:type="dxa"/>
            <w:vAlign w:val="bottom"/>
            <w:gridSpan w:val="2"/>
          </w:tcPr>
          <w:p>
            <w:pPr>
              <w:jc w:val="right"/>
              <w:ind w:right="181"/>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40" w:type="dxa"/>
            <w:vAlign w:val="bottom"/>
            <w:gridSpan w:val="2"/>
          </w:tcPr>
          <w:p>
            <w:pPr>
              <w:jc w:val="right"/>
              <w:ind w:right="260"/>
              <w:spacing w:after="0"/>
              <w:rPr>
                <w:sz w:val="20"/>
                <w:szCs w:val="20"/>
                <w:color w:val="auto"/>
              </w:rPr>
            </w:pPr>
            <w:r>
              <w:rPr>
                <w:rFonts w:ascii="Arial" w:cs="Arial" w:eastAsia="Arial" w:hAnsi="Arial"/>
                <w:sz w:val="18"/>
                <w:szCs w:val="18"/>
                <w:color w:val="auto"/>
              </w:rPr>
              <w:t>2,788</w:t>
            </w:r>
          </w:p>
        </w:tc>
        <w:tc>
          <w:tcPr>
            <w:tcW w:w="100" w:type="dxa"/>
            <w:vAlign w:val="bottom"/>
          </w:tcPr>
          <w:p>
            <w:pPr>
              <w:spacing w:after="0"/>
              <w:rPr>
                <w:sz w:val="18"/>
                <w:szCs w:val="18"/>
                <w:color w:val="auto"/>
              </w:rPr>
            </w:pPr>
          </w:p>
        </w:tc>
        <w:tc>
          <w:tcPr>
            <w:tcW w:w="880" w:type="dxa"/>
            <w:vAlign w:val="bottom"/>
            <w:gridSpan w:val="2"/>
          </w:tcPr>
          <w:p>
            <w:pPr>
              <w:jc w:val="right"/>
              <w:ind w:right="201"/>
              <w:spacing w:after="0"/>
              <w:rPr>
                <w:sz w:val="20"/>
                <w:szCs w:val="20"/>
                <w:color w:val="auto"/>
              </w:rPr>
            </w:pPr>
            <w:r>
              <w:rPr>
                <w:rFonts w:ascii="Arial" w:cs="Arial" w:eastAsia="Arial" w:hAnsi="Arial"/>
                <w:sz w:val="18"/>
                <w:szCs w:val="18"/>
                <w:color w:val="auto"/>
              </w:rPr>
              <w:t>—</w:t>
            </w:r>
          </w:p>
        </w:tc>
        <w:tc>
          <w:tcPr>
            <w:tcW w:w="6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61"/>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20" w:type="dxa"/>
            <w:vAlign w:val="bottom"/>
            <w:gridSpan w:val="2"/>
          </w:tcPr>
          <w:p>
            <w:pPr>
              <w:jc w:val="right"/>
              <w:ind w:right="461"/>
              <w:spacing w:after="0"/>
              <w:rPr>
                <w:sz w:val="20"/>
                <w:szCs w:val="20"/>
                <w:color w:val="auto"/>
              </w:rPr>
            </w:pPr>
            <w:r>
              <w:rPr>
                <w:rFonts w:ascii="Arial" w:cs="Arial" w:eastAsia="Arial" w:hAnsi="Arial"/>
                <w:sz w:val="18"/>
                <w:szCs w:val="18"/>
                <w:color w:val="auto"/>
              </w:rPr>
              <w:t>5,387</w:t>
            </w:r>
          </w:p>
        </w:tc>
        <w:tc>
          <w:tcPr>
            <w:tcW w:w="0" w:type="dxa"/>
            <w:vAlign w:val="bottom"/>
          </w:tcPr>
          <w:p>
            <w:pPr>
              <w:spacing w:after="0"/>
              <w:rPr>
                <w:sz w:val="1"/>
                <w:szCs w:val="1"/>
                <w:color w:val="auto"/>
              </w:rPr>
            </w:pPr>
          </w:p>
        </w:tc>
      </w:tr>
      <w:tr>
        <w:trPr>
          <w:trHeight w:val="216"/>
        </w:trPr>
        <w:tc>
          <w:tcPr>
            <w:tcW w:w="30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Interest expense</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21"/>
              <w:spacing w:after="0"/>
              <w:rPr>
                <w:sz w:val="20"/>
                <w:szCs w:val="20"/>
                <w:color w:val="auto"/>
              </w:rPr>
            </w:pPr>
            <w:r>
              <w:rPr>
                <w:rFonts w:ascii="Arial" w:cs="Arial" w:eastAsia="Arial" w:hAnsi="Arial"/>
                <w:sz w:val="18"/>
                <w:szCs w:val="18"/>
                <w:color w:val="auto"/>
              </w:rPr>
              <w:t>(69,264)</w:t>
            </w:r>
          </w:p>
        </w:tc>
        <w:tc>
          <w:tcPr>
            <w:tcW w:w="2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w w:val="98"/>
              </w:rPr>
              <w:t>(35,221)</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(87,375)</w:t>
            </w:r>
          </w:p>
        </w:tc>
        <w:tc>
          <w:tcPr>
            <w:tcW w:w="660" w:type="dxa"/>
            <w:vAlign w:val="bottom"/>
            <w:shd w:val="clear" w:color="auto" w:fill="CCEEFF"/>
          </w:tcPr>
          <w:p>
            <w:pPr>
              <w:ind w:left="140"/>
              <w:spacing w:after="0"/>
              <w:rPr>
                <w:sz w:val="20"/>
                <w:szCs w:val="20"/>
                <w:color w:val="auto"/>
              </w:rPr>
            </w:pPr>
            <w:r>
              <w:rPr>
                <w:rFonts w:ascii="Arial" w:cs="Arial" w:eastAsia="Arial" w:hAnsi="Arial"/>
                <w:sz w:val="18"/>
                <w:szCs w:val="18"/>
                <w:color w:val="auto"/>
              </w:rPr>
              <w:t>6(a)</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34,286</w:t>
            </w:r>
          </w:p>
        </w:tc>
        <w:tc>
          <w:tcPr>
            <w:tcW w:w="68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rPr>
              <w:t>7(d)</w:t>
            </w:r>
          </w:p>
        </w:tc>
        <w:tc>
          <w:tcPr>
            <w:tcW w:w="1320" w:type="dxa"/>
            <w:vAlign w:val="bottom"/>
            <w:gridSpan w:val="2"/>
            <w:shd w:val="clear" w:color="auto" w:fill="CCEEFF"/>
          </w:tcPr>
          <w:p>
            <w:pPr>
              <w:jc w:val="right"/>
              <w:ind w:right="401"/>
              <w:spacing w:after="0"/>
              <w:rPr>
                <w:sz w:val="20"/>
                <w:szCs w:val="20"/>
                <w:color w:val="auto"/>
              </w:rPr>
            </w:pPr>
            <w:r>
              <w:rPr>
                <w:rFonts w:ascii="Arial" w:cs="Arial" w:eastAsia="Arial" w:hAnsi="Arial"/>
                <w:sz w:val="18"/>
                <w:szCs w:val="18"/>
                <w:color w:val="auto"/>
              </w:rPr>
              <w:t>(157,574)</w:t>
            </w:r>
          </w:p>
        </w:tc>
        <w:tc>
          <w:tcPr>
            <w:tcW w:w="0" w:type="dxa"/>
            <w:vAlign w:val="bottom"/>
          </w:tcPr>
          <w:p>
            <w:pPr>
              <w:spacing w:after="0"/>
              <w:rPr>
                <w:sz w:val="1"/>
                <w:szCs w:val="1"/>
                <w:color w:val="auto"/>
              </w:rPr>
            </w:pPr>
          </w:p>
        </w:tc>
      </w:tr>
      <w:tr>
        <w:trPr>
          <w:trHeight w:val="202"/>
        </w:trPr>
        <w:tc>
          <w:tcPr>
            <w:tcW w:w="3020" w:type="dxa"/>
            <w:vAlign w:val="bottom"/>
          </w:tcPr>
          <w:p>
            <w:pPr>
              <w:ind w:left="360"/>
              <w:spacing w:after="0" w:line="201" w:lineRule="exact"/>
              <w:rPr>
                <w:sz w:val="20"/>
                <w:szCs w:val="20"/>
                <w:color w:val="auto"/>
              </w:rPr>
            </w:pPr>
            <w:r>
              <w:rPr>
                <w:rFonts w:ascii="Arial" w:cs="Arial" w:eastAsia="Arial" w:hAnsi="Arial"/>
                <w:sz w:val="18"/>
                <w:szCs w:val="18"/>
                <w:color w:val="auto"/>
              </w:rPr>
              <w:t>Loss on early extinguishment of</w:t>
            </w: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020" w:type="dxa"/>
            <w:vAlign w:val="bottom"/>
          </w:tcPr>
          <w:p>
            <w:pPr>
              <w:ind w:left="540"/>
              <w:spacing w:after="0"/>
              <w:rPr>
                <w:sz w:val="20"/>
                <w:szCs w:val="20"/>
                <w:color w:val="auto"/>
              </w:rPr>
            </w:pPr>
            <w:r>
              <w:rPr>
                <w:rFonts w:ascii="Arial" w:cs="Arial" w:eastAsia="Arial" w:hAnsi="Arial"/>
                <w:sz w:val="18"/>
                <w:szCs w:val="18"/>
                <w:color w:val="auto"/>
              </w:rPr>
              <w:t>debt</w:t>
            </w:r>
          </w:p>
        </w:tc>
        <w:tc>
          <w:tcPr>
            <w:tcW w:w="100" w:type="dxa"/>
            <w:vAlign w:val="bottom"/>
          </w:tcPr>
          <w:p>
            <w:pPr>
              <w:spacing w:after="0"/>
              <w:rPr>
                <w:sz w:val="20"/>
                <w:szCs w:val="20"/>
                <w:color w:val="auto"/>
              </w:rPr>
            </w:pPr>
          </w:p>
        </w:tc>
        <w:tc>
          <w:tcPr>
            <w:tcW w:w="980" w:type="dxa"/>
            <w:vAlign w:val="bottom"/>
            <w:gridSpan w:val="2"/>
          </w:tcPr>
          <w:p>
            <w:pPr>
              <w:jc w:val="right"/>
              <w:ind w:right="261"/>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780" w:type="dxa"/>
            <w:vAlign w:val="bottom"/>
            <w:gridSpan w:val="2"/>
          </w:tcPr>
          <w:p>
            <w:pPr>
              <w:jc w:val="right"/>
              <w:ind w:right="21"/>
              <w:spacing w:after="0"/>
              <w:rPr>
                <w:sz w:val="20"/>
                <w:szCs w:val="20"/>
                <w:color w:val="auto"/>
              </w:rPr>
            </w:pPr>
            <w:r>
              <w:rPr>
                <w:rFonts w:ascii="Arial" w:cs="Arial" w:eastAsia="Arial" w:hAnsi="Arial"/>
                <w:sz w:val="18"/>
                <w:szCs w:val="18"/>
                <w:color w:val="auto"/>
                <w:w w:val="98"/>
              </w:rPr>
              <w:t>(13,539)</w:t>
            </w:r>
          </w:p>
        </w:tc>
        <w:tc>
          <w:tcPr>
            <w:tcW w:w="1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1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880" w:type="dxa"/>
            <w:vAlign w:val="bottom"/>
            <w:gridSpan w:val="2"/>
          </w:tcPr>
          <w:p>
            <w:pPr>
              <w:jc w:val="right"/>
              <w:ind w:right="201"/>
              <w:spacing w:after="0"/>
              <w:rPr>
                <w:sz w:val="20"/>
                <w:szCs w:val="20"/>
                <w:color w:val="auto"/>
              </w:rPr>
            </w:pPr>
            <w:r>
              <w:rPr>
                <w:rFonts w:ascii="Arial" w:cs="Arial" w:eastAsia="Arial" w:hAnsi="Arial"/>
                <w:sz w:val="18"/>
                <w:szCs w:val="18"/>
                <w:color w:val="auto"/>
              </w:rPr>
              <w:t>—</w:t>
            </w:r>
          </w:p>
        </w:tc>
        <w:tc>
          <w:tcPr>
            <w:tcW w:w="6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40" w:type="dxa"/>
            <w:vAlign w:val="bottom"/>
            <w:gridSpan w:val="2"/>
          </w:tcPr>
          <w:p>
            <w:pPr>
              <w:jc w:val="right"/>
              <w:ind w:right="161"/>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20" w:type="dxa"/>
            <w:vAlign w:val="bottom"/>
            <w:gridSpan w:val="2"/>
          </w:tcPr>
          <w:p>
            <w:pPr>
              <w:jc w:val="right"/>
              <w:ind w:right="401"/>
              <w:spacing w:after="0"/>
              <w:rPr>
                <w:sz w:val="20"/>
                <w:szCs w:val="20"/>
                <w:color w:val="auto"/>
              </w:rPr>
            </w:pPr>
            <w:r>
              <w:rPr>
                <w:rFonts w:ascii="Arial" w:cs="Arial" w:eastAsia="Arial" w:hAnsi="Arial"/>
                <w:sz w:val="18"/>
                <w:szCs w:val="18"/>
                <w:color w:val="auto"/>
              </w:rPr>
              <w:t>(13,539)</w:t>
            </w:r>
          </w:p>
        </w:tc>
        <w:tc>
          <w:tcPr>
            <w:tcW w:w="0" w:type="dxa"/>
            <w:vAlign w:val="bottom"/>
          </w:tcPr>
          <w:p>
            <w:pPr>
              <w:spacing w:after="0"/>
              <w:rPr>
                <w:sz w:val="1"/>
                <w:szCs w:val="1"/>
                <w:color w:val="auto"/>
              </w:rPr>
            </w:pPr>
          </w:p>
        </w:tc>
      </w:tr>
      <w:tr>
        <w:trPr>
          <w:trHeight w:val="216"/>
        </w:trPr>
        <w:tc>
          <w:tcPr>
            <w:tcW w:w="30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 income, net</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81"/>
              <w:spacing w:after="0"/>
              <w:rPr>
                <w:sz w:val="20"/>
                <w:szCs w:val="20"/>
                <w:color w:val="auto"/>
              </w:rPr>
            </w:pPr>
            <w:r>
              <w:rPr>
                <w:rFonts w:ascii="Arial" w:cs="Arial" w:eastAsia="Arial" w:hAnsi="Arial"/>
                <w:sz w:val="18"/>
                <w:szCs w:val="18"/>
                <w:color w:val="auto"/>
              </w:rPr>
              <w:t>2,886</w:t>
            </w:r>
          </w:p>
        </w:tc>
        <w:tc>
          <w:tcPr>
            <w:tcW w:w="2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10,295</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(2,788)</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1"/>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61"/>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61"/>
              <w:spacing w:after="0"/>
              <w:rPr>
                <w:sz w:val="20"/>
                <w:szCs w:val="20"/>
                <w:color w:val="auto"/>
              </w:rPr>
            </w:pPr>
            <w:r>
              <w:rPr>
                <w:rFonts w:ascii="Arial" w:cs="Arial" w:eastAsia="Arial" w:hAnsi="Arial"/>
                <w:sz w:val="18"/>
                <w:szCs w:val="18"/>
                <w:color w:val="auto"/>
              </w:rPr>
              <w:t>10,393</w:t>
            </w:r>
          </w:p>
        </w:tc>
        <w:tc>
          <w:tcPr>
            <w:tcW w:w="0" w:type="dxa"/>
            <w:vAlign w:val="bottom"/>
          </w:tcPr>
          <w:p>
            <w:pPr>
              <w:spacing w:after="0"/>
              <w:rPr>
                <w:sz w:val="1"/>
                <w:szCs w:val="1"/>
                <w:color w:val="auto"/>
              </w:rPr>
            </w:pPr>
          </w:p>
        </w:tc>
      </w:tr>
      <w:tr>
        <w:trPr>
          <w:trHeight w:val="223"/>
        </w:trPr>
        <w:tc>
          <w:tcPr>
            <w:tcW w:w="3020" w:type="dxa"/>
            <w:vAlign w:val="bottom"/>
          </w:tcPr>
          <w:p>
            <w:pPr>
              <w:spacing w:after="0"/>
              <w:rPr>
                <w:sz w:val="20"/>
                <w:szCs w:val="20"/>
                <w:color w:val="auto"/>
              </w:rPr>
            </w:pPr>
            <w:r>
              <w:rPr>
                <w:rFonts w:ascii="Arial" w:cs="Arial" w:eastAsia="Arial" w:hAnsi="Arial"/>
                <w:sz w:val="18"/>
                <w:szCs w:val="18"/>
                <w:color w:val="auto"/>
              </w:rPr>
              <w:t>Loss before income taxes</w:t>
            </w: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0"/>
              </w:rPr>
              <w:t>(322,168)</w:t>
            </w:r>
          </w:p>
        </w:tc>
        <w:tc>
          <w:tcPr>
            <w:tcW w:w="260" w:type="dxa"/>
            <w:vAlign w:val="bottom"/>
          </w:tcPr>
          <w:p>
            <w:pPr>
              <w:spacing w:after="0"/>
              <w:rPr>
                <w:sz w:val="19"/>
                <w:szCs w:val="19"/>
                <w:color w:val="auto"/>
              </w:rPr>
            </w:pPr>
          </w:p>
        </w:tc>
        <w:tc>
          <w:tcPr>
            <w:tcW w:w="2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(55,290)</w:t>
            </w: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ind w:left="140"/>
              <w:spacing w:after="0"/>
              <w:rPr>
                <w:sz w:val="20"/>
                <w:szCs w:val="20"/>
                <w:color w:val="auto"/>
              </w:rPr>
            </w:pPr>
            <w:r>
              <w:rPr>
                <w:rFonts w:ascii="Arial" w:cs="Arial" w:eastAsia="Arial" w:hAnsi="Arial"/>
                <w:sz w:val="18"/>
                <w:szCs w:val="18"/>
                <w:color w:val="auto"/>
                <w:w w:val="80"/>
              </w:rPr>
              <w:t>(87,375)</w:t>
            </w:r>
          </w:p>
        </w:tc>
        <w:tc>
          <w:tcPr>
            <w:tcW w:w="1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5"/>
              </w:rPr>
              <w:t>(882,210)</w:t>
            </w:r>
          </w:p>
        </w:tc>
        <w:tc>
          <w:tcPr>
            <w:tcW w:w="1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2"/>
              </w:rPr>
              <w:t>(1,347,043)</w:t>
            </w:r>
          </w:p>
        </w:tc>
        <w:tc>
          <w:tcPr>
            <w:tcW w:w="5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02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21"/>
              <w:spacing w:after="0"/>
              <w:rPr>
                <w:sz w:val="20"/>
                <w:szCs w:val="20"/>
                <w:color w:val="auto"/>
              </w:rPr>
            </w:pPr>
            <w:r>
              <w:rPr>
                <w:rFonts w:ascii="Arial" w:cs="Arial" w:eastAsia="Arial" w:hAnsi="Arial"/>
                <w:sz w:val="18"/>
                <w:szCs w:val="18"/>
                <w:color w:val="auto"/>
              </w:rPr>
              <w:t>(44,870)</w:t>
            </w:r>
          </w:p>
        </w:tc>
        <w:tc>
          <w:tcPr>
            <w:tcW w:w="2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4,454</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(21,419)</w:t>
            </w:r>
          </w:p>
        </w:tc>
        <w:tc>
          <w:tcPr>
            <w:tcW w:w="660" w:type="dxa"/>
            <w:vAlign w:val="bottom"/>
            <w:shd w:val="clear" w:color="auto" w:fill="CCEEFF"/>
          </w:tcPr>
          <w:p>
            <w:pPr>
              <w:ind w:left="140"/>
              <w:spacing w:after="0"/>
              <w:rPr>
                <w:sz w:val="20"/>
                <w:szCs w:val="20"/>
                <w:color w:val="auto"/>
              </w:rPr>
            </w:pPr>
            <w:r>
              <w:rPr>
                <w:rFonts w:ascii="Arial" w:cs="Arial" w:eastAsia="Arial" w:hAnsi="Arial"/>
                <w:sz w:val="18"/>
                <w:szCs w:val="18"/>
                <w:color w:val="auto"/>
              </w:rPr>
              <w:t>6(b)</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(78,191)</w:t>
            </w:r>
          </w:p>
        </w:tc>
        <w:tc>
          <w:tcPr>
            <w:tcW w:w="6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7(e)</w:t>
            </w:r>
          </w:p>
        </w:tc>
        <w:tc>
          <w:tcPr>
            <w:tcW w:w="1320" w:type="dxa"/>
            <w:vAlign w:val="bottom"/>
            <w:gridSpan w:val="2"/>
            <w:shd w:val="clear" w:color="auto" w:fill="CCEEFF"/>
          </w:tcPr>
          <w:p>
            <w:pPr>
              <w:jc w:val="right"/>
              <w:ind w:right="401"/>
              <w:spacing w:after="0"/>
              <w:rPr>
                <w:sz w:val="20"/>
                <w:szCs w:val="20"/>
                <w:color w:val="auto"/>
              </w:rPr>
            </w:pPr>
            <w:r>
              <w:rPr>
                <w:rFonts w:ascii="Arial" w:cs="Arial" w:eastAsia="Arial" w:hAnsi="Arial"/>
                <w:sz w:val="18"/>
                <w:szCs w:val="18"/>
                <w:color w:val="auto"/>
              </w:rPr>
              <w:t>(140,026)</w:t>
            </w:r>
          </w:p>
        </w:tc>
        <w:tc>
          <w:tcPr>
            <w:tcW w:w="0" w:type="dxa"/>
            <w:vAlign w:val="bottom"/>
          </w:tcPr>
          <w:p>
            <w:pPr>
              <w:spacing w:after="0"/>
              <w:rPr>
                <w:sz w:val="1"/>
                <w:szCs w:val="1"/>
                <w:color w:val="auto"/>
              </w:rPr>
            </w:pPr>
          </w:p>
        </w:tc>
      </w:tr>
      <w:tr>
        <w:trPr>
          <w:trHeight w:val="223"/>
        </w:trPr>
        <w:tc>
          <w:tcPr>
            <w:tcW w:w="3020" w:type="dxa"/>
            <w:vAlign w:val="bottom"/>
          </w:tcPr>
          <w:p>
            <w:pPr>
              <w:spacing w:after="0"/>
              <w:rPr>
                <w:sz w:val="20"/>
                <w:szCs w:val="20"/>
                <w:color w:val="auto"/>
              </w:rPr>
            </w:pPr>
            <w:r>
              <w:rPr>
                <w:rFonts w:ascii="Arial" w:cs="Arial" w:eastAsia="Arial" w:hAnsi="Arial"/>
                <w:sz w:val="18"/>
                <w:szCs w:val="18"/>
                <w:b w:val="1"/>
                <w:bCs w:val="1"/>
                <w:color w:val="auto"/>
              </w:rPr>
              <w:t>Net loss</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w w:val="98"/>
              </w:rPr>
              <w:t>(277,298</w:t>
            </w:r>
          </w:p>
        </w:tc>
        <w:tc>
          <w:tcPr>
            <w:tcW w:w="260" w:type="dxa"/>
            <w:vAlign w:val="bottom"/>
          </w:tcPr>
          <w:p>
            <w:pPr>
              <w:jc w:val="right"/>
              <w:ind w:right="121"/>
              <w:spacing w:after="0"/>
              <w:rPr>
                <w:sz w:val="20"/>
                <w:szCs w:val="20"/>
                <w:color w:val="auto"/>
              </w:rPr>
            </w:pPr>
            <w:r>
              <w:rPr>
                <w:rFonts w:ascii="Arial" w:cs="Arial" w:eastAsia="Arial" w:hAnsi="Arial"/>
                <w:sz w:val="16"/>
                <w:szCs w:val="16"/>
                <w:b w:val="1"/>
                <w:bCs w:val="1"/>
                <w:color w:val="auto"/>
                <w:w w:val="74"/>
              </w:rPr>
              <w:t>)</w:t>
            </w:r>
          </w:p>
        </w:tc>
        <w:tc>
          <w:tcPr>
            <w:tcW w:w="2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b w:val="1"/>
                <w:bCs w:val="1"/>
                <w:color w:val="auto"/>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w w:val="98"/>
              </w:rPr>
              <w:t>(59,744</w:t>
            </w:r>
          </w:p>
        </w:tc>
        <w:tc>
          <w:tcPr>
            <w:tcW w:w="160" w:type="dxa"/>
            <w:vAlign w:val="bottom"/>
          </w:tcPr>
          <w:p>
            <w:pPr>
              <w:jc w:val="right"/>
              <w:ind w:right="21"/>
              <w:spacing w:after="0"/>
              <w:rPr>
                <w:sz w:val="20"/>
                <w:szCs w:val="20"/>
                <w:color w:val="auto"/>
              </w:rPr>
            </w:pPr>
            <w:r>
              <w:rPr>
                <w:rFonts w:ascii="Arial" w:cs="Arial" w:eastAsia="Arial" w:hAnsi="Arial"/>
                <w:sz w:val="16"/>
                <w:szCs w:val="16"/>
                <w:b w:val="1"/>
                <w:bCs w:val="1"/>
                <w:color w:val="auto"/>
                <w:w w:val="74"/>
              </w:rPr>
              <w:t>)</w:t>
            </w:r>
          </w:p>
        </w:tc>
        <w:tc>
          <w:tcPr>
            <w:tcW w:w="100" w:type="dxa"/>
            <w:vAlign w:val="bottom"/>
          </w:tcPr>
          <w:p>
            <w:pPr>
              <w:spacing w:after="0"/>
              <w:rPr>
                <w:sz w:val="19"/>
                <w:szCs w:val="19"/>
                <w:color w:val="auto"/>
              </w:rPr>
            </w:pP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b w:val="1"/>
                <w:bCs w:val="1"/>
                <w:color w:val="auto"/>
                <w:w w:val="71"/>
              </w:rPr>
              <w:t>$</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rPr>
              <w:t>—</w:t>
            </w:r>
          </w:p>
        </w:tc>
        <w:tc>
          <w:tcPr>
            <w:tcW w:w="26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b w:val="1"/>
                <w:bCs w:val="1"/>
                <w:color w:val="auto"/>
                <w:w w:val="79"/>
              </w:rPr>
              <w:t>$</w:t>
            </w:r>
          </w:p>
        </w:tc>
        <w:tc>
          <w:tcPr>
            <w:tcW w:w="700" w:type="dxa"/>
            <w:vAlign w:val="bottom"/>
            <w:tcBorders>
              <w:top w:val="single" w:sz="8" w:color="auto"/>
              <w:bottom w:val="single" w:sz="8" w:color="auto"/>
            </w:tcBorders>
          </w:tcPr>
          <w:p>
            <w:pPr>
              <w:ind w:left="140"/>
              <w:spacing w:after="0"/>
              <w:rPr>
                <w:sz w:val="20"/>
                <w:szCs w:val="20"/>
                <w:color w:val="auto"/>
              </w:rPr>
            </w:pPr>
            <w:r>
              <w:rPr>
                <w:rFonts w:ascii="Arial" w:cs="Arial" w:eastAsia="Arial" w:hAnsi="Arial"/>
                <w:sz w:val="18"/>
                <w:szCs w:val="18"/>
                <w:b w:val="1"/>
                <w:bCs w:val="1"/>
                <w:color w:val="auto"/>
                <w:w w:val="88"/>
              </w:rPr>
              <w:t>(65,956</w:t>
            </w:r>
          </w:p>
        </w:tc>
        <w:tc>
          <w:tcPr>
            <w:tcW w:w="180" w:type="dxa"/>
            <w:vAlign w:val="bottom"/>
          </w:tcPr>
          <w:p>
            <w:pPr>
              <w:jc w:val="right"/>
              <w:ind w:right="41"/>
              <w:spacing w:after="0"/>
              <w:rPr>
                <w:sz w:val="20"/>
                <w:szCs w:val="20"/>
                <w:color w:val="auto"/>
              </w:rPr>
            </w:pPr>
            <w:r>
              <w:rPr>
                <w:rFonts w:ascii="Arial" w:cs="Arial" w:eastAsia="Arial" w:hAnsi="Arial"/>
                <w:sz w:val="16"/>
                <w:szCs w:val="16"/>
                <w:b w:val="1"/>
                <w:bCs w:val="1"/>
                <w:color w:val="auto"/>
                <w:w w:val="74"/>
              </w:rPr>
              <w:t>)</w:t>
            </w:r>
          </w:p>
        </w:tc>
        <w:tc>
          <w:tcPr>
            <w:tcW w:w="66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w w:val="79"/>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w w:val="92"/>
              </w:rPr>
              <w:t>(804,019</w:t>
            </w:r>
          </w:p>
        </w:tc>
        <w:tc>
          <w:tcPr>
            <w:tcW w:w="160" w:type="dxa"/>
            <w:vAlign w:val="bottom"/>
          </w:tcPr>
          <w:p>
            <w:pPr>
              <w:jc w:val="right"/>
              <w:ind w:right="21"/>
              <w:spacing w:after="0"/>
              <w:rPr>
                <w:sz w:val="20"/>
                <w:szCs w:val="20"/>
                <w:color w:val="auto"/>
              </w:rPr>
            </w:pPr>
            <w:r>
              <w:rPr>
                <w:rFonts w:ascii="Arial" w:cs="Arial" w:eastAsia="Arial" w:hAnsi="Arial"/>
                <w:sz w:val="16"/>
                <w:szCs w:val="16"/>
                <w:b w:val="1"/>
                <w:bCs w:val="1"/>
                <w:color w:val="auto"/>
                <w:w w:val="74"/>
              </w:rPr>
              <w:t>)</w:t>
            </w:r>
          </w:p>
        </w:tc>
        <w:tc>
          <w:tcPr>
            <w:tcW w:w="58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b w:val="1"/>
                <w:bCs w:val="1"/>
                <w:u w:val="single" w:color="auto"/>
                <w:color w:val="auto"/>
                <w:w w:val="79"/>
              </w:rPr>
              <w:t>$</w:t>
            </w: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w w:val="88"/>
              </w:rPr>
              <w:t>(1,207,017</w:t>
            </w:r>
          </w:p>
        </w:tc>
        <w:tc>
          <w:tcPr>
            <w:tcW w:w="540" w:type="dxa"/>
            <w:vAlign w:val="bottom"/>
          </w:tcPr>
          <w:p>
            <w:pPr>
              <w:jc w:val="right"/>
              <w:ind w:right="401"/>
              <w:spacing w:after="0"/>
              <w:rPr>
                <w:sz w:val="20"/>
                <w:szCs w:val="20"/>
                <w:color w:val="auto"/>
              </w:rPr>
            </w:pPr>
            <w:r>
              <w:rPr>
                <w:rFonts w:ascii="Arial" w:cs="Arial" w:eastAsia="Arial" w:hAnsi="Arial"/>
                <w:sz w:val="16"/>
                <w:szCs w:val="16"/>
                <w:b w:val="1"/>
                <w:bCs w:val="1"/>
                <w:color w:val="auto"/>
                <w:w w:val="74"/>
              </w:rPr>
              <w:t>)</w:t>
            </w:r>
          </w:p>
        </w:tc>
        <w:tc>
          <w:tcPr>
            <w:tcW w:w="0" w:type="dxa"/>
            <w:vAlign w:val="bottom"/>
          </w:tcPr>
          <w:p>
            <w:pPr>
              <w:spacing w:after="0"/>
              <w:rPr>
                <w:sz w:val="1"/>
                <w:szCs w:val="1"/>
                <w:color w:val="auto"/>
              </w:rPr>
            </w:pPr>
          </w:p>
        </w:tc>
      </w:tr>
      <w:tr>
        <w:trPr>
          <w:trHeight w:val="20"/>
        </w:trPr>
        <w:tc>
          <w:tcPr>
            <w:tcW w:w="30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3020" w:type="dxa"/>
            <w:vAlign w:val="bottom"/>
            <w:shd w:val="clear" w:color="auto" w:fill="CCEEFF"/>
          </w:tcPr>
          <w:p>
            <w:pPr>
              <w:spacing w:after="0"/>
              <w:rPr>
                <w:sz w:val="20"/>
                <w:szCs w:val="20"/>
                <w:color w:val="auto"/>
              </w:rPr>
            </w:pPr>
            <w:r>
              <w:rPr>
                <w:rFonts w:ascii="Arial" w:cs="Arial" w:eastAsia="Arial" w:hAnsi="Arial"/>
                <w:sz w:val="18"/>
                <w:szCs w:val="18"/>
                <w:color w:val="auto"/>
              </w:rPr>
              <w:t>Net loss per share:</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20" w:type="dxa"/>
            <w:vAlign w:val="bottom"/>
          </w:tcPr>
          <w:p>
            <w:pPr>
              <w:ind w:left="360"/>
              <w:spacing w:after="0"/>
              <w:rPr>
                <w:sz w:val="20"/>
                <w:szCs w:val="20"/>
                <w:color w:val="auto"/>
              </w:rPr>
            </w:pPr>
            <w:r>
              <w:rPr>
                <w:rFonts w:ascii="Arial" w:cs="Arial" w:eastAsia="Arial" w:hAnsi="Arial"/>
                <w:sz w:val="18"/>
                <w:szCs w:val="18"/>
                <w:color w:val="auto"/>
              </w:rPr>
              <w:t>Basic</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gridSpan w:val="2"/>
          </w:tcPr>
          <w:p>
            <w:pPr>
              <w:jc w:val="right"/>
              <w:ind w:right="121"/>
              <w:spacing w:after="0"/>
              <w:rPr>
                <w:sz w:val="20"/>
                <w:szCs w:val="20"/>
                <w:color w:val="auto"/>
              </w:rPr>
            </w:pPr>
            <w:r>
              <w:rPr>
                <w:rFonts w:ascii="Arial" w:cs="Arial" w:eastAsia="Arial" w:hAnsi="Arial"/>
                <w:sz w:val="18"/>
                <w:szCs w:val="18"/>
                <w:color w:val="auto"/>
              </w:rPr>
              <w:t>(0.41)</w:t>
            </w: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21"/>
              <w:spacing w:after="0"/>
              <w:rPr>
                <w:sz w:val="20"/>
                <w:szCs w:val="20"/>
                <w:color w:val="auto"/>
              </w:rPr>
            </w:pPr>
            <w:r>
              <w:rPr>
                <w:rFonts w:ascii="Arial" w:cs="Arial" w:eastAsia="Arial" w:hAnsi="Arial"/>
                <w:sz w:val="18"/>
                <w:szCs w:val="18"/>
                <w:color w:val="auto"/>
              </w:rPr>
              <w:t>(1.20)</w:t>
            </w: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gridSpan w:val="2"/>
          </w:tcPr>
          <w:p>
            <w:pPr>
              <w:ind w:left="580"/>
              <w:spacing w:after="0"/>
              <w:rPr>
                <w:sz w:val="20"/>
                <w:szCs w:val="20"/>
                <w:color w:val="auto"/>
              </w:rPr>
            </w:pPr>
            <w:r>
              <w:rPr>
                <w:rFonts w:ascii="Arial" w:cs="Arial" w:eastAsia="Arial" w:hAnsi="Arial"/>
                <w:sz w:val="18"/>
                <w:szCs w:val="18"/>
                <w:color w:val="auto"/>
                <w:w w:val="79"/>
              </w:rPr>
              <w:t>$</w:t>
            </w:r>
          </w:p>
        </w:tc>
        <w:tc>
          <w:tcPr>
            <w:tcW w:w="1320" w:type="dxa"/>
            <w:vAlign w:val="bottom"/>
            <w:gridSpan w:val="2"/>
          </w:tcPr>
          <w:p>
            <w:pPr>
              <w:jc w:val="right"/>
              <w:ind w:right="401"/>
              <w:spacing w:after="0"/>
              <w:rPr>
                <w:sz w:val="20"/>
                <w:szCs w:val="20"/>
                <w:color w:val="auto"/>
              </w:rPr>
            </w:pPr>
            <w:r>
              <w:rPr>
                <w:rFonts w:ascii="Arial" w:cs="Arial" w:eastAsia="Arial" w:hAnsi="Arial"/>
                <w:sz w:val="18"/>
                <w:szCs w:val="18"/>
                <w:color w:val="auto"/>
              </w:rPr>
              <w:t>(1.49)</w:t>
            </w:r>
          </w:p>
        </w:tc>
        <w:tc>
          <w:tcPr>
            <w:tcW w:w="0" w:type="dxa"/>
            <w:vAlign w:val="bottom"/>
          </w:tcPr>
          <w:p>
            <w:pPr>
              <w:spacing w:after="0"/>
              <w:rPr>
                <w:sz w:val="1"/>
                <w:szCs w:val="1"/>
                <w:color w:val="auto"/>
              </w:rPr>
            </w:pPr>
          </w:p>
        </w:tc>
      </w:tr>
      <w:tr>
        <w:trPr>
          <w:trHeight w:val="216"/>
        </w:trPr>
        <w:tc>
          <w:tcPr>
            <w:tcW w:w="30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Diluted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gridSpan w:val="2"/>
            <w:shd w:val="clear" w:color="auto" w:fill="CCEEFF"/>
          </w:tcPr>
          <w:p>
            <w:pPr>
              <w:jc w:val="right"/>
              <w:ind w:right="121"/>
              <w:spacing w:after="0"/>
              <w:rPr>
                <w:sz w:val="20"/>
                <w:szCs w:val="20"/>
                <w:color w:val="auto"/>
              </w:rPr>
            </w:pPr>
            <w:r>
              <w:rPr>
                <w:rFonts w:ascii="Arial" w:cs="Arial" w:eastAsia="Arial" w:hAnsi="Arial"/>
                <w:sz w:val="18"/>
                <w:szCs w:val="18"/>
                <w:color w:val="auto"/>
              </w:rPr>
              <w:t>(0.41)</w:t>
            </w: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(1.20)</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w w:val="79"/>
              </w:rPr>
              <w:t>$</w:t>
            </w:r>
          </w:p>
        </w:tc>
        <w:tc>
          <w:tcPr>
            <w:tcW w:w="1320" w:type="dxa"/>
            <w:vAlign w:val="bottom"/>
            <w:gridSpan w:val="2"/>
            <w:shd w:val="clear" w:color="auto" w:fill="CCEEFF"/>
          </w:tcPr>
          <w:p>
            <w:pPr>
              <w:jc w:val="right"/>
              <w:ind w:right="401"/>
              <w:spacing w:after="0"/>
              <w:rPr>
                <w:sz w:val="20"/>
                <w:szCs w:val="20"/>
                <w:color w:val="auto"/>
              </w:rPr>
            </w:pPr>
            <w:r>
              <w:rPr>
                <w:rFonts w:ascii="Arial" w:cs="Arial" w:eastAsia="Arial" w:hAnsi="Arial"/>
                <w:sz w:val="18"/>
                <w:szCs w:val="18"/>
                <w:color w:val="auto"/>
              </w:rPr>
              <w:t>(1.49)</w:t>
            </w:r>
          </w:p>
        </w:tc>
        <w:tc>
          <w:tcPr>
            <w:tcW w:w="0" w:type="dxa"/>
            <w:vAlign w:val="bottom"/>
          </w:tcPr>
          <w:p>
            <w:pPr>
              <w:spacing w:after="0"/>
              <w:rPr>
                <w:sz w:val="1"/>
                <w:szCs w:val="1"/>
                <w:color w:val="auto"/>
              </w:rPr>
            </w:pPr>
          </w:p>
        </w:tc>
      </w:tr>
    </w:tbl>
    <w:p>
      <w:pPr>
        <w:spacing w:after="0" w:line="94"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540" w:type="dxa"/>
            <w:vAlign w:val="bottom"/>
          </w:tcPr>
          <w:p>
            <w:pPr>
              <w:spacing w:after="0"/>
              <w:rPr>
                <w:sz w:val="20"/>
                <w:szCs w:val="20"/>
                <w:color w:val="auto"/>
              </w:rPr>
            </w:pPr>
            <w:r>
              <w:rPr>
                <w:rFonts w:ascii="Arial" w:cs="Arial" w:eastAsia="Arial" w:hAnsi="Arial"/>
                <w:sz w:val="18"/>
                <w:szCs w:val="18"/>
                <w:color w:val="auto"/>
              </w:rPr>
              <w:t>Weighted average shares:</w:t>
            </w:r>
          </w:p>
        </w:tc>
        <w:tc>
          <w:tcPr>
            <w:tcW w:w="1600" w:type="dxa"/>
            <w:vAlign w:val="bottom"/>
          </w:tcPr>
          <w:p>
            <w:pPr>
              <w:spacing w:after="0"/>
              <w:rPr>
                <w:sz w:val="20"/>
                <w:szCs w:val="20"/>
                <w:color w:val="auto"/>
              </w:rPr>
            </w:pPr>
          </w:p>
        </w:tc>
        <w:tc>
          <w:tcPr>
            <w:tcW w:w="3280" w:type="dxa"/>
            <w:vAlign w:val="bottom"/>
          </w:tcPr>
          <w:p>
            <w:pPr>
              <w:spacing w:after="0"/>
              <w:rPr>
                <w:sz w:val="20"/>
                <w:szCs w:val="20"/>
                <w:color w:val="auto"/>
              </w:rPr>
            </w:pPr>
          </w:p>
        </w:tc>
        <w:tc>
          <w:tcPr>
            <w:tcW w:w="3200" w:type="dxa"/>
            <w:vAlign w:val="bottom"/>
          </w:tcPr>
          <w:p>
            <w:pPr>
              <w:spacing w:after="0"/>
              <w:rPr>
                <w:sz w:val="20"/>
                <w:szCs w:val="20"/>
                <w:color w:val="auto"/>
              </w:rPr>
            </w:pPr>
          </w:p>
        </w:tc>
        <w:tc>
          <w:tcPr>
            <w:tcW w:w="400" w:type="dxa"/>
            <w:vAlign w:val="bottom"/>
          </w:tcPr>
          <w:p>
            <w:pPr>
              <w:spacing w:after="0"/>
              <w:rPr>
                <w:sz w:val="20"/>
                <w:szCs w:val="20"/>
                <w:color w:val="auto"/>
              </w:rPr>
            </w:pPr>
          </w:p>
        </w:tc>
      </w:tr>
      <w:tr>
        <w:trPr>
          <w:trHeight w:val="216"/>
        </w:trPr>
        <w:tc>
          <w:tcPr>
            <w:tcW w:w="25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Basic</w:t>
            </w:r>
          </w:p>
        </w:tc>
        <w:tc>
          <w:tcPr>
            <w:tcW w:w="1600" w:type="dxa"/>
            <w:vAlign w:val="bottom"/>
            <w:shd w:val="clear" w:color="auto" w:fill="CCEEFF"/>
          </w:tcPr>
          <w:p>
            <w:pPr>
              <w:jc w:val="right"/>
              <w:ind w:right="210"/>
              <w:spacing w:after="0"/>
              <w:rPr>
                <w:sz w:val="20"/>
                <w:szCs w:val="20"/>
                <w:color w:val="auto"/>
              </w:rPr>
            </w:pPr>
            <w:r>
              <w:rPr>
                <w:rFonts w:ascii="Arial" w:cs="Arial" w:eastAsia="Arial" w:hAnsi="Arial"/>
                <w:sz w:val="18"/>
                <w:szCs w:val="18"/>
                <w:color w:val="auto"/>
              </w:rPr>
              <w:t>668,772</w:t>
            </w:r>
          </w:p>
        </w:tc>
        <w:tc>
          <w:tcPr>
            <w:tcW w:w="3280" w:type="dxa"/>
            <w:vAlign w:val="bottom"/>
            <w:shd w:val="clear" w:color="auto" w:fill="CCEEFF"/>
          </w:tcPr>
          <w:p>
            <w:pPr>
              <w:jc w:val="right"/>
              <w:ind w:right="2390"/>
              <w:spacing w:after="0"/>
              <w:rPr>
                <w:sz w:val="20"/>
                <w:szCs w:val="20"/>
                <w:color w:val="auto"/>
              </w:rPr>
            </w:pPr>
            <w:r>
              <w:rPr>
                <w:rFonts w:ascii="Arial" w:cs="Arial" w:eastAsia="Arial" w:hAnsi="Arial"/>
                <w:sz w:val="18"/>
                <w:szCs w:val="18"/>
                <w:color w:val="auto"/>
              </w:rPr>
              <w:t>49,901</w:t>
            </w:r>
          </w:p>
        </w:tc>
        <w:tc>
          <w:tcPr>
            <w:tcW w:w="320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812,374</w:t>
            </w:r>
          </w:p>
        </w:tc>
        <w:tc>
          <w:tcPr>
            <w:tcW w:w="40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6"/>
              </w:rPr>
              <w:t>7(f)</w:t>
            </w:r>
          </w:p>
        </w:tc>
      </w:tr>
      <w:tr>
        <w:trPr>
          <w:trHeight w:val="230"/>
        </w:trPr>
        <w:tc>
          <w:tcPr>
            <w:tcW w:w="2540" w:type="dxa"/>
            <w:vAlign w:val="bottom"/>
          </w:tcPr>
          <w:p>
            <w:pPr>
              <w:ind w:left="360"/>
              <w:spacing w:after="0"/>
              <w:rPr>
                <w:sz w:val="20"/>
                <w:szCs w:val="20"/>
                <w:color w:val="auto"/>
              </w:rPr>
            </w:pPr>
            <w:r>
              <w:rPr>
                <w:rFonts w:ascii="Arial" w:cs="Arial" w:eastAsia="Arial" w:hAnsi="Arial"/>
                <w:sz w:val="18"/>
                <w:szCs w:val="18"/>
                <w:color w:val="auto"/>
              </w:rPr>
              <w:t>Diluted</w:t>
            </w:r>
          </w:p>
        </w:tc>
        <w:tc>
          <w:tcPr>
            <w:tcW w:w="1600" w:type="dxa"/>
            <w:vAlign w:val="bottom"/>
          </w:tcPr>
          <w:p>
            <w:pPr>
              <w:jc w:val="right"/>
              <w:ind w:right="210"/>
              <w:spacing w:after="0"/>
              <w:rPr>
                <w:sz w:val="20"/>
                <w:szCs w:val="20"/>
                <w:color w:val="auto"/>
              </w:rPr>
            </w:pPr>
            <w:r>
              <w:rPr>
                <w:rFonts w:ascii="Arial" w:cs="Arial" w:eastAsia="Arial" w:hAnsi="Arial"/>
                <w:sz w:val="18"/>
                <w:szCs w:val="18"/>
                <w:color w:val="auto"/>
              </w:rPr>
              <w:t>668,772</w:t>
            </w:r>
          </w:p>
        </w:tc>
        <w:tc>
          <w:tcPr>
            <w:tcW w:w="3280" w:type="dxa"/>
            <w:vAlign w:val="bottom"/>
          </w:tcPr>
          <w:p>
            <w:pPr>
              <w:jc w:val="right"/>
              <w:ind w:right="2390"/>
              <w:spacing w:after="0"/>
              <w:rPr>
                <w:sz w:val="20"/>
                <w:szCs w:val="20"/>
                <w:color w:val="auto"/>
              </w:rPr>
            </w:pPr>
            <w:r>
              <w:rPr>
                <w:rFonts w:ascii="Arial" w:cs="Arial" w:eastAsia="Arial" w:hAnsi="Arial"/>
                <w:sz w:val="18"/>
                <w:szCs w:val="18"/>
                <w:color w:val="auto"/>
              </w:rPr>
              <w:t>49,901</w:t>
            </w:r>
          </w:p>
        </w:tc>
        <w:tc>
          <w:tcPr>
            <w:tcW w:w="3200" w:type="dxa"/>
            <w:vAlign w:val="bottom"/>
          </w:tcPr>
          <w:p>
            <w:pPr>
              <w:jc w:val="right"/>
              <w:ind w:right="50"/>
              <w:spacing w:after="0"/>
              <w:rPr>
                <w:sz w:val="20"/>
                <w:szCs w:val="20"/>
                <w:color w:val="auto"/>
              </w:rPr>
            </w:pPr>
            <w:r>
              <w:rPr>
                <w:rFonts w:ascii="Arial" w:cs="Arial" w:eastAsia="Arial" w:hAnsi="Arial"/>
                <w:sz w:val="18"/>
                <w:szCs w:val="18"/>
                <w:color w:val="auto"/>
              </w:rPr>
              <w:t>812,374</w:t>
            </w:r>
          </w:p>
        </w:tc>
        <w:tc>
          <w:tcPr>
            <w:tcW w:w="400" w:type="dxa"/>
            <w:vAlign w:val="bottom"/>
          </w:tcPr>
          <w:p>
            <w:pPr>
              <w:ind w:left="120"/>
              <w:spacing w:after="0"/>
              <w:rPr>
                <w:sz w:val="20"/>
                <w:szCs w:val="20"/>
                <w:color w:val="auto"/>
              </w:rPr>
            </w:pPr>
            <w:r>
              <w:rPr>
                <w:rFonts w:ascii="Arial" w:cs="Arial" w:eastAsia="Arial" w:hAnsi="Arial"/>
                <w:sz w:val="18"/>
                <w:szCs w:val="18"/>
                <w:color w:val="auto"/>
                <w:w w:val="96"/>
              </w:rPr>
              <w:t>7(f)</w:t>
            </w:r>
          </w:p>
        </w:tc>
      </w:tr>
    </w:tbl>
    <w:p>
      <w:pPr>
        <w:spacing w:after="0" w:line="187"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See accompanying notes to unaudited pro forma condensed combined financial information.</w:t>
      </w:r>
    </w:p>
    <w:p>
      <w:pPr>
        <w:sectPr>
          <w:pgSz w:w="11900" w:h="16838" w:orient="portrait"/>
          <w:cols w:equalWidth="0" w:num="1">
            <w:col w:w="11020"/>
          </w:cols>
          <w:pgMar w:left="440" w:top="270" w:right="439" w:bottom="1440" w:gutter="0" w:footer="0" w:header="0"/>
        </w:sectPr>
      </w:pPr>
    </w:p>
    <w:bookmarkStart w:id="28" w:name="page29"/>
    <w:bookmarkEnd w:id="28"/>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UNAUDITED PRO FORMA CONDENSED COMBINED STATEMENT OF OPERATIONS</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For the Six Months ended July 31, 2021 (In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0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200" w:type="dxa"/>
            <w:vAlign w:val="bottom"/>
            <w:tcBorders>
              <w:bottom w:val="single" w:sz="8" w:color="auto"/>
            </w:tcBorders>
            <w:gridSpan w:val="4"/>
          </w:tcPr>
          <w:p>
            <w:pPr>
              <w:jc w:val="right"/>
              <w:spacing w:after="0"/>
              <w:rPr>
                <w:sz w:val="20"/>
                <w:szCs w:val="20"/>
                <w:color w:val="auto"/>
              </w:rPr>
            </w:pPr>
            <w:r>
              <w:rPr>
                <w:rFonts w:ascii="Arial" w:cs="Arial" w:eastAsia="Arial" w:hAnsi="Arial"/>
                <w:sz w:val="14"/>
                <w:szCs w:val="14"/>
                <w:b w:val="1"/>
                <w:bCs w:val="1"/>
                <w:color w:val="auto"/>
              </w:rPr>
              <w:t>Historical</w:t>
            </w:r>
          </w:p>
        </w:tc>
        <w:tc>
          <w:tcPr>
            <w:tcW w:w="66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0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980" w:type="dxa"/>
            <w:vAlign w:val="bottom"/>
            <w:gridSpan w:val="3"/>
            <w:vMerge w:val="restart"/>
          </w:tcPr>
          <w:p>
            <w:pPr>
              <w:jc w:val="center"/>
              <w:ind w:right="81"/>
              <w:spacing w:after="0"/>
              <w:rPr>
                <w:sz w:val="20"/>
                <w:szCs w:val="20"/>
                <w:color w:val="auto"/>
              </w:rPr>
            </w:pPr>
            <w:r>
              <w:rPr>
                <w:rFonts w:ascii="Arial" w:cs="Arial" w:eastAsia="Arial" w:hAnsi="Arial"/>
                <w:sz w:val="14"/>
                <w:szCs w:val="14"/>
                <w:b w:val="1"/>
                <w:bCs w:val="1"/>
                <w:color w:val="auto"/>
                <w:w w:val="93"/>
              </w:rPr>
              <w:t>Six Months</w:t>
            </w:r>
          </w:p>
        </w:tc>
        <w:tc>
          <w:tcPr>
            <w:tcW w:w="100" w:type="dxa"/>
            <w:vAlign w:val="bottom"/>
          </w:tcPr>
          <w:p>
            <w:pPr>
              <w:spacing w:after="0"/>
              <w:rPr>
                <w:sz w:val="10"/>
                <w:szCs w:val="10"/>
                <w:color w:val="auto"/>
              </w:rPr>
            </w:pPr>
          </w:p>
        </w:tc>
        <w:tc>
          <w:tcPr>
            <w:tcW w:w="880" w:type="dxa"/>
            <w:vAlign w:val="bottom"/>
            <w:gridSpan w:val="2"/>
          </w:tcPr>
          <w:p>
            <w:pPr>
              <w:jc w:val="center"/>
              <w:spacing w:after="0" w:line="119" w:lineRule="exact"/>
              <w:rPr>
                <w:sz w:val="20"/>
                <w:szCs w:val="20"/>
                <w:color w:val="auto"/>
              </w:rPr>
            </w:pPr>
            <w:r>
              <w:rPr>
                <w:rFonts w:ascii="Arial" w:cs="Arial" w:eastAsia="Arial" w:hAnsi="Arial"/>
                <w:sz w:val="13"/>
                <w:szCs w:val="13"/>
                <w:b w:val="1"/>
                <w:bCs w:val="1"/>
                <w:color w:val="auto"/>
              </w:rPr>
              <w:t>Period from</w:t>
            </w:r>
          </w:p>
        </w:tc>
        <w:tc>
          <w:tcPr>
            <w:tcW w:w="1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1360" w:type="dxa"/>
            <w:vAlign w:val="bottom"/>
            <w:gridSpan w:val="3"/>
            <w:vMerge w:val="restart"/>
          </w:tcPr>
          <w:p>
            <w:pPr>
              <w:jc w:val="center"/>
              <w:ind w:right="461"/>
              <w:spacing w:after="0"/>
              <w:rPr>
                <w:sz w:val="20"/>
                <w:szCs w:val="20"/>
                <w:color w:val="auto"/>
              </w:rPr>
            </w:pPr>
            <w:r>
              <w:rPr>
                <w:rFonts w:ascii="Arial" w:cs="Arial" w:eastAsia="Arial" w:hAnsi="Arial"/>
                <w:sz w:val="14"/>
                <w:szCs w:val="14"/>
                <w:b w:val="1"/>
                <w:bCs w:val="1"/>
                <w:color w:val="auto"/>
                <w:w w:val="93"/>
              </w:rPr>
              <w:t>Six Months</w:t>
            </w:r>
          </w:p>
        </w:tc>
        <w:tc>
          <w:tcPr>
            <w:tcW w:w="0" w:type="dxa"/>
            <w:vAlign w:val="bottom"/>
          </w:tcPr>
          <w:p>
            <w:pPr>
              <w:spacing w:after="0"/>
              <w:rPr>
                <w:sz w:val="1"/>
                <w:szCs w:val="1"/>
                <w:color w:val="auto"/>
              </w:rPr>
            </w:pPr>
          </w:p>
        </w:tc>
      </w:tr>
      <w:tr>
        <w:trPr>
          <w:trHeight w:val="148"/>
        </w:trPr>
        <w:tc>
          <w:tcPr>
            <w:tcW w:w="30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80" w:type="dxa"/>
            <w:vAlign w:val="bottom"/>
            <w:gridSpan w:val="3"/>
            <w:vMerge w:val="continue"/>
          </w:tcPr>
          <w:p>
            <w:pPr>
              <w:spacing w:after="0"/>
              <w:rPr>
                <w:sz w:val="12"/>
                <w:szCs w:val="12"/>
                <w:color w:val="auto"/>
              </w:rPr>
            </w:pPr>
          </w:p>
        </w:tc>
        <w:tc>
          <w:tcPr>
            <w:tcW w:w="100" w:type="dxa"/>
            <w:vAlign w:val="bottom"/>
          </w:tcPr>
          <w:p>
            <w:pPr>
              <w:spacing w:after="0"/>
              <w:rPr>
                <w:sz w:val="12"/>
                <w:szCs w:val="12"/>
                <w:color w:val="auto"/>
              </w:rPr>
            </w:pPr>
          </w:p>
        </w:tc>
        <w:tc>
          <w:tcPr>
            <w:tcW w:w="1040" w:type="dxa"/>
            <w:vAlign w:val="bottom"/>
            <w:gridSpan w:val="3"/>
          </w:tcPr>
          <w:p>
            <w:pPr>
              <w:jc w:val="center"/>
              <w:ind w:right="81"/>
              <w:spacing w:after="0" w:line="149" w:lineRule="exact"/>
              <w:rPr>
                <w:sz w:val="20"/>
                <w:szCs w:val="20"/>
                <w:color w:val="auto"/>
              </w:rPr>
            </w:pPr>
            <w:r>
              <w:rPr>
                <w:rFonts w:ascii="Arial" w:cs="Arial" w:eastAsia="Arial" w:hAnsi="Arial"/>
                <w:sz w:val="14"/>
                <w:szCs w:val="14"/>
                <w:b w:val="1"/>
                <w:bCs w:val="1"/>
                <w:color w:val="auto"/>
                <w:w w:val="95"/>
              </w:rPr>
              <w:t>February 1,</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36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0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gridSpan w:val="2"/>
          </w:tcPr>
          <w:p>
            <w:pPr>
              <w:jc w:val="center"/>
              <w:ind w:right="161"/>
              <w:spacing w:after="0" w:line="149" w:lineRule="exact"/>
              <w:rPr>
                <w:sz w:val="20"/>
                <w:szCs w:val="20"/>
                <w:color w:val="auto"/>
              </w:rPr>
            </w:pPr>
            <w:r>
              <w:rPr>
                <w:rFonts w:ascii="Arial" w:cs="Arial" w:eastAsia="Arial" w:hAnsi="Arial"/>
                <w:sz w:val="14"/>
                <w:szCs w:val="14"/>
                <w:b w:val="1"/>
                <w:bCs w:val="1"/>
                <w:color w:val="auto"/>
                <w:w w:val="93"/>
              </w:rPr>
              <w:t>Ended</w:t>
            </w: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20" w:type="dxa"/>
            <w:vAlign w:val="bottom"/>
            <w:gridSpan w:val="2"/>
          </w:tcPr>
          <w:p>
            <w:pPr>
              <w:jc w:val="center"/>
              <w:ind w:right="301"/>
              <w:spacing w:after="0" w:line="149" w:lineRule="exact"/>
              <w:rPr>
                <w:sz w:val="20"/>
                <w:szCs w:val="20"/>
                <w:color w:val="auto"/>
              </w:rPr>
            </w:pPr>
            <w:r>
              <w:rPr>
                <w:rFonts w:ascii="Arial" w:cs="Arial" w:eastAsia="Arial" w:hAnsi="Arial"/>
                <w:sz w:val="14"/>
                <w:szCs w:val="14"/>
                <w:b w:val="1"/>
                <w:bCs w:val="1"/>
                <w:color w:val="auto"/>
                <w:w w:val="91"/>
              </w:rPr>
              <w:t>2021 to</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60" w:type="dxa"/>
            <w:vAlign w:val="bottom"/>
            <w:gridSpan w:val="2"/>
          </w:tcPr>
          <w:p>
            <w:pPr>
              <w:jc w:val="center"/>
              <w:ind w:right="541"/>
              <w:spacing w:after="0" w:line="149" w:lineRule="exact"/>
              <w:rPr>
                <w:sz w:val="20"/>
                <w:szCs w:val="20"/>
                <w:color w:val="auto"/>
              </w:rPr>
            </w:pPr>
            <w:r>
              <w:rPr>
                <w:rFonts w:ascii="Arial" w:cs="Arial" w:eastAsia="Arial" w:hAnsi="Arial"/>
                <w:sz w:val="14"/>
                <w:szCs w:val="14"/>
                <w:b w:val="1"/>
                <w:bCs w:val="1"/>
                <w:color w:val="auto"/>
                <w:w w:val="93"/>
              </w:rPr>
              <w:t>Ended</w:t>
            </w:r>
          </w:p>
        </w:tc>
        <w:tc>
          <w:tcPr>
            <w:tcW w:w="0" w:type="dxa"/>
            <w:vAlign w:val="bottom"/>
          </w:tcPr>
          <w:p>
            <w:pPr>
              <w:spacing w:after="0"/>
              <w:rPr>
                <w:sz w:val="1"/>
                <w:szCs w:val="1"/>
                <w:color w:val="auto"/>
              </w:rPr>
            </w:pPr>
          </w:p>
        </w:tc>
      </w:tr>
      <w:tr>
        <w:trPr>
          <w:trHeight w:val="171"/>
        </w:trPr>
        <w:tc>
          <w:tcPr>
            <w:tcW w:w="30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gridSpan w:val="3"/>
          </w:tcPr>
          <w:p>
            <w:pPr>
              <w:ind w:left="20"/>
              <w:spacing w:after="0"/>
              <w:rPr>
                <w:sz w:val="20"/>
                <w:szCs w:val="20"/>
                <w:color w:val="auto"/>
              </w:rPr>
            </w:pPr>
            <w:r>
              <w:rPr>
                <w:rFonts w:ascii="Arial" w:cs="Arial" w:eastAsia="Arial" w:hAnsi="Arial"/>
                <w:sz w:val="14"/>
                <w:szCs w:val="14"/>
                <w:b w:val="1"/>
                <w:bCs w:val="1"/>
                <w:color w:val="auto"/>
              </w:rPr>
              <w:t>July 31, 2021</w:t>
            </w:r>
          </w:p>
        </w:tc>
        <w:tc>
          <w:tcPr>
            <w:tcW w:w="100" w:type="dxa"/>
            <w:vAlign w:val="bottom"/>
          </w:tcPr>
          <w:p>
            <w:pPr>
              <w:spacing w:after="0"/>
              <w:rPr>
                <w:sz w:val="14"/>
                <w:szCs w:val="14"/>
                <w:color w:val="auto"/>
              </w:rPr>
            </w:pPr>
          </w:p>
        </w:tc>
        <w:tc>
          <w:tcPr>
            <w:tcW w:w="1040" w:type="dxa"/>
            <w:vAlign w:val="bottom"/>
            <w:gridSpan w:val="3"/>
          </w:tcPr>
          <w:p>
            <w:pPr>
              <w:jc w:val="center"/>
              <w:ind w:right="81"/>
              <w:spacing w:after="0"/>
              <w:rPr>
                <w:sz w:val="20"/>
                <w:szCs w:val="20"/>
                <w:color w:val="auto"/>
              </w:rPr>
            </w:pPr>
            <w:r>
              <w:rPr>
                <w:rFonts w:ascii="Arial" w:cs="Arial" w:eastAsia="Arial" w:hAnsi="Arial"/>
                <w:sz w:val="14"/>
                <w:szCs w:val="14"/>
                <w:b w:val="1"/>
                <w:bCs w:val="1"/>
                <w:color w:val="auto"/>
                <w:w w:val="97"/>
              </w:rPr>
              <w:t>April 20, 2021</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vMerge w:val="restart"/>
          </w:tcPr>
          <w:p>
            <w:pPr>
              <w:jc w:val="right"/>
              <w:ind w:right="400"/>
              <w:spacing w:after="0"/>
              <w:rPr>
                <w:sz w:val="20"/>
                <w:szCs w:val="20"/>
                <w:color w:val="auto"/>
              </w:rPr>
            </w:pPr>
            <w:r>
              <w:rPr>
                <w:rFonts w:ascii="Arial" w:cs="Arial" w:eastAsia="Arial" w:hAnsi="Arial"/>
                <w:sz w:val="14"/>
                <w:szCs w:val="14"/>
                <w:b w:val="1"/>
                <w:bCs w:val="1"/>
                <w:color w:val="auto"/>
              </w:rPr>
              <w:t>Debt</w:t>
            </w:r>
          </w:p>
        </w:tc>
        <w:tc>
          <w:tcPr>
            <w:tcW w:w="580" w:type="dxa"/>
            <w:vAlign w:val="bottom"/>
          </w:tcPr>
          <w:p>
            <w:pPr>
              <w:spacing w:after="0"/>
              <w:rPr>
                <w:sz w:val="14"/>
                <w:szCs w:val="14"/>
                <w:color w:val="auto"/>
              </w:rPr>
            </w:pPr>
          </w:p>
        </w:tc>
        <w:tc>
          <w:tcPr>
            <w:tcW w:w="960" w:type="dxa"/>
            <w:vAlign w:val="bottom"/>
            <w:gridSpan w:val="3"/>
            <w:vMerge w:val="restart"/>
          </w:tcPr>
          <w:p>
            <w:pPr>
              <w:jc w:val="center"/>
              <w:ind w:right="160"/>
              <w:spacing w:after="0"/>
              <w:rPr>
                <w:sz w:val="20"/>
                <w:szCs w:val="20"/>
                <w:color w:val="auto"/>
              </w:rPr>
            </w:pPr>
            <w:r>
              <w:rPr>
                <w:rFonts w:ascii="Arial" w:cs="Arial" w:eastAsia="Arial" w:hAnsi="Arial"/>
                <w:sz w:val="14"/>
                <w:szCs w:val="14"/>
                <w:b w:val="1"/>
                <w:bCs w:val="1"/>
                <w:color w:val="auto"/>
                <w:w w:val="90"/>
              </w:rPr>
              <w:t>Transaction</w:t>
            </w:r>
          </w:p>
        </w:tc>
        <w:tc>
          <w:tcPr>
            <w:tcW w:w="580" w:type="dxa"/>
            <w:vAlign w:val="bottom"/>
          </w:tcPr>
          <w:p>
            <w:pPr>
              <w:spacing w:after="0"/>
              <w:rPr>
                <w:sz w:val="14"/>
                <w:szCs w:val="14"/>
                <w:color w:val="auto"/>
              </w:rPr>
            </w:pPr>
          </w:p>
        </w:tc>
        <w:tc>
          <w:tcPr>
            <w:tcW w:w="1360" w:type="dxa"/>
            <w:vAlign w:val="bottom"/>
            <w:gridSpan w:val="3"/>
          </w:tcPr>
          <w:p>
            <w:pPr>
              <w:ind w:left="20"/>
              <w:spacing w:after="0"/>
              <w:rPr>
                <w:sz w:val="20"/>
                <w:szCs w:val="20"/>
                <w:color w:val="auto"/>
              </w:rPr>
            </w:pPr>
            <w:r>
              <w:rPr>
                <w:rFonts w:ascii="Arial" w:cs="Arial" w:eastAsia="Arial" w:hAnsi="Arial"/>
                <w:sz w:val="14"/>
                <w:szCs w:val="14"/>
                <w:b w:val="1"/>
                <w:bCs w:val="1"/>
                <w:color w:val="auto"/>
              </w:rPr>
              <w:t>July 31, 2021</w:t>
            </w:r>
          </w:p>
        </w:tc>
        <w:tc>
          <w:tcPr>
            <w:tcW w:w="0" w:type="dxa"/>
            <w:vAlign w:val="bottom"/>
          </w:tcPr>
          <w:p>
            <w:pPr>
              <w:spacing w:after="0"/>
              <w:rPr>
                <w:sz w:val="1"/>
                <w:szCs w:val="1"/>
                <w:color w:val="auto"/>
              </w:rPr>
            </w:pPr>
          </w:p>
        </w:tc>
      </w:tr>
      <w:tr>
        <w:trPr>
          <w:trHeight w:val="106"/>
        </w:trPr>
        <w:tc>
          <w:tcPr>
            <w:tcW w:w="30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Borders>
              <w:top w:val="single" w:sz="8" w:color="auto"/>
            </w:tcBorders>
          </w:tcPr>
          <w:p>
            <w:pPr>
              <w:spacing w:after="0"/>
              <w:rPr>
                <w:sz w:val="9"/>
                <w:szCs w:val="9"/>
                <w:color w:val="auto"/>
              </w:rPr>
            </w:pPr>
          </w:p>
        </w:tc>
        <w:tc>
          <w:tcPr>
            <w:tcW w:w="720" w:type="dxa"/>
            <w:vAlign w:val="bottom"/>
            <w:tcBorders>
              <w:top w:val="single" w:sz="8" w:color="auto"/>
            </w:tcBorders>
          </w:tcPr>
          <w:p>
            <w:pPr>
              <w:spacing w:after="0"/>
              <w:rPr>
                <w:sz w:val="9"/>
                <w:szCs w:val="9"/>
                <w:color w:val="auto"/>
              </w:rPr>
            </w:pPr>
          </w:p>
        </w:tc>
        <w:tc>
          <w:tcPr>
            <w:tcW w:w="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Borders>
              <w:top w:val="single" w:sz="8" w:color="auto"/>
            </w:tcBorders>
          </w:tcPr>
          <w:p>
            <w:pPr>
              <w:spacing w:after="0"/>
              <w:rPr>
                <w:sz w:val="9"/>
                <w:szCs w:val="9"/>
                <w:color w:val="auto"/>
              </w:rPr>
            </w:pPr>
          </w:p>
        </w:tc>
        <w:tc>
          <w:tcPr>
            <w:tcW w:w="660" w:type="dxa"/>
            <w:vAlign w:val="bottom"/>
            <w:tcBorders>
              <w:top w:val="single" w:sz="8" w:color="auto"/>
            </w:tcBorders>
          </w:tcPr>
          <w:p>
            <w:pPr>
              <w:spacing w:after="0"/>
              <w:rPr>
                <w:sz w:val="9"/>
                <w:szCs w:val="9"/>
                <w:color w:val="auto"/>
              </w:rPr>
            </w:pPr>
          </w:p>
        </w:tc>
        <w:tc>
          <w:tcPr>
            <w:tcW w:w="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2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Reclassification</w:t>
            </w:r>
          </w:p>
        </w:tc>
        <w:tc>
          <w:tcPr>
            <w:tcW w:w="100" w:type="dxa"/>
            <w:vAlign w:val="bottom"/>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580" w:type="dxa"/>
            <w:vAlign w:val="bottom"/>
          </w:tcPr>
          <w:p>
            <w:pPr>
              <w:spacing w:after="0"/>
              <w:rPr>
                <w:sz w:val="9"/>
                <w:szCs w:val="9"/>
                <w:color w:val="auto"/>
              </w:rPr>
            </w:pPr>
          </w:p>
        </w:tc>
        <w:tc>
          <w:tcPr>
            <w:tcW w:w="960" w:type="dxa"/>
            <w:vAlign w:val="bottom"/>
            <w:gridSpan w:val="3"/>
            <w:vMerge w:val="continue"/>
          </w:tcPr>
          <w:p>
            <w:pPr>
              <w:spacing w:after="0"/>
              <w:rPr>
                <w:sz w:val="9"/>
                <w:szCs w:val="9"/>
                <w:color w:val="auto"/>
              </w:rPr>
            </w:pPr>
          </w:p>
        </w:tc>
        <w:tc>
          <w:tcPr>
            <w:tcW w:w="580" w:type="dxa"/>
            <w:vAlign w:val="bottom"/>
          </w:tcPr>
          <w:p>
            <w:pPr>
              <w:spacing w:after="0"/>
              <w:rPr>
                <w:sz w:val="9"/>
                <w:szCs w:val="9"/>
                <w:color w:val="auto"/>
              </w:rPr>
            </w:pPr>
          </w:p>
        </w:tc>
        <w:tc>
          <w:tcPr>
            <w:tcW w:w="100" w:type="dxa"/>
            <w:vAlign w:val="bottom"/>
            <w:tcBorders>
              <w:top w:val="single" w:sz="8" w:color="auto"/>
            </w:tcBorders>
          </w:tcPr>
          <w:p>
            <w:pPr>
              <w:spacing w:after="0"/>
              <w:rPr>
                <w:sz w:val="9"/>
                <w:szCs w:val="9"/>
                <w:color w:val="auto"/>
              </w:rPr>
            </w:pPr>
          </w:p>
        </w:tc>
        <w:tc>
          <w:tcPr>
            <w:tcW w:w="720" w:type="dxa"/>
            <w:vAlign w:val="bottom"/>
            <w:tcBorders>
              <w:top w:val="single" w:sz="8" w:color="auto"/>
            </w:tcBorders>
          </w:tcPr>
          <w:p>
            <w:pPr>
              <w:spacing w:after="0"/>
              <w:rPr>
                <w:sz w:val="9"/>
                <w:szCs w:val="9"/>
                <w:color w:val="auto"/>
              </w:rPr>
            </w:pPr>
          </w:p>
        </w:tc>
        <w:tc>
          <w:tcPr>
            <w:tcW w:w="5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8"/>
        </w:trPr>
        <w:tc>
          <w:tcPr>
            <w:tcW w:w="30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20" w:type="dxa"/>
            <w:vAlign w:val="bottom"/>
            <w:gridSpan w:val="3"/>
            <w:vMerge w:val="continue"/>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b w:val="1"/>
                <w:bCs w:val="1"/>
                <w:color w:val="auto"/>
                <w:w w:val="90"/>
              </w:rPr>
              <w:t>Financing</w:t>
            </w:r>
          </w:p>
        </w:tc>
        <w:tc>
          <w:tcPr>
            <w:tcW w:w="580" w:type="dxa"/>
            <w:vAlign w:val="bottom"/>
          </w:tcPr>
          <w:p>
            <w:pPr>
              <w:spacing w:after="0"/>
              <w:rPr>
                <w:sz w:val="12"/>
                <w:szCs w:val="12"/>
                <w:color w:val="auto"/>
              </w:rPr>
            </w:pPr>
          </w:p>
        </w:tc>
        <w:tc>
          <w:tcPr>
            <w:tcW w:w="960" w:type="dxa"/>
            <w:vAlign w:val="bottom"/>
            <w:gridSpan w:val="3"/>
          </w:tcPr>
          <w:p>
            <w:pPr>
              <w:jc w:val="center"/>
              <w:ind w:right="160"/>
              <w:spacing w:after="0" w:line="149" w:lineRule="exact"/>
              <w:rPr>
                <w:sz w:val="20"/>
                <w:szCs w:val="20"/>
                <w:color w:val="auto"/>
              </w:rPr>
            </w:pPr>
            <w:r>
              <w:rPr>
                <w:rFonts w:ascii="Arial" w:cs="Arial" w:eastAsia="Arial" w:hAnsi="Arial"/>
                <w:sz w:val="14"/>
                <w:szCs w:val="14"/>
                <w:b w:val="1"/>
                <w:bCs w:val="1"/>
                <w:color w:val="auto"/>
                <w:w w:val="93"/>
              </w:rPr>
              <w:t>Accounting</w:t>
            </w:r>
          </w:p>
        </w:tc>
        <w:tc>
          <w:tcPr>
            <w:tcW w:w="580" w:type="dxa"/>
            <w:vAlign w:val="bottom"/>
          </w:tcPr>
          <w:p>
            <w:pPr>
              <w:spacing w:after="0"/>
              <w:rPr>
                <w:sz w:val="12"/>
                <w:szCs w:val="12"/>
                <w:color w:val="auto"/>
              </w:rPr>
            </w:pPr>
          </w:p>
        </w:tc>
        <w:tc>
          <w:tcPr>
            <w:tcW w:w="1360" w:type="dxa"/>
            <w:vAlign w:val="bottom"/>
            <w:gridSpan w:val="3"/>
            <w:vMerge w:val="restart"/>
          </w:tcPr>
          <w:p>
            <w:pPr>
              <w:jc w:val="center"/>
              <w:ind w:right="441"/>
              <w:spacing w:after="0"/>
              <w:rPr>
                <w:sz w:val="20"/>
                <w:szCs w:val="20"/>
                <w:color w:val="auto"/>
              </w:rPr>
            </w:pPr>
            <w:r>
              <w:rPr>
                <w:rFonts w:ascii="Arial" w:cs="Arial" w:eastAsia="Arial" w:hAnsi="Arial"/>
                <w:sz w:val="14"/>
                <w:szCs w:val="14"/>
                <w:b w:val="1"/>
                <w:bCs w:val="1"/>
                <w:color w:val="auto"/>
                <w:w w:val="97"/>
              </w:rPr>
              <w:t>Pro Forma</w:t>
            </w:r>
          </w:p>
        </w:tc>
        <w:tc>
          <w:tcPr>
            <w:tcW w:w="0" w:type="dxa"/>
            <w:vAlign w:val="bottom"/>
          </w:tcPr>
          <w:p>
            <w:pPr>
              <w:spacing w:after="0"/>
              <w:rPr>
                <w:sz w:val="1"/>
                <w:szCs w:val="1"/>
                <w:color w:val="auto"/>
              </w:rPr>
            </w:pPr>
          </w:p>
        </w:tc>
      </w:tr>
      <w:tr>
        <w:trPr>
          <w:trHeight w:val="149"/>
        </w:trPr>
        <w:tc>
          <w:tcPr>
            <w:tcW w:w="30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gridSpan w:val="2"/>
            <w:vMerge w:val="restart"/>
          </w:tcPr>
          <w:p>
            <w:pPr>
              <w:jc w:val="center"/>
              <w:ind w:right="181"/>
              <w:spacing w:after="0"/>
              <w:rPr>
                <w:sz w:val="20"/>
                <w:szCs w:val="20"/>
                <w:color w:val="auto"/>
              </w:rPr>
            </w:pPr>
            <w:r>
              <w:rPr>
                <w:rFonts w:ascii="Arial" w:cs="Arial" w:eastAsia="Arial" w:hAnsi="Arial"/>
                <w:sz w:val="14"/>
                <w:szCs w:val="14"/>
                <w:b w:val="1"/>
                <w:bCs w:val="1"/>
                <w:color w:val="auto"/>
              </w:rPr>
              <w:t>MTI</w:t>
            </w: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20" w:type="dxa"/>
            <w:vAlign w:val="bottom"/>
            <w:gridSpan w:val="2"/>
            <w:vMerge w:val="restart"/>
          </w:tcPr>
          <w:p>
            <w:pPr>
              <w:jc w:val="center"/>
              <w:ind w:right="301"/>
              <w:spacing w:after="0"/>
              <w:rPr>
                <w:sz w:val="20"/>
                <w:szCs w:val="20"/>
                <w:color w:val="auto"/>
              </w:rPr>
            </w:pPr>
            <w:r>
              <w:rPr>
                <w:rFonts w:ascii="Arial" w:cs="Arial" w:eastAsia="Arial" w:hAnsi="Arial"/>
                <w:sz w:val="14"/>
                <w:szCs w:val="14"/>
                <w:b w:val="1"/>
                <w:bCs w:val="1"/>
                <w:color w:val="auto"/>
                <w:w w:val="95"/>
              </w:rPr>
              <w:t>Inphi</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14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rPr>
              <w:t>Adjustments</w:t>
            </w:r>
          </w:p>
        </w:tc>
        <w:tc>
          <w:tcPr>
            <w:tcW w:w="96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Adjustments</w:t>
            </w:r>
          </w:p>
        </w:tc>
        <w:tc>
          <w:tcPr>
            <w:tcW w:w="580" w:type="dxa"/>
            <w:vAlign w:val="bottom"/>
          </w:tcPr>
          <w:p>
            <w:pPr>
              <w:spacing w:after="0"/>
              <w:rPr>
                <w:sz w:val="12"/>
                <w:szCs w:val="12"/>
                <w:color w:val="auto"/>
              </w:rPr>
            </w:pPr>
          </w:p>
        </w:tc>
        <w:tc>
          <w:tcPr>
            <w:tcW w:w="960" w:type="dxa"/>
            <w:vAlign w:val="bottom"/>
            <w:gridSpan w:val="3"/>
          </w:tcPr>
          <w:p>
            <w:pPr>
              <w:jc w:val="center"/>
              <w:ind w:right="160"/>
              <w:spacing w:after="0" w:line="149" w:lineRule="exact"/>
              <w:rPr>
                <w:sz w:val="20"/>
                <w:szCs w:val="20"/>
                <w:color w:val="auto"/>
              </w:rPr>
            </w:pPr>
            <w:r>
              <w:rPr>
                <w:rFonts w:ascii="Arial" w:cs="Arial" w:eastAsia="Arial" w:hAnsi="Arial"/>
                <w:sz w:val="14"/>
                <w:szCs w:val="14"/>
                <w:b w:val="1"/>
                <w:bCs w:val="1"/>
                <w:color w:val="auto"/>
                <w:w w:val="94"/>
              </w:rPr>
              <w:t>Adjustments</w:t>
            </w:r>
          </w:p>
        </w:tc>
        <w:tc>
          <w:tcPr>
            <w:tcW w:w="580" w:type="dxa"/>
            <w:vAlign w:val="bottom"/>
          </w:tcPr>
          <w:p>
            <w:pPr>
              <w:spacing w:after="0"/>
              <w:rPr>
                <w:sz w:val="12"/>
                <w:szCs w:val="12"/>
                <w:color w:val="auto"/>
              </w:rPr>
            </w:pPr>
          </w:p>
        </w:tc>
        <w:tc>
          <w:tcPr>
            <w:tcW w:w="136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30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gridSpan w:val="2"/>
            <w:vMerge w:val="continue"/>
          </w:tcPr>
          <w:p>
            <w:pPr>
              <w:spacing w:after="0"/>
              <w:rPr>
                <w:sz w:val="14"/>
                <w:szCs w:val="14"/>
                <w:color w:val="auto"/>
              </w:rPr>
            </w:pPr>
          </w:p>
        </w:tc>
        <w:tc>
          <w:tcPr>
            <w:tcW w:w="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40" w:type="dxa"/>
            <w:vAlign w:val="bottom"/>
            <w:gridSpan w:val="2"/>
          </w:tcPr>
          <w:p>
            <w:pPr>
              <w:ind w:left="160"/>
              <w:spacing w:after="0"/>
              <w:rPr>
                <w:sz w:val="20"/>
                <w:szCs w:val="20"/>
                <w:color w:val="auto"/>
              </w:rPr>
            </w:pPr>
            <w:r>
              <w:rPr>
                <w:rFonts w:ascii="Arial" w:cs="Arial" w:eastAsia="Arial" w:hAnsi="Arial"/>
                <w:sz w:val="14"/>
                <w:szCs w:val="14"/>
                <w:b w:val="1"/>
                <w:bCs w:val="1"/>
                <w:color w:val="auto"/>
              </w:rPr>
              <w:t>(Note 4)</w:t>
            </w:r>
          </w:p>
        </w:tc>
        <w:tc>
          <w:tcPr>
            <w:tcW w:w="100" w:type="dxa"/>
            <w:vAlign w:val="bottom"/>
          </w:tcPr>
          <w:p>
            <w:pPr>
              <w:spacing w:after="0"/>
              <w:rPr>
                <w:sz w:val="14"/>
                <w:szCs w:val="14"/>
                <w:color w:val="auto"/>
              </w:rPr>
            </w:pPr>
          </w:p>
        </w:tc>
        <w:tc>
          <w:tcPr>
            <w:tcW w:w="86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99"/>
              </w:rPr>
              <w:t>(Note 6)</w:t>
            </w:r>
          </w:p>
        </w:tc>
        <w:tc>
          <w:tcPr>
            <w:tcW w:w="5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2"/>
              </w:rPr>
              <w:t>(Note 7)</w:t>
            </w: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60" w:type="dxa"/>
            <w:vAlign w:val="bottom"/>
            <w:gridSpan w:val="2"/>
          </w:tcPr>
          <w:p>
            <w:pPr>
              <w:jc w:val="center"/>
              <w:ind w:right="541"/>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209"/>
        </w:trPr>
        <w:tc>
          <w:tcPr>
            <w:tcW w:w="30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b w:val="1"/>
                <w:bCs w:val="1"/>
                <w:color w:val="auto"/>
              </w:rPr>
              <w:t>Net revenue</w:t>
            </w:r>
          </w:p>
        </w:tc>
        <w:tc>
          <w:tcPr>
            <w:tcW w:w="1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1,908,160</w:t>
            </w:r>
          </w:p>
        </w:tc>
        <w:tc>
          <w:tcPr>
            <w:tcW w:w="1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42"/>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150,064</w:t>
            </w:r>
          </w:p>
        </w:tc>
        <w:tc>
          <w:tcPr>
            <w:tcW w:w="1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tcBorders>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1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2,058,224</w:t>
            </w:r>
          </w:p>
        </w:tc>
        <w:tc>
          <w:tcPr>
            <w:tcW w:w="5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0" w:type="dxa"/>
            <w:vAlign w:val="bottom"/>
          </w:tcPr>
          <w:p>
            <w:pPr>
              <w:spacing w:after="0"/>
              <w:rPr>
                <w:sz w:val="20"/>
                <w:szCs w:val="20"/>
                <w:color w:val="auto"/>
              </w:rPr>
            </w:pPr>
            <w:r>
              <w:rPr>
                <w:rFonts w:ascii="Arial" w:cs="Arial" w:eastAsia="Arial" w:hAnsi="Arial"/>
                <w:sz w:val="18"/>
                <w:szCs w:val="18"/>
                <w:b w:val="1"/>
                <w:bCs w:val="1"/>
                <w:color w:val="auto"/>
              </w:rPr>
              <w:t>Cost of goods sold</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81"/>
              <w:spacing w:after="0"/>
              <w:rPr>
                <w:sz w:val="20"/>
                <w:szCs w:val="20"/>
                <w:color w:val="auto"/>
              </w:rPr>
            </w:pPr>
            <w:r>
              <w:rPr>
                <w:rFonts w:ascii="Arial" w:cs="Arial" w:eastAsia="Arial" w:hAnsi="Arial"/>
                <w:sz w:val="18"/>
                <w:szCs w:val="18"/>
                <w:color w:val="auto"/>
                <w:w w:val="87"/>
              </w:rPr>
              <w:t>1,118,189</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gridSpan w:val="2"/>
          </w:tcPr>
          <w:p>
            <w:pPr>
              <w:jc w:val="right"/>
              <w:ind w:right="81"/>
              <w:spacing w:after="0"/>
              <w:rPr>
                <w:sz w:val="20"/>
                <w:szCs w:val="20"/>
                <w:color w:val="auto"/>
              </w:rPr>
            </w:pPr>
            <w:r>
              <w:rPr>
                <w:rFonts w:ascii="Arial" w:cs="Arial" w:eastAsia="Arial" w:hAnsi="Arial"/>
                <w:sz w:val="18"/>
                <w:szCs w:val="18"/>
                <w:color w:val="auto"/>
              </w:rPr>
              <w:t>72,131</w:t>
            </w: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40" w:type="dxa"/>
            <w:vAlign w:val="bottom"/>
            <w:gridSpan w:val="2"/>
          </w:tcPr>
          <w:p>
            <w:pPr>
              <w:ind w:left="6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93"/>
              </w:rPr>
              <w:t>(114,050)</w:t>
            </w:r>
          </w:p>
        </w:tc>
        <w:tc>
          <w:tcPr>
            <w:tcW w:w="680" w:type="dxa"/>
            <w:vAlign w:val="bottom"/>
            <w:gridSpan w:val="2"/>
          </w:tcPr>
          <w:p>
            <w:pPr>
              <w:ind w:left="100"/>
              <w:spacing w:after="0"/>
              <w:rPr>
                <w:sz w:val="20"/>
                <w:szCs w:val="20"/>
                <w:color w:val="auto"/>
              </w:rPr>
            </w:pPr>
            <w:r>
              <w:rPr>
                <w:rFonts w:ascii="Arial" w:cs="Arial" w:eastAsia="Arial" w:hAnsi="Arial"/>
                <w:sz w:val="18"/>
                <w:szCs w:val="18"/>
                <w:color w:val="auto"/>
              </w:rPr>
              <w:t>7(a)</w:t>
            </w:r>
          </w:p>
        </w:tc>
        <w:tc>
          <w:tcPr>
            <w:tcW w:w="1260" w:type="dxa"/>
            <w:vAlign w:val="bottom"/>
            <w:gridSpan w:val="2"/>
          </w:tcPr>
          <w:p>
            <w:pPr>
              <w:jc w:val="right"/>
              <w:ind w:right="461"/>
              <w:spacing w:after="0"/>
              <w:rPr>
                <w:sz w:val="20"/>
                <w:szCs w:val="20"/>
                <w:color w:val="auto"/>
              </w:rPr>
            </w:pPr>
            <w:r>
              <w:rPr>
                <w:rFonts w:ascii="Arial" w:cs="Arial" w:eastAsia="Arial" w:hAnsi="Arial"/>
                <w:sz w:val="18"/>
                <w:szCs w:val="18"/>
                <w:color w:val="auto"/>
                <w:w w:val="87"/>
              </w:rPr>
              <w:t>1,076,270</w:t>
            </w:r>
          </w:p>
        </w:tc>
        <w:tc>
          <w:tcPr>
            <w:tcW w:w="0" w:type="dxa"/>
            <w:vAlign w:val="bottom"/>
          </w:tcPr>
          <w:p>
            <w:pPr>
              <w:spacing w:after="0"/>
              <w:rPr>
                <w:sz w:val="1"/>
                <w:szCs w:val="1"/>
                <w:color w:val="auto"/>
              </w:rPr>
            </w:pPr>
          </w:p>
        </w:tc>
      </w:tr>
      <w:tr>
        <w:trPr>
          <w:trHeight w:val="27"/>
        </w:trPr>
        <w:tc>
          <w:tcPr>
            <w:tcW w:w="30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5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5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0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Gross profit</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789,971</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77,933</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114,050</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61"/>
              <w:spacing w:after="0"/>
              <w:rPr>
                <w:sz w:val="20"/>
                <w:szCs w:val="20"/>
                <w:color w:val="auto"/>
              </w:rPr>
            </w:pPr>
            <w:r>
              <w:rPr>
                <w:rFonts w:ascii="Arial" w:cs="Arial" w:eastAsia="Arial" w:hAnsi="Arial"/>
                <w:sz w:val="18"/>
                <w:szCs w:val="18"/>
                <w:color w:val="auto"/>
              </w:rPr>
              <w:t>981,954</w:t>
            </w:r>
          </w:p>
        </w:tc>
        <w:tc>
          <w:tcPr>
            <w:tcW w:w="0" w:type="dxa"/>
            <w:vAlign w:val="bottom"/>
          </w:tcPr>
          <w:p>
            <w:pPr>
              <w:spacing w:after="0"/>
              <w:rPr>
                <w:sz w:val="1"/>
                <w:szCs w:val="1"/>
                <w:color w:val="auto"/>
              </w:rPr>
            </w:pPr>
          </w:p>
        </w:tc>
      </w:tr>
      <w:tr>
        <w:trPr>
          <w:trHeight w:val="223"/>
        </w:trPr>
        <w:tc>
          <w:tcPr>
            <w:tcW w:w="3000" w:type="dxa"/>
            <w:vAlign w:val="bottom"/>
          </w:tcPr>
          <w:p>
            <w:pPr>
              <w:ind w:left="360"/>
              <w:spacing w:after="0"/>
              <w:rPr>
                <w:sz w:val="20"/>
                <w:szCs w:val="20"/>
                <w:color w:val="auto"/>
              </w:rPr>
            </w:pPr>
            <w:r>
              <w:rPr>
                <w:rFonts w:ascii="Arial" w:cs="Arial" w:eastAsia="Arial" w:hAnsi="Arial"/>
                <w:sz w:val="18"/>
                <w:szCs w:val="18"/>
                <w:b w:val="1"/>
                <w:bCs w:val="1"/>
                <w:color w:val="auto"/>
              </w:rPr>
              <w:t>Operating expenses:</w:t>
            </w: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Borders>
              <w:top w:val="single" w:sz="8" w:color="auto"/>
            </w:tcBorders>
          </w:tcPr>
          <w:p>
            <w:pPr>
              <w:spacing w:after="0"/>
              <w:rPr>
                <w:sz w:val="19"/>
                <w:szCs w:val="19"/>
                <w:color w:val="auto"/>
              </w:rPr>
            </w:pPr>
          </w:p>
        </w:tc>
        <w:tc>
          <w:tcPr>
            <w:tcW w:w="660" w:type="dxa"/>
            <w:vAlign w:val="bottom"/>
            <w:tcBorders>
              <w:top w:val="single" w:sz="8" w:color="auto"/>
            </w:tcBorders>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80" w:type="dxa"/>
            <w:vAlign w:val="bottom"/>
            <w:tcBorders>
              <w:top w:val="single" w:sz="8" w:color="auto"/>
            </w:tcBorders>
          </w:tcPr>
          <w:p>
            <w:pPr>
              <w:spacing w:after="0"/>
              <w:rPr>
                <w:sz w:val="19"/>
                <w:szCs w:val="19"/>
                <w:color w:val="auto"/>
              </w:rPr>
            </w:pPr>
          </w:p>
        </w:tc>
        <w:tc>
          <w:tcPr>
            <w:tcW w:w="2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spacing w:after="0"/>
              <w:rPr>
                <w:sz w:val="19"/>
                <w:szCs w:val="19"/>
                <w:color w:val="auto"/>
              </w:rPr>
            </w:pPr>
          </w:p>
        </w:tc>
        <w:tc>
          <w:tcPr>
            <w:tcW w:w="1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80" w:type="dxa"/>
            <w:vAlign w:val="bottom"/>
            <w:tcBorders>
              <w:top w:val="single" w:sz="8" w:color="auto"/>
            </w:tcBorders>
          </w:tcPr>
          <w:p>
            <w:pPr>
              <w:spacing w:after="0"/>
              <w:rPr>
                <w:sz w:val="19"/>
                <w:szCs w:val="19"/>
                <w:color w:val="auto"/>
              </w:rPr>
            </w:pPr>
          </w:p>
        </w:tc>
        <w:tc>
          <w:tcPr>
            <w:tcW w:w="1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5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0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653,143</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66,064</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(22,183)</w:t>
            </w:r>
          </w:p>
        </w:tc>
        <w:tc>
          <w:tcPr>
            <w:tcW w:w="68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rPr>
              <w:t>7(b)</w:t>
            </w:r>
          </w:p>
        </w:tc>
        <w:tc>
          <w:tcPr>
            <w:tcW w:w="1260" w:type="dxa"/>
            <w:vAlign w:val="bottom"/>
            <w:gridSpan w:val="2"/>
            <w:shd w:val="clear" w:color="auto" w:fill="CCEEFF"/>
          </w:tcPr>
          <w:p>
            <w:pPr>
              <w:jc w:val="right"/>
              <w:ind w:right="461"/>
              <w:spacing w:after="0"/>
              <w:rPr>
                <w:sz w:val="20"/>
                <w:szCs w:val="20"/>
                <w:color w:val="auto"/>
              </w:rPr>
            </w:pPr>
            <w:r>
              <w:rPr>
                <w:rFonts w:ascii="Arial" w:cs="Arial" w:eastAsia="Arial" w:hAnsi="Arial"/>
                <w:sz w:val="18"/>
                <w:szCs w:val="18"/>
                <w:color w:val="auto"/>
              </w:rPr>
              <w:t>697,024</w:t>
            </w:r>
          </w:p>
        </w:tc>
        <w:tc>
          <w:tcPr>
            <w:tcW w:w="0" w:type="dxa"/>
            <w:vAlign w:val="bottom"/>
          </w:tcPr>
          <w:p>
            <w:pPr>
              <w:spacing w:after="0"/>
              <w:rPr>
                <w:sz w:val="1"/>
                <w:szCs w:val="1"/>
                <w:color w:val="auto"/>
              </w:rPr>
            </w:pPr>
          </w:p>
        </w:tc>
      </w:tr>
      <w:tr>
        <w:trPr>
          <w:trHeight w:val="216"/>
        </w:trPr>
        <w:tc>
          <w:tcPr>
            <w:tcW w:w="3000" w:type="dxa"/>
            <w:vAlign w:val="bottom"/>
          </w:tcPr>
          <w:p>
            <w:pPr>
              <w:ind w:left="360"/>
              <w:spacing w:after="0"/>
              <w:rPr>
                <w:sz w:val="20"/>
                <w:szCs w:val="20"/>
                <w:color w:val="auto"/>
              </w:rPr>
            </w:pPr>
            <w:r>
              <w:rPr>
                <w:rFonts w:ascii="Arial" w:cs="Arial" w:eastAsia="Arial" w:hAnsi="Arial"/>
                <w:sz w:val="18"/>
                <w:szCs w:val="18"/>
                <w:color w:val="auto"/>
                <w:w w:val="95"/>
              </w:rPr>
              <w:t>Selling, general and administrative</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81"/>
              <w:spacing w:after="0"/>
              <w:rPr>
                <w:sz w:val="20"/>
                <w:szCs w:val="20"/>
                <w:color w:val="auto"/>
              </w:rPr>
            </w:pPr>
            <w:r>
              <w:rPr>
                <w:rFonts w:ascii="Arial" w:cs="Arial" w:eastAsia="Arial" w:hAnsi="Arial"/>
                <w:sz w:val="18"/>
                <w:szCs w:val="18"/>
                <w:color w:val="auto"/>
              </w:rPr>
              <w:t>460,627</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gridSpan w:val="2"/>
          </w:tcPr>
          <w:p>
            <w:pPr>
              <w:jc w:val="right"/>
              <w:ind w:right="181"/>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40" w:type="dxa"/>
            <w:vAlign w:val="bottom"/>
            <w:gridSpan w:val="2"/>
          </w:tcPr>
          <w:p>
            <w:pPr>
              <w:jc w:val="right"/>
              <w:ind w:right="260"/>
              <w:spacing w:after="0"/>
              <w:rPr>
                <w:sz w:val="20"/>
                <w:szCs w:val="20"/>
                <w:color w:val="auto"/>
              </w:rPr>
            </w:pPr>
            <w:r>
              <w:rPr>
                <w:rFonts w:ascii="Arial" w:cs="Arial" w:eastAsia="Arial" w:hAnsi="Arial"/>
                <w:sz w:val="18"/>
                <w:szCs w:val="18"/>
                <w:color w:val="auto"/>
              </w:rPr>
              <w:t>29,031</w:t>
            </w:r>
          </w:p>
        </w:tc>
        <w:tc>
          <w:tcPr>
            <w:tcW w:w="100" w:type="dxa"/>
            <w:vAlign w:val="bottom"/>
          </w:tcPr>
          <w:p>
            <w:pPr>
              <w:spacing w:after="0"/>
              <w:rPr>
                <w:sz w:val="18"/>
                <w:szCs w:val="18"/>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(72,517)</w:t>
            </w:r>
          </w:p>
        </w:tc>
        <w:tc>
          <w:tcPr>
            <w:tcW w:w="680" w:type="dxa"/>
            <w:vAlign w:val="bottom"/>
            <w:gridSpan w:val="2"/>
          </w:tcPr>
          <w:p>
            <w:pPr>
              <w:ind w:left="100"/>
              <w:spacing w:after="0"/>
              <w:rPr>
                <w:sz w:val="20"/>
                <w:szCs w:val="20"/>
                <w:color w:val="auto"/>
              </w:rPr>
            </w:pPr>
            <w:r>
              <w:rPr>
                <w:rFonts w:ascii="Arial" w:cs="Arial" w:eastAsia="Arial" w:hAnsi="Arial"/>
                <w:sz w:val="18"/>
                <w:szCs w:val="18"/>
                <w:color w:val="auto"/>
              </w:rPr>
              <w:t>7(c)</w:t>
            </w:r>
          </w:p>
        </w:tc>
        <w:tc>
          <w:tcPr>
            <w:tcW w:w="1260" w:type="dxa"/>
            <w:vAlign w:val="bottom"/>
            <w:gridSpan w:val="2"/>
          </w:tcPr>
          <w:p>
            <w:pPr>
              <w:jc w:val="right"/>
              <w:ind w:right="461"/>
              <w:spacing w:after="0"/>
              <w:rPr>
                <w:sz w:val="20"/>
                <w:szCs w:val="20"/>
                <w:color w:val="auto"/>
              </w:rPr>
            </w:pPr>
            <w:r>
              <w:rPr>
                <w:rFonts w:ascii="Arial" w:cs="Arial" w:eastAsia="Arial" w:hAnsi="Arial"/>
                <w:sz w:val="18"/>
                <w:szCs w:val="18"/>
                <w:color w:val="auto"/>
              </w:rPr>
              <w:t>417,141</w:t>
            </w:r>
          </w:p>
        </w:tc>
        <w:tc>
          <w:tcPr>
            <w:tcW w:w="0" w:type="dxa"/>
            <w:vAlign w:val="bottom"/>
          </w:tcPr>
          <w:p>
            <w:pPr>
              <w:spacing w:after="0"/>
              <w:rPr>
                <w:sz w:val="1"/>
                <w:szCs w:val="1"/>
                <w:color w:val="auto"/>
              </w:rPr>
            </w:pPr>
          </w:p>
        </w:tc>
      </w:tr>
      <w:tr>
        <w:trPr>
          <w:trHeight w:val="216"/>
        </w:trPr>
        <w:tc>
          <w:tcPr>
            <w:tcW w:w="30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Sales and marketing</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1"/>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15,056</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(15,056)</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54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000" w:type="dxa"/>
            <w:vAlign w:val="bottom"/>
          </w:tcPr>
          <w:p>
            <w:pPr>
              <w:ind w:left="360"/>
              <w:spacing w:after="0"/>
              <w:rPr>
                <w:sz w:val="20"/>
                <w:szCs w:val="20"/>
                <w:color w:val="auto"/>
              </w:rPr>
            </w:pPr>
            <w:r>
              <w:rPr>
                <w:rFonts w:ascii="Arial" w:cs="Arial" w:eastAsia="Arial" w:hAnsi="Arial"/>
                <w:sz w:val="18"/>
                <w:szCs w:val="18"/>
                <w:color w:val="auto"/>
              </w:rPr>
              <w:t>General and administrative</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61"/>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gridSpan w:val="2"/>
          </w:tcPr>
          <w:p>
            <w:pPr>
              <w:jc w:val="right"/>
              <w:ind w:right="81"/>
              <w:spacing w:after="0"/>
              <w:rPr>
                <w:sz w:val="20"/>
                <w:szCs w:val="20"/>
                <w:color w:val="auto"/>
              </w:rPr>
            </w:pPr>
            <w:r>
              <w:rPr>
                <w:rFonts w:ascii="Arial" w:cs="Arial" w:eastAsia="Arial" w:hAnsi="Arial"/>
                <w:sz w:val="18"/>
                <w:szCs w:val="18"/>
                <w:color w:val="auto"/>
              </w:rPr>
              <w:t>13,975</w:t>
            </w: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40" w:type="dxa"/>
            <w:vAlign w:val="bottom"/>
            <w:gridSpan w:val="2"/>
          </w:tcPr>
          <w:p>
            <w:pPr>
              <w:jc w:val="right"/>
              <w:ind w:right="200"/>
              <w:spacing w:after="0"/>
              <w:rPr>
                <w:sz w:val="20"/>
                <w:szCs w:val="20"/>
                <w:color w:val="auto"/>
              </w:rPr>
            </w:pPr>
            <w:r>
              <w:rPr>
                <w:rFonts w:ascii="Arial" w:cs="Arial" w:eastAsia="Arial" w:hAnsi="Arial"/>
                <w:sz w:val="18"/>
                <w:szCs w:val="18"/>
                <w:color w:val="auto"/>
              </w:rPr>
              <w:t>(13,975)</w:t>
            </w:r>
          </w:p>
        </w:tc>
        <w:tc>
          <w:tcPr>
            <w:tcW w:w="100" w:type="dxa"/>
            <w:vAlign w:val="bottom"/>
          </w:tcPr>
          <w:p>
            <w:pPr>
              <w:spacing w:after="0"/>
              <w:rPr>
                <w:sz w:val="18"/>
                <w:szCs w:val="18"/>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2"/>
          </w:tcPr>
          <w:p>
            <w:pPr>
              <w:jc w:val="right"/>
              <w:ind w:right="54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0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Restructuring related charges</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25,180</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81"/>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61"/>
              <w:spacing w:after="0"/>
              <w:rPr>
                <w:sz w:val="20"/>
                <w:szCs w:val="20"/>
                <w:color w:val="auto"/>
              </w:rPr>
            </w:pPr>
            <w:r>
              <w:rPr>
                <w:rFonts w:ascii="Arial" w:cs="Arial" w:eastAsia="Arial" w:hAnsi="Arial"/>
                <w:sz w:val="18"/>
                <w:szCs w:val="18"/>
                <w:color w:val="auto"/>
              </w:rPr>
              <w:t>25,180</w:t>
            </w:r>
          </w:p>
        </w:tc>
        <w:tc>
          <w:tcPr>
            <w:tcW w:w="0" w:type="dxa"/>
            <w:vAlign w:val="bottom"/>
          </w:tcPr>
          <w:p>
            <w:pPr>
              <w:spacing w:after="0"/>
              <w:rPr>
                <w:sz w:val="1"/>
                <w:szCs w:val="1"/>
                <w:color w:val="auto"/>
              </w:rPr>
            </w:pPr>
          </w:p>
        </w:tc>
      </w:tr>
      <w:tr>
        <w:trPr>
          <w:trHeight w:val="230"/>
        </w:trPr>
        <w:tc>
          <w:tcPr>
            <w:tcW w:w="3000" w:type="dxa"/>
            <w:vAlign w:val="bottom"/>
          </w:tcPr>
          <w:p>
            <w:pPr>
              <w:spacing w:after="0"/>
              <w:rPr>
                <w:sz w:val="20"/>
                <w:szCs w:val="20"/>
                <w:color w:val="auto"/>
              </w:rPr>
            </w:pPr>
            <w:r>
              <w:rPr>
                <w:rFonts w:ascii="Arial" w:cs="Arial" w:eastAsia="Arial" w:hAnsi="Arial"/>
                <w:sz w:val="18"/>
                <w:szCs w:val="18"/>
                <w:color w:val="auto"/>
              </w:rPr>
              <w:t>Total operating expenses</w:t>
            </w:r>
          </w:p>
        </w:tc>
        <w:tc>
          <w:tcPr>
            <w:tcW w:w="1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1,138,950</w:t>
            </w:r>
          </w:p>
        </w:tc>
        <w:tc>
          <w:tcPr>
            <w:tcW w:w="1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20" w:type="dxa"/>
            <w:vAlign w:val="bottom"/>
            <w:tcBorders>
              <w:top w:val="single" w:sz="8" w:color="auto"/>
              <w:bottom w:val="single" w:sz="8" w:color="auto"/>
            </w:tcBorders>
          </w:tcPr>
          <w:p>
            <w:pPr>
              <w:spacing w:after="0"/>
              <w:rPr>
                <w:sz w:val="20"/>
                <w:szCs w:val="20"/>
                <w:color w:val="auto"/>
              </w:rPr>
            </w:pP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95,095</w:t>
            </w:r>
          </w:p>
        </w:tc>
        <w:tc>
          <w:tcPr>
            <w:tcW w:w="1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80" w:type="dxa"/>
            <w:vAlign w:val="bottom"/>
            <w:tcBorders>
              <w:top w:val="single" w:sz="8" w:color="auto"/>
              <w:bottom w:val="single" w:sz="8" w:color="auto"/>
            </w:tcBorders>
          </w:tcPr>
          <w:p>
            <w:pPr>
              <w:ind w:left="6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20" w:type="dxa"/>
            <w:vAlign w:val="bottom"/>
            <w:tcBorders>
              <w:top w:val="single" w:sz="8" w:color="auto"/>
              <w:bottom w:val="single" w:sz="8" w:color="auto"/>
            </w:tcBorders>
          </w:tcPr>
          <w:p>
            <w:pPr>
              <w:spacing w:after="0"/>
              <w:rPr>
                <w:sz w:val="20"/>
                <w:szCs w:val="20"/>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(94,700)</w:t>
            </w:r>
          </w:p>
        </w:tc>
        <w:tc>
          <w:tcPr>
            <w:tcW w:w="16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1,139,345</w:t>
            </w:r>
          </w:p>
        </w:tc>
        <w:tc>
          <w:tcPr>
            <w:tcW w:w="5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Operating loss</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w w:val="98"/>
              </w:rPr>
              <w:t>(348,979)</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(17,162)</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208,750</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01"/>
              <w:spacing w:after="0"/>
              <w:rPr>
                <w:sz w:val="20"/>
                <w:szCs w:val="20"/>
                <w:color w:val="auto"/>
              </w:rPr>
            </w:pPr>
            <w:r>
              <w:rPr>
                <w:rFonts w:ascii="Arial" w:cs="Arial" w:eastAsia="Arial" w:hAnsi="Arial"/>
                <w:sz w:val="18"/>
                <w:szCs w:val="18"/>
                <w:color w:val="auto"/>
                <w:w w:val="98"/>
              </w:rPr>
              <w:t>(157,391)</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20"/>
                <w:szCs w:val="20"/>
                <w:color w:val="auto"/>
              </w:rPr>
            </w:pPr>
            <w:r>
              <w:rPr>
                <w:rFonts w:ascii="Arial" w:cs="Arial" w:eastAsia="Arial" w:hAnsi="Arial"/>
                <w:sz w:val="18"/>
                <w:szCs w:val="18"/>
                <w:b w:val="1"/>
                <w:bCs w:val="1"/>
                <w:color w:val="auto"/>
              </w:rPr>
              <w:t>Other income (expense):</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Interest expense</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(68,955)</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(6,658)</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(4,752)</w:t>
            </w:r>
          </w:p>
        </w:tc>
        <w:tc>
          <w:tcPr>
            <w:tcW w:w="580" w:type="dxa"/>
            <w:vAlign w:val="bottom"/>
            <w:shd w:val="clear" w:color="auto" w:fill="CCEEFF"/>
          </w:tcPr>
          <w:p>
            <w:pPr>
              <w:ind w:left="100"/>
              <w:spacing w:after="0"/>
              <w:rPr>
                <w:sz w:val="20"/>
                <w:szCs w:val="20"/>
                <w:color w:val="auto"/>
              </w:rPr>
            </w:pPr>
            <w:r>
              <w:rPr>
                <w:rFonts w:ascii="Arial" w:cs="Arial" w:eastAsia="Arial" w:hAnsi="Arial"/>
                <w:sz w:val="18"/>
                <w:szCs w:val="18"/>
                <w:color w:val="auto"/>
              </w:rPr>
              <w:t>6(a)</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12,463</w:t>
            </w:r>
          </w:p>
        </w:tc>
        <w:tc>
          <w:tcPr>
            <w:tcW w:w="68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rPr>
              <w:t>7(d)</w:t>
            </w:r>
          </w:p>
        </w:tc>
        <w:tc>
          <w:tcPr>
            <w:tcW w:w="1260" w:type="dxa"/>
            <w:vAlign w:val="bottom"/>
            <w:gridSpan w:val="2"/>
            <w:shd w:val="clear" w:color="auto" w:fill="CCEEFF"/>
          </w:tcPr>
          <w:p>
            <w:pPr>
              <w:jc w:val="right"/>
              <w:ind w:right="401"/>
              <w:spacing w:after="0"/>
              <w:rPr>
                <w:sz w:val="20"/>
                <w:szCs w:val="20"/>
                <w:color w:val="auto"/>
              </w:rPr>
            </w:pPr>
            <w:r>
              <w:rPr>
                <w:rFonts w:ascii="Arial" w:cs="Arial" w:eastAsia="Arial" w:hAnsi="Arial"/>
                <w:sz w:val="18"/>
                <w:szCs w:val="18"/>
                <w:color w:val="auto"/>
              </w:rPr>
              <w:t>(67,902)</w:t>
            </w:r>
          </w:p>
        </w:tc>
        <w:tc>
          <w:tcPr>
            <w:tcW w:w="0" w:type="dxa"/>
            <w:vAlign w:val="bottom"/>
          </w:tcPr>
          <w:p>
            <w:pPr>
              <w:spacing w:after="0"/>
              <w:rPr>
                <w:sz w:val="1"/>
                <w:szCs w:val="1"/>
                <w:color w:val="auto"/>
              </w:rPr>
            </w:pPr>
          </w:p>
        </w:tc>
      </w:tr>
      <w:tr>
        <w:trPr>
          <w:trHeight w:val="216"/>
        </w:trPr>
        <w:tc>
          <w:tcPr>
            <w:tcW w:w="3000" w:type="dxa"/>
            <w:vAlign w:val="bottom"/>
          </w:tcPr>
          <w:p>
            <w:pPr>
              <w:ind w:left="360"/>
              <w:spacing w:after="0"/>
              <w:rPr>
                <w:sz w:val="20"/>
                <w:szCs w:val="20"/>
                <w:color w:val="auto"/>
              </w:rPr>
            </w:pPr>
            <w:r>
              <w:rPr>
                <w:rFonts w:ascii="Arial" w:cs="Arial" w:eastAsia="Arial" w:hAnsi="Arial"/>
                <w:sz w:val="18"/>
                <w:szCs w:val="18"/>
                <w:color w:val="auto"/>
              </w:rPr>
              <w:t>Interest income</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81"/>
              <w:spacing w:after="0"/>
              <w:rPr>
                <w:sz w:val="20"/>
                <w:szCs w:val="20"/>
                <w:color w:val="auto"/>
              </w:rPr>
            </w:pPr>
            <w:r>
              <w:rPr>
                <w:rFonts w:ascii="Arial" w:cs="Arial" w:eastAsia="Arial" w:hAnsi="Arial"/>
                <w:sz w:val="18"/>
                <w:szCs w:val="18"/>
                <w:color w:val="auto"/>
              </w:rPr>
              <w:t>372</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gridSpan w:val="2"/>
          </w:tcPr>
          <w:p>
            <w:pPr>
              <w:jc w:val="right"/>
              <w:ind w:right="181"/>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40" w:type="dxa"/>
            <w:vAlign w:val="bottom"/>
            <w:gridSpan w:val="2"/>
          </w:tcPr>
          <w:p>
            <w:pPr>
              <w:ind w:left="620"/>
              <w:spacing w:after="0"/>
              <w:rPr>
                <w:sz w:val="20"/>
                <w:szCs w:val="20"/>
                <w:color w:val="auto"/>
              </w:rPr>
            </w:pPr>
            <w:r>
              <w:rPr>
                <w:rFonts w:ascii="Arial" w:cs="Arial" w:eastAsia="Arial" w:hAnsi="Arial"/>
                <w:sz w:val="18"/>
                <w:szCs w:val="18"/>
                <w:color w:val="auto"/>
              </w:rPr>
              <w:t>481</w:t>
            </w:r>
          </w:p>
        </w:tc>
        <w:tc>
          <w:tcPr>
            <w:tcW w:w="100" w:type="dxa"/>
            <w:vAlign w:val="bottom"/>
          </w:tcPr>
          <w:p>
            <w:pPr>
              <w:spacing w:after="0"/>
              <w:rPr>
                <w:sz w:val="18"/>
                <w:szCs w:val="18"/>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2"/>
          </w:tcPr>
          <w:p>
            <w:pPr>
              <w:jc w:val="right"/>
              <w:ind w:right="461"/>
              <w:spacing w:after="0"/>
              <w:rPr>
                <w:sz w:val="20"/>
                <w:szCs w:val="20"/>
                <w:color w:val="auto"/>
              </w:rPr>
            </w:pPr>
            <w:r>
              <w:rPr>
                <w:rFonts w:ascii="Arial" w:cs="Arial" w:eastAsia="Arial" w:hAnsi="Arial"/>
                <w:sz w:val="18"/>
                <w:szCs w:val="18"/>
                <w:color w:val="auto"/>
              </w:rPr>
              <w:t>853</w:t>
            </w:r>
          </w:p>
        </w:tc>
        <w:tc>
          <w:tcPr>
            <w:tcW w:w="0" w:type="dxa"/>
            <w:vAlign w:val="bottom"/>
          </w:tcPr>
          <w:p>
            <w:pPr>
              <w:spacing w:after="0"/>
              <w:rPr>
                <w:sz w:val="1"/>
                <w:szCs w:val="1"/>
                <w:color w:val="auto"/>
              </w:rPr>
            </w:pPr>
          </w:p>
        </w:tc>
      </w:tr>
      <w:tr>
        <w:trPr>
          <w:trHeight w:val="216"/>
        </w:trPr>
        <w:tc>
          <w:tcPr>
            <w:tcW w:w="30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 income, net</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(431)</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8,054</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(481)</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61"/>
              <w:spacing w:after="0"/>
              <w:rPr>
                <w:sz w:val="20"/>
                <w:szCs w:val="20"/>
                <w:color w:val="auto"/>
              </w:rPr>
            </w:pPr>
            <w:r>
              <w:rPr>
                <w:rFonts w:ascii="Arial" w:cs="Arial" w:eastAsia="Arial" w:hAnsi="Arial"/>
                <w:sz w:val="18"/>
                <w:szCs w:val="18"/>
                <w:color w:val="auto"/>
              </w:rPr>
              <w:t>7,142</w:t>
            </w:r>
          </w:p>
        </w:tc>
        <w:tc>
          <w:tcPr>
            <w:tcW w:w="0" w:type="dxa"/>
            <w:vAlign w:val="bottom"/>
          </w:tcPr>
          <w:p>
            <w:pPr>
              <w:spacing w:after="0"/>
              <w:rPr>
                <w:sz w:val="1"/>
                <w:szCs w:val="1"/>
                <w:color w:val="auto"/>
              </w:rPr>
            </w:pPr>
          </w:p>
        </w:tc>
      </w:tr>
      <w:tr>
        <w:trPr>
          <w:trHeight w:val="223"/>
        </w:trPr>
        <w:tc>
          <w:tcPr>
            <w:tcW w:w="3000" w:type="dxa"/>
            <w:vAlign w:val="bottom"/>
          </w:tcPr>
          <w:p>
            <w:pPr>
              <w:spacing w:after="0"/>
              <w:rPr>
                <w:sz w:val="20"/>
                <w:szCs w:val="20"/>
                <w:color w:val="auto"/>
              </w:rPr>
            </w:pPr>
            <w:r>
              <w:rPr>
                <w:rFonts w:ascii="Arial" w:cs="Arial" w:eastAsia="Arial" w:hAnsi="Arial"/>
                <w:sz w:val="18"/>
                <w:szCs w:val="18"/>
                <w:color w:val="auto"/>
              </w:rPr>
              <w:t>Loss before income taxes</w:t>
            </w: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0"/>
              </w:rPr>
              <w:t>(417,993)</w:t>
            </w: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Borders>
              <w:top w:val="single" w:sz="8" w:color="auto"/>
            </w:tcBorders>
          </w:tcPr>
          <w:p>
            <w:pPr>
              <w:spacing w:after="0"/>
              <w:rPr>
                <w:sz w:val="19"/>
                <w:szCs w:val="19"/>
                <w:color w:val="auto"/>
              </w:rPr>
            </w:pPr>
          </w:p>
        </w:tc>
        <w:tc>
          <w:tcPr>
            <w:tcW w:w="6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5"/>
              </w:rPr>
              <w:t>(15,766)</w:t>
            </w: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80" w:type="dxa"/>
            <w:vAlign w:val="bottom"/>
            <w:tcBorders>
              <w:top w:val="single" w:sz="8" w:color="auto"/>
            </w:tcBorders>
          </w:tcPr>
          <w:p>
            <w:pPr>
              <w:ind w:left="6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(4,752)</w:t>
            </w:r>
          </w:p>
        </w:tc>
        <w:tc>
          <w:tcPr>
            <w:tcW w:w="1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221,213</w:t>
            </w:r>
          </w:p>
        </w:tc>
        <w:tc>
          <w:tcPr>
            <w:tcW w:w="1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0"/>
              </w:rPr>
              <w:t>(217,298)</w:t>
            </w:r>
          </w:p>
        </w:tc>
        <w:tc>
          <w:tcPr>
            <w:tcW w:w="5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(53,323)</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1,093</w:t>
            </w: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(9,279)</w:t>
            </w:r>
          </w:p>
        </w:tc>
        <w:tc>
          <w:tcPr>
            <w:tcW w:w="580" w:type="dxa"/>
            <w:vAlign w:val="bottom"/>
            <w:shd w:val="clear" w:color="auto" w:fill="CCEEFF"/>
          </w:tcPr>
          <w:p>
            <w:pPr>
              <w:ind w:left="100"/>
              <w:spacing w:after="0"/>
              <w:rPr>
                <w:sz w:val="20"/>
                <w:szCs w:val="20"/>
                <w:color w:val="auto"/>
              </w:rPr>
            </w:pPr>
            <w:r>
              <w:rPr>
                <w:rFonts w:ascii="Arial" w:cs="Arial" w:eastAsia="Arial" w:hAnsi="Arial"/>
                <w:sz w:val="18"/>
                <w:szCs w:val="18"/>
                <w:color w:val="auto"/>
              </w:rPr>
              <w:t>6(b)</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35,951</w:t>
            </w:r>
          </w:p>
        </w:tc>
        <w:tc>
          <w:tcPr>
            <w:tcW w:w="68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rPr>
              <w:t>7(e)</w:t>
            </w:r>
          </w:p>
        </w:tc>
        <w:tc>
          <w:tcPr>
            <w:tcW w:w="1260" w:type="dxa"/>
            <w:vAlign w:val="bottom"/>
            <w:gridSpan w:val="2"/>
            <w:shd w:val="clear" w:color="auto" w:fill="CCEEFF"/>
          </w:tcPr>
          <w:p>
            <w:pPr>
              <w:jc w:val="right"/>
              <w:ind w:right="401"/>
              <w:spacing w:after="0"/>
              <w:rPr>
                <w:sz w:val="20"/>
                <w:szCs w:val="20"/>
                <w:color w:val="auto"/>
              </w:rPr>
            </w:pPr>
            <w:r>
              <w:rPr>
                <w:rFonts w:ascii="Arial" w:cs="Arial" w:eastAsia="Arial" w:hAnsi="Arial"/>
                <w:sz w:val="18"/>
                <w:szCs w:val="18"/>
                <w:color w:val="auto"/>
              </w:rPr>
              <w:t>(25,558)</w:t>
            </w:r>
          </w:p>
        </w:tc>
        <w:tc>
          <w:tcPr>
            <w:tcW w:w="0" w:type="dxa"/>
            <w:vAlign w:val="bottom"/>
          </w:tcPr>
          <w:p>
            <w:pPr>
              <w:spacing w:after="0"/>
              <w:rPr>
                <w:sz w:val="1"/>
                <w:szCs w:val="1"/>
                <w:color w:val="auto"/>
              </w:rPr>
            </w:pPr>
          </w:p>
        </w:tc>
      </w:tr>
      <w:tr>
        <w:trPr>
          <w:trHeight w:val="223"/>
        </w:trPr>
        <w:tc>
          <w:tcPr>
            <w:tcW w:w="3000" w:type="dxa"/>
            <w:vAlign w:val="bottom"/>
          </w:tcPr>
          <w:p>
            <w:pPr>
              <w:spacing w:after="0"/>
              <w:rPr>
                <w:sz w:val="20"/>
                <w:szCs w:val="20"/>
                <w:color w:val="auto"/>
              </w:rPr>
            </w:pPr>
            <w:r>
              <w:rPr>
                <w:rFonts w:ascii="Arial" w:cs="Arial" w:eastAsia="Arial" w:hAnsi="Arial"/>
                <w:sz w:val="18"/>
                <w:szCs w:val="18"/>
                <w:b w:val="1"/>
                <w:bCs w:val="1"/>
                <w:color w:val="auto"/>
              </w:rPr>
              <w:t>Net loss</w:t>
            </w: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b w:val="1"/>
                <w:bCs w:val="1"/>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w w:val="98"/>
              </w:rPr>
              <w:t>(364,670</w:t>
            </w:r>
          </w:p>
        </w:tc>
        <w:tc>
          <w:tcPr>
            <w:tcW w:w="160" w:type="dxa"/>
            <w:vAlign w:val="bottom"/>
          </w:tcPr>
          <w:p>
            <w:pPr>
              <w:jc w:val="right"/>
              <w:ind w:right="21"/>
              <w:spacing w:after="0"/>
              <w:rPr>
                <w:sz w:val="20"/>
                <w:szCs w:val="20"/>
                <w:color w:val="auto"/>
              </w:rPr>
            </w:pPr>
            <w:r>
              <w:rPr>
                <w:rFonts w:ascii="Arial" w:cs="Arial" w:eastAsia="Arial" w:hAnsi="Arial"/>
                <w:sz w:val="16"/>
                <w:szCs w:val="16"/>
                <w:b w:val="1"/>
                <w:bCs w:val="1"/>
                <w:color w:val="auto"/>
                <w:w w:val="74"/>
              </w:rPr>
              <w:t>)</w:t>
            </w:r>
          </w:p>
        </w:tc>
        <w:tc>
          <w:tcPr>
            <w:tcW w:w="100" w:type="dxa"/>
            <w:vAlign w:val="bottom"/>
          </w:tcPr>
          <w:p>
            <w:pPr>
              <w:spacing w:after="0"/>
              <w:rPr>
                <w:sz w:val="19"/>
                <w:szCs w:val="19"/>
                <w:color w:val="auto"/>
              </w:rPr>
            </w:pPr>
          </w:p>
        </w:tc>
        <w:tc>
          <w:tcPr>
            <w:tcW w:w="220" w:type="dxa"/>
            <w:vAlign w:val="bottom"/>
            <w:tcBorders>
              <w:top w:val="single" w:sz="8" w:color="auto"/>
              <w:bottom w:val="single" w:sz="8" w:color="auto"/>
            </w:tcBorders>
          </w:tcPr>
          <w:p>
            <w:pPr>
              <w:jc w:val="right"/>
              <w:ind w:right="42"/>
              <w:spacing w:after="0"/>
              <w:rPr>
                <w:sz w:val="20"/>
                <w:szCs w:val="20"/>
                <w:color w:val="auto"/>
              </w:rPr>
            </w:pPr>
            <w:r>
              <w:rPr>
                <w:rFonts w:ascii="Arial" w:cs="Arial" w:eastAsia="Arial" w:hAnsi="Arial"/>
                <w:sz w:val="18"/>
                <w:szCs w:val="18"/>
                <w:b w:val="1"/>
                <w:bCs w:val="1"/>
                <w:color w:val="auto"/>
                <w:w w:val="79"/>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rPr>
              <w:t>(16,859</w:t>
            </w:r>
          </w:p>
        </w:tc>
        <w:tc>
          <w:tcPr>
            <w:tcW w:w="160" w:type="dxa"/>
            <w:vAlign w:val="bottom"/>
          </w:tcPr>
          <w:p>
            <w:pPr>
              <w:jc w:val="right"/>
              <w:ind w:right="21"/>
              <w:spacing w:after="0"/>
              <w:rPr>
                <w:sz w:val="20"/>
                <w:szCs w:val="20"/>
                <w:color w:val="auto"/>
              </w:rPr>
            </w:pPr>
            <w:r>
              <w:rPr>
                <w:rFonts w:ascii="Arial" w:cs="Arial" w:eastAsia="Arial" w:hAnsi="Arial"/>
                <w:sz w:val="16"/>
                <w:szCs w:val="16"/>
                <w:b w:val="1"/>
                <w:bCs w:val="1"/>
                <w:color w:val="auto"/>
                <w:w w:val="74"/>
              </w:rPr>
              <w:t>)</w:t>
            </w:r>
          </w:p>
        </w:tc>
        <w:tc>
          <w:tcPr>
            <w:tcW w:w="100" w:type="dxa"/>
            <w:vAlign w:val="bottom"/>
          </w:tcPr>
          <w:p>
            <w:pPr>
              <w:spacing w:after="0"/>
              <w:rPr>
                <w:sz w:val="19"/>
                <w:szCs w:val="19"/>
                <w:color w:val="auto"/>
              </w:rPr>
            </w:pP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b w:val="1"/>
                <w:bCs w:val="1"/>
                <w:color w:val="auto"/>
                <w:w w:val="71"/>
              </w:rPr>
              <w:t>$</w:t>
            </w:r>
          </w:p>
        </w:tc>
        <w:tc>
          <w:tcPr>
            <w:tcW w:w="880" w:type="dxa"/>
            <w:vAlign w:val="bottom"/>
            <w:tcBorders>
              <w:top w:val="single" w:sz="8" w:color="auto"/>
              <w:bottom w:val="single" w:sz="8" w:color="auto"/>
            </w:tcBorders>
          </w:tcPr>
          <w:p>
            <w:pPr>
              <w:ind w:left="620"/>
              <w:spacing w:after="0"/>
              <w:rPr>
                <w:sz w:val="20"/>
                <w:szCs w:val="20"/>
                <w:color w:val="auto"/>
              </w:rPr>
            </w:pPr>
            <w:r>
              <w:rPr>
                <w:rFonts w:ascii="Arial" w:cs="Arial" w:eastAsia="Arial" w:hAnsi="Arial"/>
                <w:sz w:val="18"/>
                <w:szCs w:val="18"/>
                <w:b w:val="1"/>
                <w:bCs w:val="1"/>
                <w:color w:val="auto"/>
              </w:rPr>
              <w:t>—</w:t>
            </w:r>
          </w:p>
        </w:tc>
        <w:tc>
          <w:tcPr>
            <w:tcW w:w="26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b w:val="1"/>
                <w:bCs w:val="1"/>
                <w:color w:val="auto"/>
                <w:w w:val="79"/>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rPr>
              <w:t>4,527</w:t>
            </w:r>
          </w:p>
        </w:tc>
        <w:tc>
          <w:tcPr>
            <w:tcW w:w="1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w w:val="79"/>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rPr>
              <w:t>185,262</w:t>
            </w:r>
          </w:p>
        </w:tc>
        <w:tc>
          <w:tcPr>
            <w:tcW w:w="1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b w:val="1"/>
                <w:bCs w:val="1"/>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w w:val="98"/>
              </w:rPr>
              <w:t>(191,740</w:t>
            </w:r>
          </w:p>
        </w:tc>
        <w:tc>
          <w:tcPr>
            <w:tcW w:w="540" w:type="dxa"/>
            <w:vAlign w:val="bottom"/>
          </w:tcPr>
          <w:p>
            <w:pPr>
              <w:jc w:val="right"/>
              <w:ind w:right="401"/>
              <w:spacing w:after="0"/>
              <w:rPr>
                <w:sz w:val="20"/>
                <w:szCs w:val="20"/>
                <w:color w:val="auto"/>
              </w:rPr>
            </w:pPr>
            <w:r>
              <w:rPr>
                <w:rFonts w:ascii="Arial" w:cs="Arial" w:eastAsia="Arial" w:hAnsi="Arial"/>
                <w:sz w:val="16"/>
                <w:szCs w:val="16"/>
                <w:b w:val="1"/>
                <w:bCs w:val="1"/>
                <w:color w:val="auto"/>
                <w:w w:val="74"/>
              </w:rPr>
              <w:t>)</w:t>
            </w:r>
          </w:p>
        </w:tc>
        <w:tc>
          <w:tcPr>
            <w:tcW w:w="0" w:type="dxa"/>
            <w:vAlign w:val="bottom"/>
          </w:tcPr>
          <w:p>
            <w:pPr>
              <w:spacing w:after="0"/>
              <w:rPr>
                <w:sz w:val="1"/>
                <w:szCs w:val="1"/>
                <w:color w:val="auto"/>
              </w:rPr>
            </w:pPr>
          </w:p>
        </w:tc>
      </w:tr>
      <w:tr>
        <w:trPr>
          <w:trHeight w:val="20"/>
        </w:trPr>
        <w:tc>
          <w:tcPr>
            <w:tcW w:w="30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Net loss per share:</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0" w:type="dxa"/>
            <w:vAlign w:val="bottom"/>
          </w:tcPr>
          <w:p>
            <w:pPr>
              <w:ind w:left="360"/>
              <w:spacing w:after="0"/>
              <w:rPr>
                <w:sz w:val="20"/>
                <w:szCs w:val="20"/>
                <w:color w:val="auto"/>
              </w:rPr>
            </w:pPr>
            <w:r>
              <w:rPr>
                <w:rFonts w:ascii="Arial" w:cs="Arial" w:eastAsia="Arial" w:hAnsi="Arial"/>
                <w:sz w:val="18"/>
                <w:szCs w:val="18"/>
                <w:color w:val="auto"/>
              </w:rPr>
              <w:t>Basic</w:t>
            </w:r>
          </w:p>
        </w:tc>
        <w:tc>
          <w:tcPr>
            <w:tcW w:w="240" w:type="dxa"/>
            <w:vAlign w:val="bottom"/>
            <w:gridSpan w:val="2"/>
          </w:tcPr>
          <w:p>
            <w:pPr>
              <w:ind w:left="140"/>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21"/>
              <w:spacing w:after="0"/>
              <w:rPr>
                <w:sz w:val="20"/>
                <w:szCs w:val="20"/>
                <w:color w:val="auto"/>
              </w:rPr>
            </w:pPr>
            <w:r>
              <w:rPr>
                <w:rFonts w:ascii="Arial" w:cs="Arial" w:eastAsia="Arial" w:hAnsi="Arial"/>
                <w:sz w:val="18"/>
                <w:szCs w:val="18"/>
                <w:color w:val="auto"/>
              </w:rPr>
              <w:t>(0.48)</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gridSpan w:val="2"/>
          </w:tcPr>
          <w:p>
            <w:pPr>
              <w:ind w:left="580"/>
              <w:spacing w:after="0"/>
              <w:rPr>
                <w:sz w:val="20"/>
                <w:szCs w:val="20"/>
                <w:color w:val="auto"/>
              </w:rPr>
            </w:pPr>
            <w:r>
              <w:rPr>
                <w:rFonts w:ascii="Arial" w:cs="Arial" w:eastAsia="Arial" w:hAnsi="Arial"/>
                <w:sz w:val="18"/>
                <w:szCs w:val="18"/>
                <w:color w:val="auto"/>
                <w:w w:val="79"/>
              </w:rPr>
              <w:t>$</w:t>
            </w:r>
          </w:p>
        </w:tc>
        <w:tc>
          <w:tcPr>
            <w:tcW w:w="1260" w:type="dxa"/>
            <w:vAlign w:val="bottom"/>
            <w:gridSpan w:val="2"/>
          </w:tcPr>
          <w:p>
            <w:pPr>
              <w:jc w:val="right"/>
              <w:ind w:right="401"/>
              <w:spacing w:after="0"/>
              <w:rPr>
                <w:sz w:val="20"/>
                <w:szCs w:val="20"/>
                <w:color w:val="auto"/>
              </w:rPr>
            </w:pPr>
            <w:r>
              <w:rPr>
                <w:rFonts w:ascii="Arial" w:cs="Arial" w:eastAsia="Arial" w:hAnsi="Arial"/>
                <w:sz w:val="18"/>
                <w:szCs w:val="18"/>
                <w:color w:val="auto"/>
              </w:rPr>
              <w:t>(0.23)</w:t>
            </w:r>
          </w:p>
        </w:tc>
        <w:tc>
          <w:tcPr>
            <w:tcW w:w="0" w:type="dxa"/>
            <w:vAlign w:val="bottom"/>
          </w:tcPr>
          <w:p>
            <w:pPr>
              <w:spacing w:after="0"/>
              <w:rPr>
                <w:sz w:val="1"/>
                <w:szCs w:val="1"/>
                <w:color w:val="auto"/>
              </w:rPr>
            </w:pPr>
          </w:p>
        </w:tc>
      </w:tr>
      <w:tr>
        <w:trPr>
          <w:trHeight w:val="216"/>
        </w:trPr>
        <w:tc>
          <w:tcPr>
            <w:tcW w:w="30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Diluted</w:t>
            </w:r>
          </w:p>
        </w:tc>
        <w:tc>
          <w:tcPr>
            <w:tcW w:w="24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(0.48)</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w w:val="79"/>
              </w:rPr>
              <w:t>$</w:t>
            </w:r>
          </w:p>
        </w:tc>
        <w:tc>
          <w:tcPr>
            <w:tcW w:w="1260" w:type="dxa"/>
            <w:vAlign w:val="bottom"/>
            <w:gridSpan w:val="2"/>
            <w:shd w:val="clear" w:color="auto" w:fill="CCEEFF"/>
          </w:tcPr>
          <w:p>
            <w:pPr>
              <w:jc w:val="right"/>
              <w:ind w:right="401"/>
              <w:spacing w:after="0"/>
              <w:rPr>
                <w:sz w:val="20"/>
                <w:szCs w:val="20"/>
                <w:color w:val="auto"/>
              </w:rPr>
            </w:pPr>
            <w:r>
              <w:rPr>
                <w:rFonts w:ascii="Arial" w:cs="Arial" w:eastAsia="Arial" w:hAnsi="Arial"/>
                <w:sz w:val="18"/>
                <w:szCs w:val="18"/>
                <w:color w:val="auto"/>
              </w:rPr>
              <w:t>(0.23)</w:t>
            </w:r>
          </w:p>
        </w:tc>
        <w:tc>
          <w:tcPr>
            <w:tcW w:w="0" w:type="dxa"/>
            <w:vAlign w:val="bottom"/>
          </w:tcPr>
          <w:p>
            <w:pPr>
              <w:spacing w:after="0"/>
              <w:rPr>
                <w:sz w:val="1"/>
                <w:szCs w:val="1"/>
                <w:color w:val="auto"/>
              </w:rPr>
            </w:pPr>
          </w:p>
        </w:tc>
      </w:tr>
    </w:tbl>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600" w:type="dxa"/>
            <w:vAlign w:val="bottom"/>
          </w:tcPr>
          <w:p>
            <w:pPr>
              <w:spacing w:after="0"/>
              <w:rPr>
                <w:sz w:val="20"/>
                <w:szCs w:val="20"/>
                <w:color w:val="auto"/>
              </w:rPr>
            </w:pPr>
            <w:r>
              <w:rPr>
                <w:rFonts w:ascii="Arial" w:cs="Arial" w:eastAsia="Arial" w:hAnsi="Arial"/>
                <w:sz w:val="18"/>
                <w:szCs w:val="18"/>
                <w:color w:val="auto"/>
              </w:rPr>
              <w:t>Weighted average shares:</w:t>
            </w:r>
          </w:p>
        </w:tc>
        <w:tc>
          <w:tcPr>
            <w:tcW w:w="4340" w:type="dxa"/>
            <w:vAlign w:val="bottom"/>
          </w:tcPr>
          <w:p>
            <w:pPr>
              <w:spacing w:after="0"/>
              <w:rPr>
                <w:sz w:val="18"/>
                <w:szCs w:val="18"/>
                <w:color w:val="auto"/>
              </w:rPr>
            </w:pPr>
          </w:p>
        </w:tc>
        <w:tc>
          <w:tcPr>
            <w:tcW w:w="3680" w:type="dxa"/>
            <w:vAlign w:val="bottom"/>
          </w:tcPr>
          <w:p>
            <w:pPr>
              <w:spacing w:after="0"/>
              <w:rPr>
                <w:sz w:val="18"/>
                <w:szCs w:val="18"/>
                <w:color w:val="auto"/>
              </w:rPr>
            </w:pPr>
          </w:p>
        </w:tc>
        <w:tc>
          <w:tcPr>
            <w:tcW w:w="400" w:type="dxa"/>
            <w:vAlign w:val="bottom"/>
          </w:tcPr>
          <w:p>
            <w:pPr>
              <w:spacing w:after="0"/>
              <w:rPr>
                <w:sz w:val="18"/>
                <w:szCs w:val="18"/>
                <w:color w:val="auto"/>
              </w:rPr>
            </w:pPr>
          </w:p>
        </w:tc>
      </w:tr>
      <w:tr>
        <w:trPr>
          <w:trHeight w:val="216"/>
        </w:trPr>
        <w:tc>
          <w:tcPr>
            <w:tcW w:w="26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Basic</w:t>
            </w:r>
          </w:p>
        </w:tc>
        <w:tc>
          <w:tcPr>
            <w:tcW w:w="4340" w:type="dxa"/>
            <w:vAlign w:val="bottom"/>
            <w:shd w:val="clear" w:color="auto" w:fill="CCEEFF"/>
          </w:tcPr>
          <w:p>
            <w:pPr>
              <w:jc w:val="right"/>
              <w:ind w:right="2890"/>
              <w:spacing w:after="0"/>
              <w:rPr>
                <w:sz w:val="20"/>
                <w:szCs w:val="20"/>
                <w:color w:val="auto"/>
              </w:rPr>
            </w:pPr>
            <w:r>
              <w:rPr>
                <w:rFonts w:ascii="Arial" w:cs="Arial" w:eastAsia="Arial" w:hAnsi="Arial"/>
                <w:sz w:val="18"/>
                <w:szCs w:val="18"/>
                <w:color w:val="auto"/>
              </w:rPr>
              <w:t>757,205</w:t>
            </w:r>
          </w:p>
        </w:tc>
        <w:tc>
          <w:tcPr>
            <w:tcW w:w="368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820,682</w:t>
            </w:r>
          </w:p>
        </w:tc>
        <w:tc>
          <w:tcPr>
            <w:tcW w:w="40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6"/>
              </w:rPr>
              <w:t>7(f)</w:t>
            </w:r>
          </w:p>
        </w:tc>
      </w:tr>
      <w:tr>
        <w:trPr>
          <w:trHeight w:val="230"/>
        </w:trPr>
        <w:tc>
          <w:tcPr>
            <w:tcW w:w="2600" w:type="dxa"/>
            <w:vAlign w:val="bottom"/>
          </w:tcPr>
          <w:p>
            <w:pPr>
              <w:ind w:left="360"/>
              <w:spacing w:after="0"/>
              <w:rPr>
                <w:sz w:val="20"/>
                <w:szCs w:val="20"/>
                <w:color w:val="auto"/>
              </w:rPr>
            </w:pPr>
            <w:r>
              <w:rPr>
                <w:rFonts w:ascii="Arial" w:cs="Arial" w:eastAsia="Arial" w:hAnsi="Arial"/>
                <w:sz w:val="18"/>
                <w:szCs w:val="18"/>
                <w:color w:val="auto"/>
              </w:rPr>
              <w:t>Diluted</w:t>
            </w:r>
          </w:p>
        </w:tc>
        <w:tc>
          <w:tcPr>
            <w:tcW w:w="4340" w:type="dxa"/>
            <w:vAlign w:val="bottom"/>
          </w:tcPr>
          <w:p>
            <w:pPr>
              <w:jc w:val="right"/>
              <w:ind w:right="2890"/>
              <w:spacing w:after="0"/>
              <w:rPr>
                <w:sz w:val="20"/>
                <w:szCs w:val="20"/>
                <w:color w:val="auto"/>
              </w:rPr>
            </w:pPr>
            <w:r>
              <w:rPr>
                <w:rFonts w:ascii="Arial" w:cs="Arial" w:eastAsia="Arial" w:hAnsi="Arial"/>
                <w:sz w:val="18"/>
                <w:szCs w:val="18"/>
                <w:color w:val="auto"/>
              </w:rPr>
              <w:t>757,205</w:t>
            </w:r>
          </w:p>
        </w:tc>
        <w:tc>
          <w:tcPr>
            <w:tcW w:w="3680" w:type="dxa"/>
            <w:vAlign w:val="bottom"/>
          </w:tcPr>
          <w:p>
            <w:pPr>
              <w:jc w:val="right"/>
              <w:ind w:right="50"/>
              <w:spacing w:after="0"/>
              <w:rPr>
                <w:sz w:val="20"/>
                <w:szCs w:val="20"/>
                <w:color w:val="auto"/>
              </w:rPr>
            </w:pPr>
            <w:r>
              <w:rPr>
                <w:rFonts w:ascii="Arial" w:cs="Arial" w:eastAsia="Arial" w:hAnsi="Arial"/>
                <w:sz w:val="18"/>
                <w:szCs w:val="18"/>
                <w:color w:val="auto"/>
              </w:rPr>
              <w:t>820,682</w:t>
            </w:r>
          </w:p>
        </w:tc>
        <w:tc>
          <w:tcPr>
            <w:tcW w:w="400" w:type="dxa"/>
            <w:vAlign w:val="bottom"/>
          </w:tcPr>
          <w:p>
            <w:pPr>
              <w:ind w:left="120"/>
              <w:spacing w:after="0"/>
              <w:rPr>
                <w:sz w:val="20"/>
                <w:szCs w:val="20"/>
                <w:color w:val="auto"/>
              </w:rPr>
            </w:pPr>
            <w:r>
              <w:rPr>
                <w:rFonts w:ascii="Arial" w:cs="Arial" w:eastAsia="Arial" w:hAnsi="Arial"/>
                <w:sz w:val="18"/>
                <w:szCs w:val="18"/>
                <w:color w:val="auto"/>
                <w:w w:val="96"/>
              </w:rPr>
              <w:t>7(f)</w:t>
            </w:r>
          </w:p>
        </w:tc>
      </w:tr>
    </w:tbl>
    <w:p>
      <w:pPr>
        <w:spacing w:after="0" w:line="187"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See accompanying notes to unaudited pro forma condensed combined financial information.</w:t>
      </w:r>
    </w:p>
    <w:p>
      <w:pPr>
        <w:sectPr>
          <w:pgSz w:w="11900" w:h="16838" w:orient="portrait"/>
          <w:cols w:equalWidth="0" w:num="1">
            <w:col w:w="11020"/>
          </w:cols>
          <w:pgMar w:left="440" w:top="270" w:right="439" w:bottom="1440" w:gutter="0" w:footer="0" w:header="0"/>
        </w:sectPr>
      </w:pPr>
    </w:p>
    <w:bookmarkStart w:id="29" w:name="page30"/>
    <w:bookmarkEnd w:id="29"/>
    <w:p>
      <w:pPr>
        <w:jc w:val="center"/>
        <w:ind w:right="-3"/>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NOTES TO UNAUDITED PRO FORMA CONDENSED COMBINED FINANCIAL INFORMATION</w:t>
      </w:r>
    </w:p>
    <w:p>
      <w:pPr>
        <w:spacing w:after="0" w:line="252" w:lineRule="exact"/>
        <w:rPr>
          <w:sz w:val="20"/>
          <w:szCs w:val="20"/>
          <w:color w:val="auto"/>
        </w:rPr>
      </w:pPr>
    </w:p>
    <w:p>
      <w:pPr>
        <w:ind w:left="424" w:hanging="424"/>
        <w:spacing w:after="0"/>
        <w:tabs>
          <w:tab w:leader="none" w:pos="424" w:val="left"/>
        </w:tabs>
        <w:numPr>
          <w:ilvl w:val="0"/>
          <w:numId w:val="5"/>
        </w:numPr>
        <w:rPr>
          <w:rFonts w:ascii="Arial" w:cs="Arial" w:eastAsia="Arial" w:hAnsi="Arial"/>
          <w:sz w:val="18"/>
          <w:szCs w:val="18"/>
          <w:b w:val="1"/>
          <w:bCs w:val="1"/>
          <w:color w:val="auto"/>
        </w:rPr>
      </w:pPr>
      <w:r>
        <w:rPr>
          <w:rFonts w:ascii="Arial" w:cs="Arial" w:eastAsia="Arial" w:hAnsi="Arial"/>
          <w:sz w:val="18"/>
          <w:szCs w:val="18"/>
          <w:b w:val="1"/>
          <w:bCs w:val="1"/>
          <w:color w:val="auto"/>
        </w:rPr>
        <w:t>Description of the Inphi acquisition</w:t>
      </w:r>
    </w:p>
    <w:p>
      <w:pPr>
        <w:spacing w:after="0" w:line="121" w:lineRule="exact"/>
        <w:rPr>
          <w:sz w:val="20"/>
          <w:szCs w:val="20"/>
          <w:color w:val="auto"/>
        </w:rPr>
      </w:pPr>
    </w:p>
    <w:p>
      <w:pPr>
        <w:ind w:left="4" w:right="160"/>
        <w:spacing w:after="0" w:line="255" w:lineRule="auto"/>
        <w:rPr>
          <w:sz w:val="20"/>
          <w:szCs w:val="20"/>
          <w:color w:val="auto"/>
        </w:rPr>
      </w:pPr>
      <w:r>
        <w:rPr>
          <w:rFonts w:ascii="Arial" w:cs="Arial" w:eastAsia="Arial" w:hAnsi="Arial"/>
          <w:sz w:val="18"/>
          <w:szCs w:val="18"/>
          <w:color w:val="auto"/>
        </w:rPr>
        <w:t>On April 20, 2021, the Company completed the Inphi acquisition. In accordance with the terms of the Inphi Merger agreement dated as of October 29, 2020, the Company acquired all outstanding shares of common stock of Inphi for $66 per share in cash and 2.323 shares of the Company’s common stock exchanged for each share of Inphi common stock. The merger consideration paid in cash was funded with a combination of cash on hand and funds from the Company’s debt financing. In addition, upon the acquisition, Inphi’s outstanding equity awards were replaced by the Company’s equity awards with similar terms. See “Note 5 – Calculation of Merger Consideration and Purchase Price Allocation” and “Note 2 - Description of Debt Financing” for additional information.</w:t>
      </w:r>
    </w:p>
    <w:p>
      <w:pPr>
        <w:spacing w:after="0" w:line="337" w:lineRule="exact"/>
        <w:rPr>
          <w:sz w:val="20"/>
          <w:szCs w:val="20"/>
          <w:color w:val="auto"/>
        </w:rPr>
      </w:pPr>
    </w:p>
    <w:p>
      <w:pPr>
        <w:ind w:left="424" w:hanging="424"/>
        <w:spacing w:after="0"/>
        <w:tabs>
          <w:tab w:leader="none" w:pos="424" w:val="left"/>
        </w:tabs>
        <w:numPr>
          <w:ilvl w:val="0"/>
          <w:numId w:val="6"/>
        </w:numPr>
        <w:rPr>
          <w:rFonts w:ascii="Arial" w:cs="Arial" w:eastAsia="Arial" w:hAnsi="Arial"/>
          <w:sz w:val="18"/>
          <w:szCs w:val="18"/>
          <w:b w:val="1"/>
          <w:bCs w:val="1"/>
          <w:color w:val="auto"/>
        </w:rPr>
      </w:pPr>
      <w:r>
        <w:rPr>
          <w:rFonts w:ascii="Arial" w:cs="Arial" w:eastAsia="Arial" w:hAnsi="Arial"/>
          <w:sz w:val="18"/>
          <w:szCs w:val="18"/>
          <w:b w:val="1"/>
          <w:bCs w:val="1"/>
          <w:color w:val="auto"/>
        </w:rPr>
        <w:t>Description of the Debt Financing</w:t>
      </w:r>
    </w:p>
    <w:p>
      <w:pPr>
        <w:spacing w:after="0" w:line="121" w:lineRule="exact"/>
        <w:rPr>
          <w:sz w:val="20"/>
          <w:szCs w:val="20"/>
          <w:color w:val="auto"/>
        </w:rPr>
      </w:pPr>
    </w:p>
    <w:p>
      <w:pPr>
        <w:ind w:left="4" w:right="60"/>
        <w:spacing w:after="0" w:line="257" w:lineRule="auto"/>
        <w:rPr>
          <w:sz w:val="20"/>
          <w:szCs w:val="20"/>
          <w:color w:val="auto"/>
        </w:rPr>
      </w:pPr>
      <w:r>
        <w:rPr>
          <w:rFonts w:ascii="Arial" w:cs="Arial" w:eastAsia="Arial" w:hAnsi="Arial"/>
          <w:sz w:val="18"/>
          <w:szCs w:val="18"/>
          <w:color w:val="auto"/>
        </w:rPr>
        <w:t>As part of the acquisition, the Company assumed $15.7 million principal amount of Inphi’s 0.75% convertible senior notes due 2021 (the “Inphi 2021 Convertible Notes”) and $506.0 million principal amount of Inphi’s 0.75% convertible senior notes due 2025 (the “Inphi 2025 Convertible Notes”, and together with the Inphi 2021 Convertible Notes, the “Inphi Convertible Notes”). However, shortly after the acquisition, substantially all of the Inphi Convertible Notes were exchanged for cash and the Company’s common stock. The related pro forma adjustments related to the conversion of the notes are described at Note 7(d).</w:t>
      </w:r>
    </w:p>
    <w:p>
      <w:pPr>
        <w:spacing w:after="0" w:line="188" w:lineRule="exact"/>
        <w:rPr>
          <w:sz w:val="20"/>
          <w:szCs w:val="20"/>
          <w:color w:val="auto"/>
        </w:rPr>
      </w:pPr>
    </w:p>
    <w:p>
      <w:pPr>
        <w:jc w:val="both"/>
        <w:ind w:left="4" w:right="180"/>
        <w:spacing w:after="0" w:line="286" w:lineRule="auto"/>
        <w:rPr>
          <w:sz w:val="20"/>
          <w:szCs w:val="20"/>
          <w:color w:val="auto"/>
        </w:rPr>
      </w:pPr>
      <w:r>
        <w:rPr>
          <w:rFonts w:ascii="Arial" w:cs="Arial" w:eastAsia="Arial" w:hAnsi="Arial"/>
          <w:sz w:val="16"/>
          <w:szCs w:val="16"/>
          <w:color w:val="auto"/>
        </w:rPr>
        <w:t>In connection with the acquisition, the Company executed a series of financing arrangements to raise approximately $3.8 billion from December 2020 through April 2021 to fund the Inphi acquisition. In December 2020, the Company executed a debt agreement to obtain an $875.0 million 3-year term loan and an $875.0 million 5-year term loan. On April 12, 2021, the Company completed a debt offering and issued (i) $500.0 million of Senior Notes with a 5 year term due in 2026, (ii) $750.0 million of Senior Notes with a 7 year term due in 2028, and (iii) $750.0 million of Senior Notes with a</w:t>
      </w:r>
    </w:p>
    <w:p>
      <w:pPr>
        <w:spacing w:after="0" w:line="1" w:lineRule="exact"/>
        <w:rPr>
          <w:sz w:val="20"/>
          <w:szCs w:val="20"/>
          <w:color w:val="auto"/>
        </w:rPr>
      </w:pPr>
    </w:p>
    <w:p>
      <w:pPr>
        <w:ind w:left="4" w:right="380"/>
        <w:spacing w:after="0" w:line="255" w:lineRule="auto"/>
        <w:rPr>
          <w:sz w:val="20"/>
          <w:szCs w:val="20"/>
          <w:color w:val="auto"/>
        </w:rPr>
      </w:pPr>
      <w:r>
        <w:rPr>
          <w:rFonts w:ascii="Arial" w:cs="Arial" w:eastAsia="Arial" w:hAnsi="Arial"/>
          <w:sz w:val="18"/>
          <w:szCs w:val="18"/>
          <w:color w:val="auto"/>
        </w:rPr>
        <w:t>10 year term due in 2031. In addition, in conjunction with the U.S. domiciliation, the Company exchanged certain of its existing senior notes due in 2023 and 2028 that were previously issued by the Company’s former Bermuda-based parent company with like notes that are now issued by the Company’s new parent company domiciled in Delaware.</w:t>
      </w:r>
    </w:p>
    <w:p>
      <w:pPr>
        <w:spacing w:after="0" w:line="190" w:lineRule="exact"/>
        <w:rPr>
          <w:sz w:val="20"/>
          <w:szCs w:val="20"/>
          <w:color w:val="auto"/>
        </w:rPr>
      </w:pPr>
    </w:p>
    <w:p>
      <w:pPr>
        <w:ind w:left="4" w:right="320"/>
        <w:spacing w:after="0" w:line="259" w:lineRule="auto"/>
        <w:rPr>
          <w:sz w:val="20"/>
          <w:szCs w:val="20"/>
          <w:color w:val="auto"/>
        </w:rPr>
      </w:pPr>
      <w:r>
        <w:rPr>
          <w:rFonts w:ascii="Arial" w:cs="Arial" w:eastAsia="Arial" w:hAnsi="Arial"/>
          <w:sz w:val="18"/>
          <w:szCs w:val="18"/>
          <w:color w:val="auto"/>
        </w:rPr>
        <w:t>In April 2021, the Company also terminated a $2.5 billion bridge loan commitment. This bridge loan commitment was provided by the underwriting bankers at the time of the Inphi merger agreement execution in October 2020. The bridge loan was never drawn upon. The Company recognized a write-off of $11.4 million in capitalized debt issuance cost related to the termination of the bridge loan commitment during the quarter ended May 1, 2021.</w:t>
      </w:r>
    </w:p>
    <w:p>
      <w:pPr>
        <w:spacing w:after="0" w:line="187" w:lineRule="exact"/>
        <w:rPr>
          <w:sz w:val="20"/>
          <w:szCs w:val="20"/>
          <w:color w:val="auto"/>
        </w:rPr>
      </w:pPr>
    </w:p>
    <w:p>
      <w:pPr>
        <w:ind w:left="4" w:right="140"/>
        <w:spacing w:after="0" w:line="277" w:lineRule="auto"/>
        <w:rPr>
          <w:sz w:val="20"/>
          <w:szCs w:val="20"/>
          <w:color w:val="auto"/>
        </w:rPr>
      </w:pPr>
      <w:r>
        <w:rPr>
          <w:rFonts w:ascii="Arial" w:cs="Arial" w:eastAsia="Arial" w:hAnsi="Arial"/>
          <w:sz w:val="18"/>
          <w:szCs w:val="18"/>
          <w:color w:val="auto"/>
        </w:rPr>
        <w:t>See “Note 3 - Business Combinations” and “Note 5 – Debt” within the Company’s Quarterly Report on Form 10-Q for the period ended July 31, 2021, incorporated by reference into this Form 8-K for more information.</w:t>
      </w:r>
    </w:p>
    <w:p>
      <w:pPr>
        <w:spacing w:after="0" w:line="315" w:lineRule="exact"/>
        <w:rPr>
          <w:sz w:val="20"/>
          <w:szCs w:val="20"/>
          <w:color w:val="auto"/>
        </w:rPr>
      </w:pPr>
    </w:p>
    <w:p>
      <w:pPr>
        <w:ind w:left="424" w:hanging="424"/>
        <w:spacing w:after="0"/>
        <w:tabs>
          <w:tab w:leader="none" w:pos="424" w:val="left"/>
        </w:tabs>
        <w:numPr>
          <w:ilvl w:val="0"/>
          <w:numId w:val="7"/>
        </w:numPr>
        <w:rPr>
          <w:rFonts w:ascii="Arial" w:cs="Arial" w:eastAsia="Arial" w:hAnsi="Arial"/>
          <w:sz w:val="18"/>
          <w:szCs w:val="18"/>
          <w:b w:val="1"/>
          <w:bCs w:val="1"/>
          <w:color w:val="auto"/>
        </w:rPr>
      </w:pPr>
      <w:r>
        <w:rPr>
          <w:rFonts w:ascii="Arial" w:cs="Arial" w:eastAsia="Arial" w:hAnsi="Arial"/>
          <w:sz w:val="18"/>
          <w:szCs w:val="18"/>
          <w:b w:val="1"/>
          <w:bCs w:val="1"/>
          <w:color w:val="auto"/>
        </w:rPr>
        <w:t>Basis of Presentation</w:t>
      </w:r>
    </w:p>
    <w:p>
      <w:pPr>
        <w:spacing w:after="0" w:line="121" w:lineRule="exact"/>
        <w:rPr>
          <w:sz w:val="20"/>
          <w:szCs w:val="20"/>
          <w:color w:val="auto"/>
        </w:rPr>
      </w:pPr>
    </w:p>
    <w:p>
      <w:pPr>
        <w:ind w:left="4" w:right="140"/>
        <w:spacing w:after="0" w:line="290" w:lineRule="auto"/>
        <w:rPr>
          <w:sz w:val="20"/>
          <w:szCs w:val="20"/>
          <w:color w:val="auto"/>
        </w:rPr>
      </w:pPr>
      <w:r>
        <w:rPr>
          <w:rFonts w:ascii="Arial" w:cs="Arial" w:eastAsia="Arial" w:hAnsi="Arial"/>
          <w:sz w:val="16"/>
          <w:szCs w:val="16"/>
          <w:color w:val="auto"/>
        </w:rPr>
        <w:t>The pro forma financial information has been prepared by the Company in accordance with Article 11 of Regulation S-X. The pro forma financial information is not necessarily indicative of what the Company’s consolidated statements of operations would have been had the Inphi acquisition been completed as of the dates indicated or will be for any future periods. The pro forma financial statements do not purport to project the future results of operations of the Company following the completion of the Inphi acquisition. The pro forma financial information reflects transaction related adjustments management believes are necessary to present fairly the Company’s pro forma results of operations following the closing of the Inphi acquisition as of and for the periods indicated. The transaction related adjustments are based on currently available information and assumptions management believes are, under the circumstances and given the information available at this time, reasonable, and reflective of adjustments necessary to report the Company’s results of operations as if the Inphi acquisition was completed as of the beginning of the previous fiscal year.</w:t>
      </w:r>
    </w:p>
    <w:p>
      <w:pPr>
        <w:spacing w:after="0" w:line="165" w:lineRule="exact"/>
        <w:rPr>
          <w:sz w:val="20"/>
          <w:szCs w:val="20"/>
          <w:color w:val="auto"/>
        </w:rPr>
      </w:pPr>
    </w:p>
    <w:p>
      <w:pPr>
        <w:ind w:left="4" w:right="40"/>
        <w:spacing w:after="0" w:line="254" w:lineRule="auto"/>
        <w:rPr>
          <w:sz w:val="20"/>
          <w:szCs w:val="20"/>
          <w:color w:val="auto"/>
        </w:rPr>
      </w:pPr>
      <w:r>
        <w:rPr>
          <w:rFonts w:ascii="Arial" w:cs="Arial" w:eastAsia="Arial" w:hAnsi="Arial"/>
          <w:sz w:val="18"/>
          <w:szCs w:val="18"/>
          <w:color w:val="auto"/>
        </w:rPr>
        <w:t>The unaudited pro forma condensed combined financial information was prepared using the acquisition method of accounting in accordance with ASC 805, with MTI as the accounting acquirer, using the fair value concepts defined in ASC Topic 820, Fair Value Measurement, and based on the historical consolidated financial statements of Marvell and Inphi. Under ASC 805, all assets acquired and liabilities assumed in a business combination are recognized and measured at their assumed acquisition date fair value, while transaction costs and restructuring costs associated with the business combination are expensed as incurred. The excess of merger consideration over the fair value of assets acquired and liabilities assumed, if any, is allocated to goodwill. IPR&amp;D is recorded at fair value as an indefinite-lived intangible asset at the assumed merger date until completion or abandonment of the associated research and development efforts. Upon completion of development, acquired IPR&amp;D assets are considered amortizable, finite-lived assets.</w:t>
      </w:r>
    </w:p>
    <w:p>
      <w:pPr>
        <w:spacing w:after="0" w:line="192" w:lineRule="exact"/>
        <w:rPr>
          <w:sz w:val="20"/>
          <w:szCs w:val="20"/>
          <w:color w:val="auto"/>
        </w:rPr>
      </w:pPr>
    </w:p>
    <w:p>
      <w:pPr>
        <w:ind w:left="4"/>
        <w:spacing w:after="0" w:line="291" w:lineRule="auto"/>
        <w:rPr>
          <w:sz w:val="20"/>
          <w:szCs w:val="20"/>
          <w:color w:val="auto"/>
        </w:rPr>
      </w:pPr>
      <w:r>
        <w:rPr>
          <w:rFonts w:ascii="Arial" w:cs="Arial" w:eastAsia="Arial" w:hAnsi="Arial"/>
          <w:sz w:val="16"/>
          <w:szCs w:val="16"/>
          <w:color w:val="auto"/>
        </w:rPr>
        <w:t>The allocation of the purchase consideration for the Inphi acquisition is preliminary and may be revised with adjustment to goodwill as additional information becomes available during the measurement period from the closing date of the acquisition to finalize such preliminary estimates. Any such revisions or changes may be material. The unaudited pro forma condensed combined financial information presented is for illustrative purposes only and is not necessarily indicative of the results of operations that would have been realized if the Inphi acquisition had been completed on the dates indicated, nor is it indicative of future operating results or financial position. The unaudited pro forma condensed combined financial information does not reflect any cost savings, operating synergies or revenue enhancements that the combined company may achieve as a result of the Inphi acquisition, the costs to integrate the operations of the Company and Inphi or the costs necessary to achieve these cost savings, operating synergies and revenue enhancements.</w:t>
      </w:r>
    </w:p>
    <w:p>
      <w:pPr>
        <w:sectPr>
          <w:pgSz w:w="11900" w:h="16838" w:orient="portrait"/>
          <w:cols w:equalWidth="0" w:num="1">
            <w:col w:w="11004"/>
          </w:cols>
          <w:pgMar w:left="436" w:top="270" w:right="459" w:bottom="1440" w:gutter="0" w:footer="0" w:header="0"/>
        </w:sectPr>
      </w:pPr>
    </w:p>
    <w:bookmarkStart w:id="30" w:name="page31"/>
    <w:bookmarkEnd w:id="30"/>
    <w:p>
      <w:pPr>
        <w:ind w:left="424" w:hanging="424"/>
        <w:spacing w:after="0"/>
        <w:tabs>
          <w:tab w:leader="none" w:pos="424" w:val="left"/>
        </w:tabs>
        <w:numPr>
          <w:ilvl w:val="0"/>
          <w:numId w:val="8"/>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Reclassification Adjustments</w:t>
      </w:r>
    </w:p>
    <w:p>
      <w:pPr>
        <w:spacing w:after="0" w:line="121" w:lineRule="exact"/>
        <w:rPr>
          <w:sz w:val="20"/>
          <w:szCs w:val="20"/>
          <w:color w:val="auto"/>
        </w:rPr>
      </w:pPr>
    </w:p>
    <w:p>
      <w:pPr>
        <w:ind w:left="4" w:right="160"/>
        <w:spacing w:after="0" w:line="259" w:lineRule="auto"/>
        <w:rPr>
          <w:sz w:val="20"/>
          <w:szCs w:val="20"/>
          <w:color w:val="auto"/>
        </w:rPr>
      </w:pPr>
      <w:r>
        <w:rPr>
          <w:rFonts w:ascii="Arial" w:cs="Arial" w:eastAsia="Arial" w:hAnsi="Arial"/>
          <w:sz w:val="18"/>
          <w:szCs w:val="18"/>
          <w:color w:val="auto"/>
        </w:rPr>
        <w:t>The accounting policies used in the preparation of this unaudited pro forma condensed combined financial information are those set out in Marvell’s financial statements as of and for the year ended January 30, 2021. With the information currently available, the Company has determined that no significant adjustments are necessary to conform Inphi’s financial statements to the accounting policies used by the Company in the preparation of the unaudited pro forma condensed combined financial information.</w:t>
      </w:r>
    </w:p>
    <w:p>
      <w:pPr>
        <w:spacing w:after="0" w:line="187" w:lineRule="exact"/>
        <w:rPr>
          <w:sz w:val="20"/>
          <w:szCs w:val="20"/>
          <w:color w:val="auto"/>
        </w:rPr>
      </w:pPr>
    </w:p>
    <w:p>
      <w:pPr>
        <w:ind w:left="4"/>
        <w:spacing w:after="0" w:line="263" w:lineRule="auto"/>
        <w:rPr>
          <w:sz w:val="20"/>
          <w:szCs w:val="20"/>
          <w:color w:val="auto"/>
        </w:rPr>
      </w:pPr>
      <w:r>
        <w:rPr>
          <w:rFonts w:ascii="Arial" w:cs="Arial" w:eastAsia="Arial" w:hAnsi="Arial"/>
          <w:sz w:val="18"/>
          <w:szCs w:val="18"/>
          <w:color w:val="auto"/>
        </w:rPr>
        <w:t>Certain reclassification adjustments have been made to the unaudited pro forma condensed combined financial information to conform Inphi’s historical condensed combined statements of operations for the period beginning February 1, 2021 and ended April 20, 2021, and the year ended December 31, 2020 to Marvell’s and MTI’s financial statement presentation.</w:t>
      </w:r>
    </w:p>
    <w:p>
      <w:pPr>
        <w:spacing w:after="0" w:line="85" w:lineRule="exact"/>
        <w:rPr>
          <w:sz w:val="20"/>
          <w:szCs w:val="20"/>
          <w:color w:val="auto"/>
        </w:rPr>
      </w:pPr>
    </w:p>
    <w:p>
      <w:pPr>
        <w:ind w:left="444" w:right="5320" w:hanging="444"/>
        <w:spacing w:after="0" w:line="378" w:lineRule="auto"/>
        <w:tabs>
          <w:tab w:leader="none" w:pos="436" w:val="left"/>
        </w:tabs>
        <w:numPr>
          <w:ilvl w:val="0"/>
          <w:numId w:val="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Calculation of Merger Consideration and Purchase Price Allocation </w:t>
      </w:r>
      <w:r>
        <w:rPr>
          <w:rFonts w:ascii="Arial" w:cs="Arial" w:eastAsia="Arial" w:hAnsi="Arial"/>
          <w:sz w:val="18"/>
          <w:szCs w:val="18"/>
          <w:b w:val="1"/>
          <w:bCs w:val="1"/>
          <w:i w:val="1"/>
          <w:iCs w:val="1"/>
          <w:color w:val="auto"/>
        </w:rPr>
        <w:t>Merger Consideration</w:t>
      </w:r>
    </w:p>
    <w:p>
      <w:pPr>
        <w:ind w:left="4" w:right="300"/>
        <w:spacing w:after="0" w:line="277" w:lineRule="auto"/>
        <w:rPr>
          <w:sz w:val="20"/>
          <w:szCs w:val="20"/>
          <w:color w:val="auto"/>
        </w:rPr>
      </w:pPr>
      <w:r>
        <w:rPr>
          <w:rFonts w:ascii="Arial" w:cs="Arial" w:eastAsia="Arial" w:hAnsi="Arial"/>
          <w:sz w:val="18"/>
          <w:szCs w:val="18"/>
          <w:color w:val="auto"/>
        </w:rPr>
        <w:t>The merger consideration for the purpose of this unaudited pro forma condensed combined financial information is $9.9 billion. The following table summarized the total merger consideration (in thousands):</w:t>
      </w:r>
    </w:p>
    <w:p>
      <w:pPr>
        <w:spacing w:after="0" w:line="212" w:lineRule="exact"/>
        <w:rPr>
          <w:sz w:val="20"/>
          <w:szCs w:val="20"/>
          <w:color w:val="auto"/>
        </w:rPr>
      </w:pPr>
    </w:p>
    <w:tbl>
      <w:tblPr>
        <w:tblLayout w:type="fixed"/>
        <w:tblInd w:w="1764"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Cash consideration to Inphi common stockholders</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8"/>
              </w:rPr>
              <w:t>$3,639,559</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580" w:type="dxa"/>
            <w:vAlign w:val="bottom"/>
          </w:tcPr>
          <w:p>
            <w:pPr>
              <w:spacing w:after="0" w:line="201" w:lineRule="exact"/>
              <w:rPr>
                <w:sz w:val="20"/>
                <w:szCs w:val="20"/>
                <w:color w:val="auto"/>
              </w:rPr>
            </w:pPr>
            <w:r>
              <w:rPr>
                <w:rFonts w:ascii="Arial" w:cs="Arial" w:eastAsia="Arial" w:hAnsi="Arial"/>
                <w:sz w:val="18"/>
                <w:szCs w:val="18"/>
                <w:color w:val="auto"/>
                <w:w w:val="98"/>
              </w:rPr>
              <w:t>Common stock (128,100,446 shares of the Company’s common stock at $45.84 per</w:t>
            </w:r>
          </w:p>
        </w:tc>
        <w:tc>
          <w:tcPr>
            <w:tcW w:w="8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580" w:type="dxa"/>
            <w:vAlign w:val="bottom"/>
          </w:tcPr>
          <w:p>
            <w:pPr>
              <w:ind w:left="160"/>
              <w:spacing w:after="0"/>
              <w:rPr>
                <w:sz w:val="20"/>
                <w:szCs w:val="20"/>
                <w:color w:val="auto"/>
              </w:rPr>
            </w:pPr>
            <w:r>
              <w:rPr>
                <w:rFonts w:ascii="Arial" w:cs="Arial" w:eastAsia="Arial" w:hAnsi="Arial"/>
                <w:sz w:val="18"/>
                <w:szCs w:val="18"/>
                <w:color w:val="auto"/>
              </w:rPr>
              <w:t>share)</w:t>
            </w: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w w:val="99"/>
              </w:rPr>
              <w:t>5,872,125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Cash consideration for director and employee accelerated equity awards</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33,658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tcPr>
          <w:p>
            <w:pPr>
              <w:spacing w:after="0"/>
              <w:rPr>
                <w:sz w:val="20"/>
                <w:szCs w:val="20"/>
                <w:color w:val="auto"/>
              </w:rPr>
            </w:pPr>
            <w:r>
              <w:rPr>
                <w:rFonts w:ascii="Arial" w:cs="Arial" w:eastAsia="Arial" w:hAnsi="Arial"/>
                <w:sz w:val="18"/>
                <w:szCs w:val="18"/>
                <w:color w:val="auto"/>
              </w:rPr>
              <w:t>Stock consideration for director and employee accelerated equity awards</w:t>
            </w: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45,686</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5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Stock consideration for replacement equity awards attributable to pre-combination</w:t>
            </w:r>
          </w:p>
        </w:tc>
        <w:tc>
          <w:tcPr>
            <w:tcW w:w="8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5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service</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82,346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tcPr>
          <w:p>
            <w:pPr>
              <w:spacing w:after="0"/>
              <w:rPr>
                <w:sz w:val="20"/>
                <w:szCs w:val="20"/>
                <w:color w:val="auto"/>
              </w:rPr>
            </w:pPr>
            <w:r>
              <w:rPr>
                <w:rFonts w:ascii="Arial" w:cs="Arial" w:eastAsia="Arial" w:hAnsi="Arial"/>
                <w:sz w:val="18"/>
                <w:szCs w:val="18"/>
                <w:color w:val="auto"/>
              </w:rPr>
              <w:t>Equity component of convertible debt</w:t>
            </w: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244,155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580" w:type="dxa"/>
            <w:vAlign w:val="bottom"/>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Total merger consideration</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u w:val="single" w:color="auto"/>
                <w:color w:val="auto"/>
                <w:w w:val="88"/>
              </w:rPr>
              <w:t>$</w:t>
            </w:r>
            <w:r>
              <w:rPr>
                <w:rFonts w:ascii="Arial" w:cs="Arial" w:eastAsia="Arial" w:hAnsi="Arial"/>
                <w:sz w:val="18"/>
                <w:szCs w:val="18"/>
                <w:color w:val="auto"/>
                <w:w w:val="88"/>
              </w:rPr>
              <w:t>9,917,529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580" w:type="dxa"/>
            <w:vAlign w:val="bottom"/>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jc w:val="both"/>
        <w:ind w:left="4" w:right="140"/>
        <w:spacing w:after="0" w:line="263" w:lineRule="auto"/>
        <w:rPr>
          <w:sz w:val="20"/>
          <w:szCs w:val="20"/>
          <w:color w:val="auto"/>
        </w:rPr>
      </w:pPr>
      <w:r>
        <w:rPr>
          <w:rFonts w:ascii="Arial" w:cs="Arial" w:eastAsia="Arial" w:hAnsi="Arial"/>
          <w:sz w:val="18"/>
          <w:szCs w:val="18"/>
          <w:color w:val="auto"/>
        </w:rPr>
        <w:t>The merger consideration allocation set forth herein is preliminary and may be revised with adjustment to goodwill as additional information becomes available during the measurement period from the closing date of the acquisition to finalize such preliminary estimates. Any such revisions or changes may be material.</w:t>
      </w:r>
    </w:p>
    <w:p>
      <w:pPr>
        <w:spacing w:after="0" w:line="292" w:lineRule="exact"/>
        <w:rPr>
          <w:sz w:val="20"/>
          <w:szCs w:val="20"/>
          <w:color w:val="auto"/>
        </w:rPr>
      </w:pPr>
    </w:p>
    <w:p>
      <w:pPr>
        <w:ind w:left="444"/>
        <w:spacing w:after="0"/>
        <w:rPr>
          <w:sz w:val="20"/>
          <w:szCs w:val="20"/>
          <w:color w:val="auto"/>
        </w:rPr>
      </w:pPr>
      <w:r>
        <w:rPr>
          <w:rFonts w:ascii="Arial" w:cs="Arial" w:eastAsia="Arial" w:hAnsi="Arial"/>
          <w:sz w:val="18"/>
          <w:szCs w:val="18"/>
          <w:b w:val="1"/>
          <w:bCs w:val="1"/>
          <w:i w:val="1"/>
          <w:iCs w:val="1"/>
          <w:color w:val="auto"/>
        </w:rPr>
        <w:t>Preliminary Purchase Price Allocation</w:t>
      </w:r>
    </w:p>
    <w:p>
      <w:pPr>
        <w:spacing w:after="0" w:line="117" w:lineRule="exact"/>
        <w:rPr>
          <w:sz w:val="20"/>
          <w:szCs w:val="20"/>
          <w:color w:val="auto"/>
        </w:rPr>
      </w:pPr>
    </w:p>
    <w:p>
      <w:pPr>
        <w:ind w:left="4" w:right="60"/>
        <w:spacing w:after="0" w:line="254" w:lineRule="auto"/>
        <w:rPr>
          <w:sz w:val="20"/>
          <w:szCs w:val="20"/>
          <w:color w:val="auto"/>
        </w:rPr>
      </w:pPr>
      <w:r>
        <w:rPr>
          <w:rFonts w:ascii="Arial" w:cs="Arial" w:eastAsia="Arial" w:hAnsi="Arial"/>
          <w:sz w:val="18"/>
          <w:szCs w:val="18"/>
          <w:color w:val="auto"/>
        </w:rPr>
        <w:t>In accordance with U.S. GAAP requirements for business combinations, the Company allocated the fair value of the purchase consideration to the tangible assets, liabilities and intangible assets acquired, including in-process research and development (“IPR&amp;D”), generally based on their estimated fair values. The excess purchase price over those fair values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The Company’s valuation assumptions of acquired assets and assumed liabilities require significant estimates, especially with respect to intangible assets. Acquisition-related costs are expensed in the periods in which such costs are incurred.</w:t>
      </w:r>
    </w:p>
    <w:p>
      <w:pPr>
        <w:spacing w:after="0" w:line="195" w:lineRule="exact"/>
        <w:rPr>
          <w:sz w:val="20"/>
          <w:szCs w:val="20"/>
          <w:color w:val="auto"/>
        </w:rPr>
      </w:pPr>
    </w:p>
    <w:tbl>
      <w:tblPr>
        <w:tblLayout w:type="fixed"/>
        <w:tblInd w:w="4" w:type="dxa"/>
        <w:tblCellMar>
          <w:top w:w="0" w:type="dxa"/>
          <w:left w:w="0" w:type="dxa"/>
          <w:bottom w:w="0" w:type="dxa"/>
          <w:right w:w="0" w:type="dxa"/>
        </w:tblCellMar>
      </w:tblPr>
      <w:tr>
        <w:trPr>
          <w:trHeight w:val="230"/>
        </w:trPr>
        <w:tc>
          <w:tcPr>
            <w:tcW w:w="8320" w:type="dxa"/>
            <w:vAlign w:val="bottom"/>
            <w:gridSpan w:val="2"/>
          </w:tcPr>
          <w:p>
            <w:pPr>
              <w:spacing w:after="0"/>
              <w:rPr>
                <w:sz w:val="20"/>
                <w:szCs w:val="20"/>
                <w:color w:val="auto"/>
              </w:rPr>
            </w:pPr>
            <w:r>
              <w:rPr>
                <w:rFonts w:ascii="Arial" w:cs="Arial" w:eastAsia="Arial" w:hAnsi="Arial"/>
                <w:sz w:val="18"/>
                <w:szCs w:val="18"/>
                <w:color w:val="auto"/>
              </w:rPr>
              <w:t>The purchase price allocation is as follows (in thousands):</w:t>
            </w:r>
          </w:p>
        </w:tc>
        <w:tc>
          <w:tcPr>
            <w:tcW w:w="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1760" w:type="dxa"/>
            <w:vAlign w:val="bottom"/>
            <w:vMerge w:val="restart"/>
          </w:tcPr>
          <w:p>
            <w:pPr>
              <w:spacing w:after="0"/>
              <w:rPr>
                <w:sz w:val="21"/>
                <w:szCs w:val="21"/>
                <w:color w:val="auto"/>
              </w:rPr>
            </w:pPr>
          </w:p>
        </w:tc>
        <w:tc>
          <w:tcPr>
            <w:tcW w:w="65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1760" w:type="dxa"/>
            <w:vAlign w:val="bottom"/>
            <w:vMerge w:val="continue"/>
          </w:tcPr>
          <w:p>
            <w:pPr>
              <w:spacing w:after="0"/>
              <w:rPr>
                <w:sz w:val="18"/>
                <w:szCs w:val="18"/>
                <w:color w:val="auto"/>
              </w:rPr>
            </w:pPr>
          </w:p>
        </w:tc>
        <w:tc>
          <w:tcPr>
            <w:tcW w:w="656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72,251</w:t>
            </w:r>
          </w:p>
        </w:tc>
        <w:tc>
          <w:tcPr>
            <w:tcW w:w="0" w:type="dxa"/>
            <w:vAlign w:val="bottom"/>
          </w:tcPr>
          <w:p>
            <w:pPr>
              <w:spacing w:after="0"/>
              <w:rPr>
                <w:sz w:val="1"/>
                <w:szCs w:val="1"/>
                <w:color w:val="auto"/>
              </w:rPr>
            </w:pPr>
          </w:p>
        </w:tc>
      </w:tr>
      <w:tr>
        <w:trPr>
          <w:trHeight w:val="216"/>
        </w:trPr>
        <w:tc>
          <w:tcPr>
            <w:tcW w:w="1760" w:type="dxa"/>
            <w:vAlign w:val="bottom"/>
          </w:tcPr>
          <w:p>
            <w:pPr>
              <w:spacing w:after="0"/>
              <w:rPr>
                <w:sz w:val="18"/>
                <w:szCs w:val="18"/>
                <w:color w:val="auto"/>
              </w:rPr>
            </w:pPr>
          </w:p>
        </w:tc>
        <w:tc>
          <w:tcPr>
            <w:tcW w:w="6560" w:type="dxa"/>
            <w:vAlign w:val="bottom"/>
          </w:tcPr>
          <w:p>
            <w:pPr>
              <w:spacing w:after="0"/>
              <w:rPr>
                <w:sz w:val="20"/>
                <w:szCs w:val="20"/>
                <w:color w:val="auto"/>
              </w:rPr>
            </w:pPr>
            <w:r>
              <w:rPr>
                <w:rFonts w:ascii="Arial" w:cs="Arial" w:eastAsia="Arial" w:hAnsi="Arial"/>
                <w:sz w:val="18"/>
                <w:szCs w:val="18"/>
                <w:color w:val="auto"/>
              </w:rPr>
              <w:t>Accounts receivable, net</w:t>
            </w:r>
          </w:p>
        </w:tc>
        <w:tc>
          <w:tcPr>
            <w:tcW w:w="8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99,728</w:t>
            </w:r>
          </w:p>
        </w:tc>
        <w:tc>
          <w:tcPr>
            <w:tcW w:w="0" w:type="dxa"/>
            <w:vAlign w:val="bottom"/>
          </w:tcPr>
          <w:p>
            <w:pPr>
              <w:spacing w:after="0"/>
              <w:rPr>
                <w:sz w:val="1"/>
                <w:szCs w:val="1"/>
                <w:color w:val="auto"/>
              </w:rPr>
            </w:pPr>
          </w:p>
        </w:tc>
      </w:tr>
      <w:tr>
        <w:trPr>
          <w:trHeight w:val="216"/>
        </w:trPr>
        <w:tc>
          <w:tcPr>
            <w:tcW w:w="1760" w:type="dxa"/>
            <w:vAlign w:val="bottom"/>
          </w:tcPr>
          <w:p>
            <w:pPr>
              <w:spacing w:after="0"/>
              <w:rPr>
                <w:sz w:val="18"/>
                <w:szCs w:val="18"/>
                <w:color w:val="auto"/>
              </w:rPr>
            </w:pPr>
          </w:p>
        </w:tc>
        <w:tc>
          <w:tcPr>
            <w:tcW w:w="6560" w:type="dxa"/>
            <w:vAlign w:val="bottom"/>
            <w:shd w:val="clear" w:color="auto" w:fill="CCEEFF"/>
          </w:tcPr>
          <w:p>
            <w:pPr>
              <w:spacing w:after="0"/>
              <w:rPr>
                <w:sz w:val="20"/>
                <w:szCs w:val="20"/>
                <w:color w:val="auto"/>
              </w:rPr>
            </w:pPr>
            <w:r>
              <w:rPr>
                <w:rFonts w:ascii="Arial" w:cs="Arial" w:eastAsia="Arial" w:hAnsi="Arial"/>
                <w:sz w:val="18"/>
                <w:szCs w:val="18"/>
                <w:color w:val="auto"/>
              </w:rPr>
              <w:t>Inventories</w:t>
            </w: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270,382</w:t>
            </w:r>
          </w:p>
        </w:tc>
        <w:tc>
          <w:tcPr>
            <w:tcW w:w="0" w:type="dxa"/>
            <w:vAlign w:val="bottom"/>
          </w:tcPr>
          <w:p>
            <w:pPr>
              <w:spacing w:after="0"/>
              <w:rPr>
                <w:sz w:val="1"/>
                <w:szCs w:val="1"/>
                <w:color w:val="auto"/>
              </w:rPr>
            </w:pPr>
          </w:p>
        </w:tc>
      </w:tr>
      <w:tr>
        <w:trPr>
          <w:trHeight w:val="216"/>
        </w:trPr>
        <w:tc>
          <w:tcPr>
            <w:tcW w:w="1760" w:type="dxa"/>
            <w:vAlign w:val="bottom"/>
          </w:tcPr>
          <w:p>
            <w:pPr>
              <w:spacing w:after="0"/>
              <w:rPr>
                <w:sz w:val="18"/>
                <w:szCs w:val="18"/>
                <w:color w:val="auto"/>
              </w:rPr>
            </w:pPr>
          </w:p>
        </w:tc>
        <w:tc>
          <w:tcPr>
            <w:tcW w:w="6560" w:type="dxa"/>
            <w:vAlign w:val="bottom"/>
          </w:tcPr>
          <w:p>
            <w:pPr>
              <w:spacing w:after="0"/>
              <w:rPr>
                <w:sz w:val="20"/>
                <w:szCs w:val="20"/>
                <w:color w:val="auto"/>
              </w:rPr>
            </w:pPr>
            <w:r>
              <w:rPr>
                <w:rFonts w:ascii="Arial" w:cs="Arial" w:eastAsia="Arial" w:hAnsi="Arial"/>
                <w:sz w:val="18"/>
                <w:szCs w:val="18"/>
                <w:color w:val="auto"/>
              </w:rPr>
              <w:t>Prepaid expenses and other current assets</w:t>
            </w:r>
          </w:p>
        </w:tc>
        <w:tc>
          <w:tcPr>
            <w:tcW w:w="8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213,292</w:t>
            </w:r>
          </w:p>
        </w:tc>
        <w:tc>
          <w:tcPr>
            <w:tcW w:w="0" w:type="dxa"/>
            <w:vAlign w:val="bottom"/>
          </w:tcPr>
          <w:p>
            <w:pPr>
              <w:spacing w:after="0"/>
              <w:rPr>
                <w:sz w:val="1"/>
                <w:szCs w:val="1"/>
                <w:color w:val="auto"/>
              </w:rPr>
            </w:pPr>
          </w:p>
        </w:tc>
      </w:tr>
      <w:tr>
        <w:trPr>
          <w:trHeight w:val="216"/>
        </w:trPr>
        <w:tc>
          <w:tcPr>
            <w:tcW w:w="1760" w:type="dxa"/>
            <w:vAlign w:val="bottom"/>
          </w:tcPr>
          <w:p>
            <w:pPr>
              <w:spacing w:after="0"/>
              <w:rPr>
                <w:sz w:val="18"/>
                <w:szCs w:val="18"/>
                <w:color w:val="auto"/>
              </w:rPr>
            </w:pPr>
          </w:p>
        </w:tc>
        <w:tc>
          <w:tcPr>
            <w:tcW w:w="656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98,528</w:t>
            </w:r>
          </w:p>
        </w:tc>
        <w:tc>
          <w:tcPr>
            <w:tcW w:w="0" w:type="dxa"/>
            <w:vAlign w:val="bottom"/>
          </w:tcPr>
          <w:p>
            <w:pPr>
              <w:spacing w:after="0"/>
              <w:rPr>
                <w:sz w:val="1"/>
                <w:szCs w:val="1"/>
                <w:color w:val="auto"/>
              </w:rPr>
            </w:pPr>
          </w:p>
        </w:tc>
      </w:tr>
      <w:tr>
        <w:trPr>
          <w:trHeight w:val="216"/>
        </w:trPr>
        <w:tc>
          <w:tcPr>
            <w:tcW w:w="1760" w:type="dxa"/>
            <w:vAlign w:val="bottom"/>
          </w:tcPr>
          <w:p>
            <w:pPr>
              <w:spacing w:after="0"/>
              <w:rPr>
                <w:sz w:val="18"/>
                <w:szCs w:val="18"/>
                <w:color w:val="auto"/>
              </w:rPr>
            </w:pPr>
          </w:p>
        </w:tc>
        <w:tc>
          <w:tcPr>
            <w:tcW w:w="6560" w:type="dxa"/>
            <w:vAlign w:val="bottom"/>
          </w:tcPr>
          <w:p>
            <w:pPr>
              <w:spacing w:after="0"/>
              <w:rPr>
                <w:sz w:val="20"/>
                <w:szCs w:val="20"/>
                <w:color w:val="auto"/>
              </w:rPr>
            </w:pPr>
            <w:r>
              <w:rPr>
                <w:rFonts w:ascii="Arial" w:cs="Arial" w:eastAsia="Arial" w:hAnsi="Arial"/>
                <w:sz w:val="18"/>
                <w:szCs w:val="18"/>
                <w:color w:val="auto"/>
              </w:rPr>
              <w:t>Goodwill</w:t>
            </w:r>
          </w:p>
        </w:tc>
        <w:tc>
          <w:tcPr>
            <w:tcW w:w="8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5,639,483</w:t>
            </w:r>
          </w:p>
        </w:tc>
        <w:tc>
          <w:tcPr>
            <w:tcW w:w="0" w:type="dxa"/>
            <w:vAlign w:val="bottom"/>
          </w:tcPr>
          <w:p>
            <w:pPr>
              <w:spacing w:after="0"/>
              <w:rPr>
                <w:sz w:val="1"/>
                <w:szCs w:val="1"/>
                <w:color w:val="auto"/>
              </w:rPr>
            </w:pPr>
          </w:p>
        </w:tc>
      </w:tr>
      <w:tr>
        <w:trPr>
          <w:trHeight w:val="216"/>
        </w:trPr>
        <w:tc>
          <w:tcPr>
            <w:tcW w:w="1760" w:type="dxa"/>
            <w:vAlign w:val="bottom"/>
          </w:tcPr>
          <w:p>
            <w:pPr>
              <w:spacing w:after="0"/>
              <w:rPr>
                <w:sz w:val="18"/>
                <w:szCs w:val="18"/>
                <w:color w:val="auto"/>
              </w:rPr>
            </w:pPr>
          </w:p>
        </w:tc>
        <w:tc>
          <w:tcPr>
            <w:tcW w:w="656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4,420,000</w:t>
            </w:r>
          </w:p>
        </w:tc>
        <w:tc>
          <w:tcPr>
            <w:tcW w:w="0" w:type="dxa"/>
            <w:vAlign w:val="bottom"/>
          </w:tcPr>
          <w:p>
            <w:pPr>
              <w:spacing w:after="0"/>
              <w:rPr>
                <w:sz w:val="1"/>
                <w:szCs w:val="1"/>
                <w:color w:val="auto"/>
              </w:rPr>
            </w:pPr>
          </w:p>
        </w:tc>
      </w:tr>
      <w:tr>
        <w:trPr>
          <w:trHeight w:val="216"/>
        </w:trPr>
        <w:tc>
          <w:tcPr>
            <w:tcW w:w="1760" w:type="dxa"/>
            <w:vAlign w:val="bottom"/>
          </w:tcPr>
          <w:p>
            <w:pPr>
              <w:spacing w:after="0"/>
              <w:rPr>
                <w:sz w:val="18"/>
                <w:szCs w:val="18"/>
                <w:color w:val="auto"/>
              </w:rPr>
            </w:pPr>
          </w:p>
        </w:tc>
        <w:tc>
          <w:tcPr>
            <w:tcW w:w="656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8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145,856</w:t>
            </w:r>
          </w:p>
        </w:tc>
        <w:tc>
          <w:tcPr>
            <w:tcW w:w="0" w:type="dxa"/>
            <w:vAlign w:val="bottom"/>
          </w:tcPr>
          <w:p>
            <w:pPr>
              <w:spacing w:after="0"/>
              <w:rPr>
                <w:sz w:val="1"/>
                <w:szCs w:val="1"/>
                <w:color w:val="auto"/>
              </w:rPr>
            </w:pPr>
          </w:p>
        </w:tc>
      </w:tr>
      <w:tr>
        <w:trPr>
          <w:trHeight w:val="216"/>
        </w:trPr>
        <w:tc>
          <w:tcPr>
            <w:tcW w:w="1760" w:type="dxa"/>
            <w:vAlign w:val="bottom"/>
          </w:tcPr>
          <w:p>
            <w:pPr>
              <w:spacing w:after="0"/>
              <w:rPr>
                <w:sz w:val="18"/>
                <w:szCs w:val="18"/>
                <w:color w:val="auto"/>
              </w:rPr>
            </w:pPr>
          </w:p>
        </w:tc>
        <w:tc>
          <w:tcPr>
            <w:tcW w:w="6560" w:type="dxa"/>
            <w:vAlign w:val="bottom"/>
            <w:shd w:val="clear" w:color="auto" w:fill="CCEEFF"/>
          </w:tcPr>
          <w:p>
            <w:pPr>
              <w:spacing w:after="0"/>
              <w:rPr>
                <w:sz w:val="20"/>
                <w:szCs w:val="20"/>
                <w:color w:val="auto"/>
              </w:rPr>
            </w:pPr>
            <w:r>
              <w:rPr>
                <w:rFonts w:ascii="Arial" w:cs="Arial" w:eastAsia="Arial" w:hAnsi="Arial"/>
                <w:sz w:val="18"/>
                <w:szCs w:val="18"/>
                <w:color w:val="auto"/>
              </w:rPr>
              <w:t>Accounts payable and accrued liabilities</w:t>
            </w: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(189,807)</w:t>
            </w:r>
          </w:p>
        </w:tc>
        <w:tc>
          <w:tcPr>
            <w:tcW w:w="0" w:type="dxa"/>
            <w:vAlign w:val="bottom"/>
          </w:tcPr>
          <w:p>
            <w:pPr>
              <w:spacing w:after="0"/>
              <w:rPr>
                <w:sz w:val="1"/>
                <w:szCs w:val="1"/>
                <w:color w:val="auto"/>
              </w:rPr>
            </w:pPr>
          </w:p>
        </w:tc>
      </w:tr>
      <w:tr>
        <w:trPr>
          <w:trHeight w:val="216"/>
        </w:trPr>
        <w:tc>
          <w:tcPr>
            <w:tcW w:w="1760" w:type="dxa"/>
            <w:vAlign w:val="bottom"/>
          </w:tcPr>
          <w:p>
            <w:pPr>
              <w:spacing w:after="0"/>
              <w:rPr>
                <w:sz w:val="18"/>
                <w:szCs w:val="18"/>
                <w:color w:val="auto"/>
              </w:rPr>
            </w:pPr>
          </w:p>
        </w:tc>
        <w:tc>
          <w:tcPr>
            <w:tcW w:w="6560" w:type="dxa"/>
            <w:vAlign w:val="bottom"/>
          </w:tcPr>
          <w:p>
            <w:pPr>
              <w:spacing w:after="0"/>
              <w:rPr>
                <w:sz w:val="20"/>
                <w:szCs w:val="20"/>
                <w:color w:val="auto"/>
              </w:rPr>
            </w:pPr>
            <w:r>
              <w:rPr>
                <w:rFonts w:ascii="Arial" w:cs="Arial" w:eastAsia="Arial" w:hAnsi="Arial"/>
                <w:sz w:val="18"/>
                <w:szCs w:val="18"/>
                <w:color w:val="auto"/>
              </w:rPr>
              <w:t>Convertible debt – short term</w:t>
            </w:r>
          </w:p>
        </w:tc>
        <w:tc>
          <w:tcPr>
            <w:tcW w:w="8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(313,664)</w:t>
            </w:r>
          </w:p>
        </w:tc>
        <w:tc>
          <w:tcPr>
            <w:tcW w:w="0" w:type="dxa"/>
            <w:vAlign w:val="bottom"/>
          </w:tcPr>
          <w:p>
            <w:pPr>
              <w:spacing w:after="0"/>
              <w:rPr>
                <w:sz w:val="1"/>
                <w:szCs w:val="1"/>
                <w:color w:val="auto"/>
              </w:rPr>
            </w:pPr>
          </w:p>
        </w:tc>
      </w:tr>
      <w:tr>
        <w:trPr>
          <w:trHeight w:val="216"/>
        </w:trPr>
        <w:tc>
          <w:tcPr>
            <w:tcW w:w="1760" w:type="dxa"/>
            <w:vAlign w:val="bottom"/>
          </w:tcPr>
          <w:p>
            <w:pPr>
              <w:spacing w:after="0"/>
              <w:rPr>
                <w:sz w:val="18"/>
                <w:szCs w:val="18"/>
                <w:color w:val="auto"/>
              </w:rPr>
            </w:pPr>
          </w:p>
        </w:tc>
        <w:tc>
          <w:tcPr>
            <w:tcW w:w="6560" w:type="dxa"/>
            <w:vAlign w:val="bottom"/>
            <w:shd w:val="clear" w:color="auto" w:fill="CCEEFF"/>
          </w:tcPr>
          <w:p>
            <w:pPr>
              <w:spacing w:after="0"/>
              <w:rPr>
                <w:sz w:val="20"/>
                <w:szCs w:val="20"/>
                <w:color w:val="auto"/>
              </w:rPr>
            </w:pPr>
            <w:r>
              <w:rPr>
                <w:rFonts w:ascii="Arial" w:cs="Arial" w:eastAsia="Arial" w:hAnsi="Arial"/>
                <w:sz w:val="18"/>
                <w:szCs w:val="18"/>
                <w:color w:val="auto"/>
              </w:rPr>
              <w:t>Convertible debt – long term</w:t>
            </w: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(240,317)</w:t>
            </w:r>
          </w:p>
        </w:tc>
        <w:tc>
          <w:tcPr>
            <w:tcW w:w="0" w:type="dxa"/>
            <w:vAlign w:val="bottom"/>
          </w:tcPr>
          <w:p>
            <w:pPr>
              <w:spacing w:after="0"/>
              <w:rPr>
                <w:sz w:val="1"/>
                <w:szCs w:val="1"/>
                <w:color w:val="auto"/>
              </w:rPr>
            </w:pPr>
          </w:p>
        </w:tc>
      </w:tr>
      <w:tr>
        <w:trPr>
          <w:trHeight w:val="223"/>
        </w:trPr>
        <w:tc>
          <w:tcPr>
            <w:tcW w:w="1760" w:type="dxa"/>
            <w:vAlign w:val="bottom"/>
          </w:tcPr>
          <w:p>
            <w:pPr>
              <w:spacing w:after="0"/>
              <w:rPr>
                <w:sz w:val="19"/>
                <w:szCs w:val="19"/>
                <w:color w:val="auto"/>
              </w:rPr>
            </w:pPr>
          </w:p>
        </w:tc>
        <w:tc>
          <w:tcPr>
            <w:tcW w:w="656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80" w:type="dxa"/>
            <w:vAlign w:val="bottom"/>
          </w:tcPr>
          <w:p>
            <w:pPr>
              <w:spacing w:after="0"/>
              <w:rPr>
                <w:sz w:val="19"/>
                <w:szCs w:val="19"/>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(298,203)</w:t>
            </w:r>
          </w:p>
        </w:tc>
        <w:tc>
          <w:tcPr>
            <w:tcW w:w="0" w:type="dxa"/>
            <w:vAlign w:val="bottom"/>
          </w:tcPr>
          <w:p>
            <w:pPr>
              <w:spacing w:after="0"/>
              <w:rPr>
                <w:sz w:val="1"/>
                <w:szCs w:val="1"/>
                <w:color w:val="auto"/>
              </w:rPr>
            </w:pPr>
          </w:p>
        </w:tc>
      </w:tr>
      <w:tr>
        <w:trPr>
          <w:trHeight w:val="216"/>
        </w:trPr>
        <w:tc>
          <w:tcPr>
            <w:tcW w:w="1760" w:type="dxa"/>
            <w:vAlign w:val="bottom"/>
          </w:tcPr>
          <w:p>
            <w:pPr>
              <w:spacing w:after="0"/>
              <w:rPr>
                <w:sz w:val="18"/>
                <w:szCs w:val="18"/>
                <w:color w:val="auto"/>
              </w:rPr>
            </w:pPr>
          </w:p>
        </w:tc>
        <w:tc>
          <w:tcPr>
            <w:tcW w:w="6560" w:type="dxa"/>
            <w:vAlign w:val="bottom"/>
            <w:shd w:val="clear" w:color="auto" w:fill="CCEEFF"/>
          </w:tcPr>
          <w:p>
            <w:pPr>
              <w:spacing w:after="0"/>
              <w:rPr>
                <w:sz w:val="20"/>
                <w:szCs w:val="20"/>
                <w:color w:val="auto"/>
              </w:rPr>
            </w:pPr>
            <w:r>
              <w:rPr>
                <w:rFonts w:ascii="Arial" w:cs="Arial" w:eastAsia="Arial" w:hAnsi="Arial"/>
                <w:sz w:val="18"/>
                <w:szCs w:val="18"/>
                <w:color w:val="auto"/>
              </w:rPr>
              <w:t>Estimated merger consideration</w:t>
            </w: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9,917,529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760" w:type="dxa"/>
            <w:vAlign w:val="bottom"/>
          </w:tcPr>
          <w:p>
            <w:pPr>
              <w:spacing w:after="0" w:line="20" w:lineRule="exact"/>
              <w:rPr>
                <w:sz w:val="1"/>
                <w:szCs w:val="1"/>
                <w:color w:val="auto"/>
              </w:rPr>
            </w:pPr>
          </w:p>
        </w:tc>
        <w:tc>
          <w:tcPr>
            <w:tcW w:w="65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0964"/>
          </w:cols>
          <w:pgMar w:left="436" w:top="270" w:right="499" w:bottom="1440" w:gutter="0" w:footer="0" w:header="0"/>
        </w:sectPr>
      </w:pPr>
    </w:p>
    <w:bookmarkStart w:id="31" w:name="page32"/>
    <w:bookmarkEnd w:id="31"/>
    <w:p>
      <w:pPr>
        <w:ind w:left="444"/>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Intangible Assets</w:t>
      </w:r>
    </w:p>
    <w:p>
      <w:pPr>
        <w:spacing w:after="0" w:line="117" w:lineRule="exact"/>
        <w:rPr>
          <w:sz w:val="20"/>
          <w:szCs w:val="20"/>
          <w:color w:val="auto"/>
        </w:rPr>
      </w:pPr>
    </w:p>
    <w:p>
      <w:pPr>
        <w:ind w:left="4"/>
        <w:spacing w:after="0"/>
        <w:rPr>
          <w:sz w:val="20"/>
          <w:szCs w:val="20"/>
          <w:color w:val="auto"/>
        </w:rPr>
      </w:pPr>
      <w:r>
        <w:rPr>
          <w:rFonts w:ascii="Arial" w:cs="Arial" w:eastAsia="Arial" w:hAnsi="Arial"/>
          <w:sz w:val="18"/>
          <w:szCs w:val="18"/>
          <w:color w:val="auto"/>
        </w:rPr>
        <w:t>Preliminary identifiable intangible assets in the unaudited pro forma condensed combined financial information consist of the following:</w:t>
      </w:r>
    </w:p>
    <w:p>
      <w:pPr>
        <w:spacing w:after="0" w:line="231" w:lineRule="exact"/>
        <w:rPr>
          <w:sz w:val="20"/>
          <w:szCs w:val="20"/>
          <w:color w:val="auto"/>
        </w:rPr>
      </w:pPr>
    </w:p>
    <w:tbl>
      <w:tblPr>
        <w:tblLayout w:type="fixed"/>
        <w:tblInd w:w="1324" w:type="dxa"/>
        <w:tblCellMar>
          <w:top w:w="0" w:type="dxa"/>
          <w:left w:w="0" w:type="dxa"/>
          <w:bottom w:w="0" w:type="dxa"/>
          <w:right w:w="0" w:type="dxa"/>
        </w:tblCellMar>
      </w:tblPr>
      <w:tr>
        <w:trPr>
          <w:trHeight w:val="161"/>
        </w:trPr>
        <w:tc>
          <w:tcPr>
            <w:tcW w:w="6200" w:type="dxa"/>
            <w:vAlign w:val="bottom"/>
          </w:tcPr>
          <w:p>
            <w:pPr>
              <w:spacing w:after="0"/>
              <w:rPr>
                <w:sz w:val="14"/>
                <w:szCs w:val="14"/>
                <w:color w:val="auto"/>
              </w:rPr>
            </w:pPr>
          </w:p>
        </w:tc>
        <w:tc>
          <w:tcPr>
            <w:tcW w:w="940" w:type="dxa"/>
            <w:vAlign w:val="bottom"/>
            <w:gridSpan w:val="3"/>
          </w:tcPr>
          <w:p>
            <w:pPr>
              <w:jc w:val="center"/>
              <w:spacing w:after="0"/>
              <w:rPr>
                <w:sz w:val="20"/>
                <w:szCs w:val="20"/>
                <w:color w:val="auto"/>
              </w:rPr>
            </w:pPr>
            <w:r>
              <w:rPr>
                <w:rFonts w:ascii="Arial" w:cs="Arial" w:eastAsia="Arial" w:hAnsi="Arial"/>
                <w:sz w:val="14"/>
                <w:szCs w:val="14"/>
                <w:b w:val="1"/>
                <w:bCs w:val="1"/>
                <w:color w:val="auto"/>
                <w:w w:val="96"/>
              </w:rPr>
              <w:t>Preliminary</w:t>
            </w:r>
          </w:p>
        </w:tc>
        <w:tc>
          <w:tcPr>
            <w:tcW w:w="360" w:type="dxa"/>
            <w:vAlign w:val="bottom"/>
          </w:tcPr>
          <w:p>
            <w:pPr>
              <w:spacing w:after="0"/>
              <w:rPr>
                <w:sz w:val="14"/>
                <w:szCs w:val="14"/>
                <w:color w:val="auto"/>
              </w:rPr>
            </w:pPr>
          </w:p>
        </w:tc>
        <w:tc>
          <w:tcPr>
            <w:tcW w:w="860" w:type="dxa"/>
            <w:vAlign w:val="bottom"/>
            <w:gridSpan w:val="2"/>
          </w:tcPr>
          <w:p>
            <w:pPr>
              <w:ind w:left="100"/>
              <w:spacing w:after="0"/>
              <w:rPr>
                <w:sz w:val="20"/>
                <w:szCs w:val="20"/>
                <w:color w:val="auto"/>
              </w:rPr>
            </w:pPr>
            <w:r>
              <w:rPr>
                <w:rFonts w:ascii="Arial" w:cs="Arial" w:eastAsia="Arial" w:hAnsi="Arial"/>
                <w:sz w:val="14"/>
                <w:szCs w:val="14"/>
                <w:b w:val="1"/>
                <w:bCs w:val="1"/>
                <w:color w:val="auto"/>
              </w:rPr>
              <w:t>Estimated</w:t>
            </w:r>
          </w:p>
        </w:tc>
      </w:tr>
      <w:tr>
        <w:trPr>
          <w:trHeight w:val="171"/>
        </w:trPr>
        <w:tc>
          <w:tcPr>
            <w:tcW w:w="6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5"/>
              </w:rPr>
              <w:t>Fair Value</w:t>
            </w:r>
          </w:p>
        </w:tc>
        <w:tc>
          <w:tcPr>
            <w:tcW w:w="360" w:type="dxa"/>
            <w:vAlign w:val="bottom"/>
          </w:tcPr>
          <w:p>
            <w:pPr>
              <w:spacing w:after="0"/>
              <w:rPr>
                <w:sz w:val="14"/>
                <w:szCs w:val="14"/>
                <w:color w:val="auto"/>
              </w:rPr>
            </w:pPr>
          </w:p>
        </w:tc>
        <w:tc>
          <w:tcPr>
            <w:tcW w:w="860" w:type="dxa"/>
            <w:vAlign w:val="bottom"/>
            <w:gridSpan w:val="2"/>
          </w:tcPr>
          <w:p>
            <w:pPr>
              <w:ind w:left="60"/>
              <w:spacing w:after="0"/>
              <w:rPr>
                <w:sz w:val="20"/>
                <w:szCs w:val="20"/>
                <w:color w:val="auto"/>
              </w:rPr>
            </w:pPr>
            <w:r>
              <w:rPr>
                <w:rFonts w:ascii="Arial" w:cs="Arial" w:eastAsia="Arial" w:hAnsi="Arial"/>
                <w:sz w:val="14"/>
                <w:szCs w:val="14"/>
                <w:b w:val="1"/>
                <w:bCs w:val="1"/>
                <w:color w:val="auto"/>
              </w:rPr>
              <w:t>Useful Life</w:t>
            </w:r>
          </w:p>
        </w:tc>
      </w:tr>
      <w:tr>
        <w:trPr>
          <w:trHeight w:val="142"/>
        </w:trPr>
        <w:tc>
          <w:tcPr>
            <w:tcW w:w="6200" w:type="dxa"/>
            <w:vAlign w:val="bottom"/>
          </w:tcPr>
          <w:p>
            <w:pPr>
              <w:spacing w:after="0"/>
              <w:rPr>
                <w:sz w:val="12"/>
                <w:szCs w:val="12"/>
                <w:color w:val="auto"/>
              </w:rPr>
            </w:pPr>
          </w:p>
        </w:tc>
        <w:tc>
          <w:tcPr>
            <w:tcW w:w="920" w:type="dxa"/>
            <w:vAlign w:val="bottom"/>
            <w:tcBorders>
              <w:top w:val="single" w:sz="8" w:color="auto"/>
            </w:tcBorders>
            <w:gridSpan w:val="2"/>
          </w:tcPr>
          <w:p>
            <w:pPr>
              <w:ind w:left="20"/>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40" w:type="dxa"/>
            <w:vAlign w:val="bottom"/>
          </w:tcPr>
          <w:p>
            <w:pPr>
              <w:spacing w:after="0"/>
              <w:rPr>
                <w:sz w:val="12"/>
                <w:szCs w:val="12"/>
                <w:color w:val="auto"/>
              </w:rPr>
            </w:pPr>
          </w:p>
        </w:tc>
      </w:tr>
      <w:tr>
        <w:trPr>
          <w:trHeight w:val="216"/>
        </w:trPr>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Developed technology</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7"/>
              </w:rPr>
              <w:t>2,010,000</w:t>
            </w:r>
          </w:p>
        </w:tc>
        <w:tc>
          <w:tcPr>
            <w:tcW w:w="3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w w:val="89"/>
              </w:rPr>
              <w:t>6.00 Years</w:t>
            </w:r>
          </w:p>
        </w:tc>
      </w:tr>
      <w:tr>
        <w:trPr>
          <w:trHeight w:val="216"/>
        </w:trPr>
        <w:tc>
          <w:tcPr>
            <w:tcW w:w="6200" w:type="dxa"/>
            <w:vAlign w:val="bottom"/>
          </w:tcPr>
          <w:p>
            <w:pPr>
              <w:spacing w:after="0"/>
              <w:rPr>
                <w:sz w:val="20"/>
                <w:szCs w:val="20"/>
                <w:color w:val="auto"/>
              </w:rPr>
            </w:pPr>
            <w:r>
              <w:rPr>
                <w:rFonts w:ascii="Arial" w:cs="Arial" w:eastAsia="Arial" w:hAnsi="Arial"/>
                <w:sz w:val="18"/>
                <w:szCs w:val="18"/>
                <w:color w:val="auto"/>
              </w:rPr>
              <w:t>Customer relationships</w:t>
            </w:r>
          </w:p>
        </w:tc>
        <w:tc>
          <w:tcPr>
            <w:tcW w:w="120" w:type="dxa"/>
            <w:vAlign w:val="bottom"/>
          </w:tcPr>
          <w:p>
            <w:pPr>
              <w:spacing w:after="0"/>
              <w:rPr>
                <w:sz w:val="18"/>
                <w:szCs w:val="18"/>
                <w:color w:val="auto"/>
              </w:rPr>
            </w:pP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w w:val="97"/>
              </w:rPr>
              <w:t>1,470,000</w:t>
            </w:r>
          </w:p>
        </w:tc>
        <w:tc>
          <w:tcPr>
            <w:tcW w:w="360" w:type="dxa"/>
            <w:vAlign w:val="bottom"/>
          </w:tcPr>
          <w:p>
            <w:pPr>
              <w:spacing w:after="0"/>
              <w:rPr>
                <w:sz w:val="18"/>
                <w:szCs w:val="18"/>
                <w:color w:val="auto"/>
              </w:rPr>
            </w:pPr>
          </w:p>
        </w:tc>
        <w:tc>
          <w:tcPr>
            <w:tcW w:w="860" w:type="dxa"/>
            <w:vAlign w:val="bottom"/>
            <w:gridSpan w:val="2"/>
          </w:tcPr>
          <w:p>
            <w:pPr>
              <w:ind w:left="60"/>
              <w:spacing w:after="0"/>
              <w:rPr>
                <w:sz w:val="20"/>
                <w:szCs w:val="20"/>
                <w:color w:val="auto"/>
              </w:rPr>
            </w:pPr>
            <w:r>
              <w:rPr>
                <w:rFonts w:ascii="Arial" w:cs="Arial" w:eastAsia="Arial" w:hAnsi="Arial"/>
                <w:sz w:val="18"/>
                <w:szCs w:val="18"/>
                <w:color w:val="auto"/>
                <w:w w:val="89"/>
              </w:rPr>
              <w:t>6.00 Years</w:t>
            </w:r>
          </w:p>
        </w:tc>
      </w:tr>
      <w:tr>
        <w:trPr>
          <w:trHeight w:val="216"/>
        </w:trPr>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Order backlog</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70,000</w:t>
            </w:r>
          </w:p>
        </w:tc>
        <w:tc>
          <w:tcPr>
            <w:tcW w:w="3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w w:val="91"/>
              </w:rPr>
              <w:t>0.80 Years</w:t>
            </w:r>
          </w:p>
        </w:tc>
      </w:tr>
      <w:tr>
        <w:trPr>
          <w:trHeight w:val="216"/>
        </w:trPr>
        <w:tc>
          <w:tcPr>
            <w:tcW w:w="6200" w:type="dxa"/>
            <w:vAlign w:val="bottom"/>
          </w:tcPr>
          <w:p>
            <w:pPr>
              <w:spacing w:after="0"/>
              <w:rPr>
                <w:sz w:val="20"/>
                <w:szCs w:val="20"/>
                <w:color w:val="auto"/>
              </w:rPr>
            </w:pPr>
            <w:r>
              <w:rPr>
                <w:rFonts w:ascii="Arial" w:cs="Arial" w:eastAsia="Arial" w:hAnsi="Arial"/>
                <w:sz w:val="18"/>
                <w:szCs w:val="18"/>
                <w:color w:val="auto"/>
              </w:rPr>
              <w:t>Trade names</w:t>
            </w:r>
          </w:p>
        </w:tc>
        <w:tc>
          <w:tcPr>
            <w:tcW w:w="120" w:type="dxa"/>
            <w:vAlign w:val="bottom"/>
          </w:tcPr>
          <w:p>
            <w:pPr>
              <w:spacing w:after="0"/>
              <w:rPr>
                <w:sz w:val="18"/>
                <w:szCs w:val="18"/>
                <w:color w:val="auto"/>
              </w:rPr>
            </w:pP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50,000</w:t>
            </w:r>
          </w:p>
        </w:tc>
        <w:tc>
          <w:tcPr>
            <w:tcW w:w="360" w:type="dxa"/>
            <w:vAlign w:val="bottom"/>
          </w:tcPr>
          <w:p>
            <w:pPr>
              <w:spacing w:after="0"/>
              <w:rPr>
                <w:sz w:val="18"/>
                <w:szCs w:val="18"/>
                <w:color w:val="auto"/>
              </w:rPr>
            </w:pPr>
          </w:p>
        </w:tc>
        <w:tc>
          <w:tcPr>
            <w:tcW w:w="860" w:type="dxa"/>
            <w:vAlign w:val="bottom"/>
            <w:gridSpan w:val="2"/>
          </w:tcPr>
          <w:p>
            <w:pPr>
              <w:ind w:left="40"/>
              <w:spacing w:after="0"/>
              <w:rPr>
                <w:sz w:val="20"/>
                <w:szCs w:val="20"/>
                <w:color w:val="auto"/>
              </w:rPr>
            </w:pPr>
            <w:r>
              <w:rPr>
                <w:rFonts w:ascii="Arial" w:cs="Arial" w:eastAsia="Arial" w:hAnsi="Arial"/>
                <w:sz w:val="18"/>
                <w:szCs w:val="18"/>
                <w:color w:val="auto"/>
                <w:w w:val="91"/>
              </w:rPr>
              <w:t>5.00 Years</w:t>
            </w:r>
          </w:p>
        </w:tc>
      </w:tr>
      <w:tr>
        <w:trPr>
          <w:trHeight w:val="216"/>
        </w:trPr>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IPR&amp;D</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820,000</w:t>
            </w:r>
          </w:p>
        </w:tc>
        <w:tc>
          <w:tcPr>
            <w:tcW w:w="3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n/a</w:t>
            </w:r>
          </w:p>
        </w:tc>
      </w:tr>
      <w:tr>
        <w:trPr>
          <w:trHeight w:val="223"/>
        </w:trPr>
        <w:tc>
          <w:tcPr>
            <w:tcW w:w="62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7"/>
              </w:rPr>
              <w:t>4,420,000</w:t>
            </w:r>
          </w:p>
        </w:tc>
        <w:tc>
          <w:tcPr>
            <w:tcW w:w="20" w:type="dxa"/>
            <w:vAlign w:val="bottom"/>
            <w:tcBorders>
              <w:bottom w:val="single" w:sz="8" w:color="auto"/>
            </w:tcBorders>
          </w:tcPr>
          <w:p>
            <w:pPr>
              <w:spacing w:after="0"/>
              <w:rPr>
                <w:sz w:val="19"/>
                <w:szCs w:val="19"/>
                <w:color w:val="auto"/>
              </w:rPr>
            </w:pPr>
          </w:p>
        </w:tc>
        <w:tc>
          <w:tcPr>
            <w:tcW w:w="36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40" w:type="dxa"/>
            <w:vAlign w:val="bottom"/>
          </w:tcPr>
          <w:p>
            <w:pPr>
              <w:spacing w:after="0"/>
              <w:rPr>
                <w:sz w:val="19"/>
                <w:szCs w:val="19"/>
                <w:color w:val="auto"/>
              </w:rPr>
            </w:pPr>
          </w:p>
        </w:tc>
      </w:tr>
      <w:tr>
        <w:trPr>
          <w:trHeight w:val="20"/>
        </w:trPr>
        <w:tc>
          <w:tcPr>
            <w:tcW w:w="6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360" w:lineRule="exact"/>
        <w:rPr>
          <w:sz w:val="20"/>
          <w:szCs w:val="20"/>
          <w:color w:val="auto"/>
        </w:rPr>
      </w:pPr>
    </w:p>
    <w:p>
      <w:pPr>
        <w:ind w:left="424" w:hanging="424"/>
        <w:spacing w:after="0"/>
        <w:tabs>
          <w:tab w:leader="none" w:pos="424" w:val="left"/>
        </w:tabs>
        <w:numPr>
          <w:ilvl w:val="0"/>
          <w:numId w:val="10"/>
        </w:numPr>
        <w:rPr>
          <w:rFonts w:ascii="Arial" w:cs="Arial" w:eastAsia="Arial" w:hAnsi="Arial"/>
          <w:sz w:val="18"/>
          <w:szCs w:val="18"/>
          <w:b w:val="1"/>
          <w:bCs w:val="1"/>
          <w:color w:val="auto"/>
        </w:rPr>
      </w:pPr>
      <w:r>
        <w:rPr>
          <w:rFonts w:ascii="Arial" w:cs="Arial" w:eastAsia="Arial" w:hAnsi="Arial"/>
          <w:sz w:val="18"/>
          <w:szCs w:val="18"/>
          <w:b w:val="1"/>
          <w:bCs w:val="1"/>
          <w:color w:val="auto"/>
        </w:rPr>
        <w:t>Debt Financing Adjustment</w:t>
      </w:r>
    </w:p>
    <w:p>
      <w:pPr>
        <w:spacing w:after="0" w:line="135" w:lineRule="exact"/>
        <w:rPr>
          <w:sz w:val="20"/>
          <w:szCs w:val="20"/>
          <w:color w:val="auto"/>
        </w:rPr>
      </w:pPr>
    </w:p>
    <w:p>
      <w:pPr>
        <w:ind w:left="424" w:right="160" w:hanging="424"/>
        <w:spacing w:after="0" w:line="296" w:lineRule="auto"/>
        <w:tabs>
          <w:tab w:leader="none" w:pos="424" w:val="left"/>
        </w:tabs>
        <w:numPr>
          <w:ilvl w:val="0"/>
          <w:numId w:val="11"/>
        </w:numPr>
        <w:rPr>
          <w:rFonts w:ascii="Arial" w:cs="Arial" w:eastAsia="Arial" w:hAnsi="Arial"/>
          <w:sz w:val="16"/>
          <w:szCs w:val="16"/>
          <w:color w:val="auto"/>
        </w:rPr>
      </w:pPr>
      <w:r>
        <w:rPr>
          <w:rFonts w:ascii="Arial" w:cs="Arial" w:eastAsia="Arial" w:hAnsi="Arial"/>
          <w:sz w:val="16"/>
          <w:szCs w:val="16"/>
          <w:color w:val="auto"/>
        </w:rPr>
        <w:t>Reflects the estimated incremental interest expense and amortization of debt financing fees, original issuance discounts related to the debt financing arrangements. In addition the write-off of $11.4 million in capitalized debt issuance cost related to the termination of the bridge loan during the period from January 31, 2021 to July 31, 2021 has been removed from the pro forma condensed combined statement of operations for the six months ended July 31, 2021 and added to the pro forma condensed combined statement of operations for the twelve months ended January 30, 2021 to illustrate the costs that would have been incurred earlier had the acquisition occurred on February 2, 2020.</w:t>
      </w:r>
    </w:p>
    <w:p>
      <w:pPr>
        <w:spacing w:after="0" w:line="168" w:lineRule="exact"/>
        <w:rPr>
          <w:sz w:val="20"/>
          <w:szCs w:val="20"/>
          <w:color w:val="auto"/>
        </w:rPr>
      </w:pPr>
    </w:p>
    <w:tbl>
      <w:tblPr>
        <w:tblLayout w:type="fixed"/>
        <w:tblInd w:w="1324" w:type="dxa"/>
        <w:tblCellMar>
          <w:top w:w="0" w:type="dxa"/>
          <w:left w:w="0" w:type="dxa"/>
          <w:bottom w:w="0" w:type="dxa"/>
          <w:right w:w="0" w:type="dxa"/>
        </w:tblCellMar>
      </w:tblPr>
      <w:tr>
        <w:trPr>
          <w:trHeight w:val="161"/>
        </w:trPr>
        <w:tc>
          <w:tcPr>
            <w:tcW w:w="45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8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rPr>
              <w:t>Pro Forma</w:t>
            </w:r>
          </w:p>
        </w:tc>
        <w:tc>
          <w:tcPr>
            <w:tcW w:w="7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32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Pro Forma</w:t>
            </w:r>
          </w:p>
        </w:tc>
      </w:tr>
      <w:tr>
        <w:trPr>
          <w:trHeight w:val="148"/>
        </w:trPr>
        <w:tc>
          <w:tcPr>
            <w:tcW w:w="45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2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w w:val="97"/>
              </w:rPr>
              <w:t>Six Months Ended</w:t>
            </w:r>
          </w:p>
        </w:tc>
        <w:tc>
          <w:tcPr>
            <w:tcW w:w="740" w:type="dxa"/>
            <w:vAlign w:val="bottom"/>
          </w:tcPr>
          <w:p>
            <w:pPr>
              <w:spacing w:after="0"/>
              <w:rPr>
                <w:sz w:val="12"/>
                <w:szCs w:val="12"/>
                <w:color w:val="auto"/>
              </w:rPr>
            </w:pPr>
          </w:p>
        </w:tc>
        <w:tc>
          <w:tcPr>
            <w:tcW w:w="14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9"/>
              </w:rPr>
              <w:t>Twelve Months Ended</w:t>
            </w:r>
          </w:p>
        </w:tc>
      </w:tr>
      <w:tr>
        <w:trPr>
          <w:trHeight w:val="171"/>
        </w:trPr>
        <w:tc>
          <w:tcPr>
            <w:tcW w:w="45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8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94"/>
              </w:rPr>
              <w:t>July 31, 2021</w:t>
            </w:r>
          </w:p>
        </w:tc>
        <w:tc>
          <w:tcPr>
            <w:tcW w:w="7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32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92"/>
              </w:rPr>
              <w:t>January 30, 2021</w:t>
            </w:r>
          </w:p>
        </w:tc>
      </w:tr>
      <w:tr>
        <w:trPr>
          <w:trHeight w:val="142"/>
        </w:trPr>
        <w:tc>
          <w:tcPr>
            <w:tcW w:w="45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1020" w:type="dxa"/>
            <w:vAlign w:val="bottom"/>
            <w:tcBorders>
              <w:top w:val="single" w:sz="8" w:color="auto"/>
            </w:tcBorders>
          </w:tcPr>
          <w:p>
            <w:pPr>
              <w:spacing w:after="0"/>
              <w:rPr>
                <w:sz w:val="12"/>
                <w:szCs w:val="12"/>
                <w:color w:val="auto"/>
              </w:rPr>
            </w:pPr>
          </w:p>
        </w:tc>
        <w:tc>
          <w:tcPr>
            <w:tcW w:w="60" w:type="dxa"/>
            <w:vAlign w:val="bottom"/>
            <w:tcBorders>
              <w:top w:val="single" w:sz="8" w:color="auto"/>
            </w:tcBorders>
          </w:tcPr>
          <w:p>
            <w:pPr>
              <w:spacing w:after="0"/>
              <w:rPr>
                <w:sz w:val="12"/>
                <w:szCs w:val="12"/>
                <w:color w:val="auto"/>
              </w:rPr>
            </w:pPr>
          </w:p>
        </w:tc>
        <w:tc>
          <w:tcPr>
            <w:tcW w:w="90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22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02"/>
        </w:trPr>
        <w:tc>
          <w:tcPr>
            <w:tcW w:w="45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7"/>
              </w:rPr>
              <w:t>Reverse historical stated interest expense, amortization of</w:t>
            </w:r>
          </w:p>
        </w:tc>
        <w:tc>
          <w:tcPr>
            <w:tcW w:w="3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30"/>
        </w:trPr>
        <w:tc>
          <w:tcPr>
            <w:tcW w:w="45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debt issuance costs, and bridge loan expense</w:t>
            </w:r>
          </w:p>
        </w:tc>
        <w:tc>
          <w:tcPr>
            <w:tcW w:w="52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35,590</w:t>
            </w:r>
          </w:p>
        </w:tc>
        <w:tc>
          <w:tcPr>
            <w:tcW w:w="900" w:type="dxa"/>
            <w:vAlign w:val="bottom"/>
            <w:gridSpan w:val="2"/>
            <w:shd w:val="clear" w:color="auto" w:fill="CCEEFF"/>
          </w:tcPr>
          <w:p>
            <w:pPr>
              <w:ind w:left="740"/>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5,753</w:t>
            </w:r>
          </w:p>
        </w:tc>
      </w:tr>
      <w:tr>
        <w:trPr>
          <w:trHeight w:val="202"/>
        </w:trPr>
        <w:tc>
          <w:tcPr>
            <w:tcW w:w="4540" w:type="dxa"/>
            <w:vAlign w:val="bottom"/>
          </w:tcPr>
          <w:p>
            <w:pPr>
              <w:spacing w:after="0" w:line="201" w:lineRule="exact"/>
              <w:rPr>
                <w:sz w:val="20"/>
                <w:szCs w:val="20"/>
                <w:color w:val="auto"/>
              </w:rPr>
            </w:pPr>
            <w:r>
              <w:rPr>
                <w:rFonts w:ascii="Arial" w:cs="Arial" w:eastAsia="Arial" w:hAnsi="Arial"/>
                <w:sz w:val="18"/>
                <w:szCs w:val="18"/>
                <w:color w:val="auto"/>
              </w:rPr>
              <w:t>Record new stated interest expense and amortization of</w:t>
            </w:r>
          </w:p>
        </w:tc>
        <w:tc>
          <w:tcPr>
            <w:tcW w:w="3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30"/>
        </w:trPr>
        <w:tc>
          <w:tcPr>
            <w:tcW w:w="4540" w:type="dxa"/>
            <w:vAlign w:val="bottom"/>
          </w:tcPr>
          <w:p>
            <w:pPr>
              <w:ind w:left="180"/>
              <w:spacing w:after="0"/>
              <w:rPr>
                <w:sz w:val="20"/>
                <w:szCs w:val="20"/>
                <w:color w:val="auto"/>
              </w:rPr>
            </w:pPr>
            <w:r>
              <w:rPr>
                <w:rFonts w:ascii="Arial" w:cs="Arial" w:eastAsia="Arial" w:hAnsi="Arial"/>
                <w:sz w:val="18"/>
                <w:szCs w:val="18"/>
                <w:color w:val="auto"/>
              </w:rPr>
              <w:t>debt issuance costs</w:t>
            </w:r>
          </w:p>
        </w:tc>
        <w:tc>
          <w:tcPr>
            <w:tcW w:w="3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(40,342)</w:t>
            </w:r>
          </w:p>
        </w:tc>
        <w:tc>
          <w:tcPr>
            <w:tcW w:w="7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20" w:type="dxa"/>
            <w:vAlign w:val="bottom"/>
            <w:gridSpan w:val="2"/>
          </w:tcPr>
          <w:p>
            <w:pPr>
              <w:jc w:val="right"/>
              <w:ind w:right="40"/>
              <w:spacing w:after="0"/>
              <w:rPr>
                <w:sz w:val="20"/>
                <w:szCs w:val="20"/>
                <w:color w:val="auto"/>
              </w:rPr>
            </w:pPr>
            <w:r>
              <w:rPr>
                <w:rFonts w:ascii="Arial" w:cs="Arial" w:eastAsia="Arial" w:hAnsi="Arial"/>
                <w:sz w:val="18"/>
                <w:szCs w:val="18"/>
                <w:color w:val="auto"/>
              </w:rPr>
              <w:t>(93,128)</w:t>
            </w:r>
          </w:p>
        </w:tc>
      </w:tr>
      <w:tr>
        <w:trPr>
          <w:trHeight w:val="27"/>
        </w:trPr>
        <w:tc>
          <w:tcPr>
            <w:tcW w:w="45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102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7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12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interest expense</w:t>
            </w:r>
          </w:p>
        </w:tc>
        <w:tc>
          <w:tcPr>
            <w:tcW w:w="3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(4,752)</w:t>
            </w:r>
          </w:p>
        </w:tc>
        <w:tc>
          <w:tcPr>
            <w:tcW w:w="900" w:type="dxa"/>
            <w:vAlign w:val="bottom"/>
            <w:gridSpan w:val="2"/>
            <w:shd w:val="clear" w:color="auto" w:fill="CCEEFF"/>
          </w:tcPr>
          <w:p>
            <w:pPr>
              <w:ind w:left="740"/>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(87,375)</w:t>
            </w:r>
          </w:p>
        </w:tc>
      </w:tr>
      <w:tr>
        <w:trPr>
          <w:trHeight w:val="20"/>
        </w:trPr>
        <w:tc>
          <w:tcPr>
            <w:tcW w:w="45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424" w:right="80" w:hanging="424"/>
        <w:spacing w:after="0" w:line="257" w:lineRule="auto"/>
        <w:tabs>
          <w:tab w:leader="none" w:pos="424"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This adjustment reflects the income tax benefit effect of the financing related adjustments based on the applicable statutory tax rate. There was no tax impact in MTI’s historical condensed combined statement of operations related to the $35.6 million interest expense for the six months ended July 31, 2021 and the $5.8 million bridge loan expense for the twelve months ended January 30, 2021, due to the Company’s financing having been in its Bermuda entity which has a 0% statutory tax rate thus no historic tax benefit to reverse. Refer to Note 7(e) for additional details on income tax effects of adjustments.</w:t>
      </w:r>
    </w:p>
    <w:p>
      <w:pPr>
        <w:spacing w:after="0" w:line="332" w:lineRule="exact"/>
        <w:rPr>
          <w:sz w:val="20"/>
          <w:szCs w:val="20"/>
          <w:color w:val="auto"/>
        </w:rPr>
      </w:pPr>
    </w:p>
    <w:p>
      <w:pPr>
        <w:ind w:left="424" w:hanging="424"/>
        <w:spacing w:after="0"/>
        <w:tabs>
          <w:tab w:leader="none" w:pos="424" w:val="left"/>
        </w:tabs>
        <w:numPr>
          <w:ilvl w:val="0"/>
          <w:numId w:val="13"/>
        </w:numPr>
        <w:rPr>
          <w:rFonts w:ascii="Arial" w:cs="Arial" w:eastAsia="Arial" w:hAnsi="Arial"/>
          <w:sz w:val="18"/>
          <w:szCs w:val="18"/>
          <w:b w:val="1"/>
          <w:bCs w:val="1"/>
          <w:color w:val="auto"/>
        </w:rPr>
      </w:pPr>
      <w:r>
        <w:rPr>
          <w:rFonts w:ascii="Arial" w:cs="Arial" w:eastAsia="Arial" w:hAnsi="Arial"/>
          <w:sz w:val="18"/>
          <w:szCs w:val="18"/>
          <w:b w:val="1"/>
          <w:bCs w:val="1"/>
          <w:color w:val="auto"/>
        </w:rPr>
        <w:t>Transaction Related Adjustments</w:t>
      </w:r>
    </w:p>
    <w:p>
      <w:pPr>
        <w:spacing w:after="0" w:line="135" w:lineRule="exact"/>
        <w:rPr>
          <w:sz w:val="20"/>
          <w:szCs w:val="20"/>
          <w:color w:val="auto"/>
        </w:rPr>
      </w:pPr>
    </w:p>
    <w:p>
      <w:pPr>
        <w:ind w:left="424" w:hanging="424"/>
        <w:spacing w:after="0" w:line="285" w:lineRule="auto"/>
        <w:tabs>
          <w:tab w:leader="none" w:pos="424" w:val="left"/>
        </w:tabs>
        <w:numPr>
          <w:ilvl w:val="0"/>
          <w:numId w:val="14"/>
        </w:numPr>
        <w:rPr>
          <w:rFonts w:ascii="Arial" w:cs="Arial" w:eastAsia="Arial" w:hAnsi="Arial"/>
          <w:sz w:val="16"/>
          <w:szCs w:val="16"/>
          <w:color w:val="auto"/>
        </w:rPr>
      </w:pPr>
      <w:r>
        <w:rPr>
          <w:rFonts w:ascii="Arial" w:cs="Arial" w:eastAsia="Arial" w:hAnsi="Arial"/>
          <w:sz w:val="16"/>
          <w:szCs w:val="16"/>
          <w:color w:val="auto"/>
        </w:rPr>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 based compensation expense, record new stock-based compensation expense due to the equity award replacement and resulting remeasurement of the fair value of stock based compensation as a result of the Inphi acquisition, eliminate the incremental cost of sales recorded by the Company following the acquisition based on the fair value of inventory acquired and record the entire</w:t>
      </w:r>
    </w:p>
    <w:p>
      <w:pPr>
        <w:spacing w:after="0" w:line="2" w:lineRule="exact"/>
        <w:rPr>
          <w:sz w:val="20"/>
          <w:szCs w:val="20"/>
          <w:color w:val="auto"/>
        </w:rPr>
      </w:pPr>
    </w:p>
    <w:p>
      <w:pPr>
        <w:ind w:left="424"/>
        <w:spacing w:after="0"/>
        <w:rPr>
          <w:sz w:val="20"/>
          <w:szCs w:val="20"/>
          <w:color w:val="auto"/>
        </w:rPr>
      </w:pPr>
      <w:r>
        <w:rPr>
          <w:rFonts w:ascii="Arial" w:cs="Arial" w:eastAsia="Arial" w:hAnsi="Arial"/>
          <w:sz w:val="18"/>
          <w:szCs w:val="18"/>
          <w:color w:val="auto"/>
        </w:rPr>
        <w:t>inventory fair value adjustment in the twelve months ended January 30, 2021.</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w:t>
      </w:r>
    </w:p>
    <w:p>
      <w:pPr>
        <w:spacing w:after="0" w:line="217" w:lineRule="exact"/>
        <w:rPr>
          <w:sz w:val="20"/>
          <w:szCs w:val="20"/>
          <w:color w:val="auto"/>
        </w:rPr>
      </w:pPr>
    </w:p>
    <w:tbl>
      <w:tblPr>
        <w:tblLayout w:type="fixed"/>
        <w:tblInd w:w="1324" w:type="dxa"/>
        <w:tblCellMar>
          <w:top w:w="0" w:type="dxa"/>
          <w:left w:w="0" w:type="dxa"/>
          <w:bottom w:w="0" w:type="dxa"/>
          <w:right w:w="0" w:type="dxa"/>
        </w:tblCellMar>
      </w:tblPr>
      <w:tr>
        <w:trPr>
          <w:trHeight w:val="161"/>
        </w:trPr>
        <w:tc>
          <w:tcPr>
            <w:tcW w:w="49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80" w:type="dxa"/>
            <w:vAlign w:val="bottom"/>
            <w:gridSpan w:val="2"/>
          </w:tcPr>
          <w:p>
            <w:pPr>
              <w:jc w:val="right"/>
              <w:ind w:right="928"/>
              <w:spacing w:after="0"/>
              <w:rPr>
                <w:sz w:val="20"/>
                <w:szCs w:val="20"/>
                <w:color w:val="auto"/>
              </w:rPr>
            </w:pPr>
            <w:r>
              <w:rPr>
                <w:rFonts w:ascii="Arial" w:cs="Arial" w:eastAsia="Arial" w:hAnsi="Arial"/>
                <w:sz w:val="14"/>
                <w:szCs w:val="14"/>
                <w:b w:val="1"/>
                <w:bCs w:val="1"/>
                <w:color w:val="auto"/>
              </w:rPr>
              <w:t>Pro Forma</w:t>
            </w:r>
          </w:p>
        </w:tc>
        <w:tc>
          <w:tcPr>
            <w:tcW w:w="140" w:type="dxa"/>
            <w:vAlign w:val="bottom"/>
          </w:tcPr>
          <w:p>
            <w:pPr>
              <w:spacing w:after="0"/>
              <w:rPr>
                <w:sz w:val="14"/>
                <w:szCs w:val="14"/>
                <w:color w:val="auto"/>
              </w:rPr>
            </w:pPr>
          </w:p>
        </w:tc>
        <w:tc>
          <w:tcPr>
            <w:tcW w:w="134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Pro Forma</w:t>
            </w:r>
          </w:p>
        </w:tc>
      </w:tr>
      <w:tr>
        <w:trPr>
          <w:trHeight w:val="148"/>
        </w:trPr>
        <w:tc>
          <w:tcPr>
            <w:tcW w:w="4960" w:type="dxa"/>
            <w:vAlign w:val="bottom"/>
          </w:tcPr>
          <w:p>
            <w:pPr>
              <w:spacing w:after="0"/>
              <w:rPr>
                <w:sz w:val="12"/>
                <w:szCs w:val="12"/>
                <w:color w:val="auto"/>
              </w:rPr>
            </w:pPr>
          </w:p>
        </w:tc>
        <w:tc>
          <w:tcPr>
            <w:tcW w:w="192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Six Months Ended</w:t>
            </w:r>
          </w:p>
        </w:tc>
        <w:tc>
          <w:tcPr>
            <w:tcW w:w="14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9"/>
              </w:rPr>
              <w:t>Twelve Months Ended</w:t>
            </w:r>
          </w:p>
        </w:tc>
      </w:tr>
      <w:tr>
        <w:trPr>
          <w:trHeight w:val="171"/>
        </w:trPr>
        <w:tc>
          <w:tcPr>
            <w:tcW w:w="49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80" w:type="dxa"/>
            <w:vAlign w:val="bottom"/>
            <w:gridSpan w:val="2"/>
          </w:tcPr>
          <w:p>
            <w:pPr>
              <w:jc w:val="right"/>
              <w:ind w:right="868"/>
              <w:spacing w:after="0"/>
              <w:rPr>
                <w:sz w:val="20"/>
                <w:szCs w:val="20"/>
                <w:color w:val="auto"/>
              </w:rPr>
            </w:pPr>
            <w:r>
              <w:rPr>
                <w:rFonts w:ascii="Arial" w:cs="Arial" w:eastAsia="Arial" w:hAnsi="Arial"/>
                <w:sz w:val="14"/>
                <w:szCs w:val="14"/>
                <w:b w:val="1"/>
                <w:bCs w:val="1"/>
                <w:color w:val="auto"/>
                <w:w w:val="94"/>
              </w:rPr>
              <w:t>July 31, 2021</w:t>
            </w:r>
          </w:p>
        </w:tc>
        <w:tc>
          <w:tcPr>
            <w:tcW w:w="140" w:type="dxa"/>
            <w:vAlign w:val="bottom"/>
          </w:tcPr>
          <w:p>
            <w:pPr>
              <w:spacing w:after="0"/>
              <w:rPr>
                <w:sz w:val="14"/>
                <w:szCs w:val="14"/>
                <w:color w:val="auto"/>
              </w:rPr>
            </w:pPr>
          </w:p>
        </w:tc>
        <w:tc>
          <w:tcPr>
            <w:tcW w:w="134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94"/>
              </w:rPr>
              <w:t>January 30, 2021</w:t>
            </w:r>
          </w:p>
        </w:tc>
      </w:tr>
      <w:tr>
        <w:trPr>
          <w:trHeight w:val="142"/>
        </w:trPr>
        <w:tc>
          <w:tcPr>
            <w:tcW w:w="4960" w:type="dxa"/>
            <w:vAlign w:val="bottom"/>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1020" w:type="dxa"/>
            <w:vAlign w:val="bottom"/>
            <w:tcBorders>
              <w:top w:val="single" w:sz="8" w:color="auto"/>
            </w:tcBorders>
          </w:tcPr>
          <w:p>
            <w:pPr>
              <w:spacing w:after="0"/>
              <w:rPr>
                <w:sz w:val="12"/>
                <w:szCs w:val="12"/>
                <w:color w:val="auto"/>
              </w:rPr>
            </w:pPr>
          </w:p>
        </w:tc>
        <w:tc>
          <w:tcPr>
            <w:tcW w:w="2140" w:type="dxa"/>
            <w:vAlign w:val="bottom"/>
            <w:tcBorders>
              <w:top w:val="single" w:sz="8" w:color="auto"/>
            </w:tcBorders>
            <w:gridSpan w:val="3"/>
          </w:tcPr>
          <w:p>
            <w:pPr>
              <w:jc w:val="right"/>
              <w:ind w:right="1114"/>
              <w:spacing w:after="0" w:line="142" w:lineRule="exact"/>
              <w:rPr>
                <w:sz w:val="20"/>
                <w:szCs w:val="20"/>
                <w:color w:val="auto"/>
              </w:rPr>
            </w:pPr>
            <w:r>
              <w:rPr>
                <w:rFonts w:ascii="Arial" w:cs="Arial" w:eastAsia="Arial" w:hAnsi="Arial"/>
                <w:sz w:val="14"/>
                <w:szCs w:val="14"/>
                <w:b w:val="1"/>
                <w:bCs w:val="1"/>
                <w:color w:val="auto"/>
                <w:w w:val="95"/>
              </w:rPr>
              <w:t>(In thousands)</w:t>
            </w:r>
          </w:p>
        </w:tc>
        <w:tc>
          <w:tcPr>
            <w:tcW w:w="100" w:type="dxa"/>
            <w:vAlign w:val="bottom"/>
          </w:tcPr>
          <w:p>
            <w:pPr>
              <w:spacing w:after="0"/>
              <w:rPr>
                <w:sz w:val="12"/>
                <w:szCs w:val="12"/>
                <w:color w:val="auto"/>
              </w:rPr>
            </w:pPr>
          </w:p>
        </w:tc>
      </w:tr>
      <w:tr>
        <w:trPr>
          <w:trHeight w:val="202"/>
        </w:trPr>
        <w:tc>
          <w:tcPr>
            <w:tcW w:w="49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Elimination of Inphi’s depreciation on property and</w:t>
            </w:r>
          </w:p>
        </w:tc>
        <w:tc>
          <w:tcPr>
            <w:tcW w:w="14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30"/>
        </w:trPr>
        <w:tc>
          <w:tcPr>
            <w:tcW w:w="4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equipment</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780" w:type="dxa"/>
            <w:vAlign w:val="bottom"/>
            <w:gridSpan w:val="2"/>
            <w:shd w:val="clear" w:color="auto" w:fill="CCEEFF"/>
          </w:tcPr>
          <w:p>
            <w:pPr>
              <w:jc w:val="right"/>
              <w:ind w:right="628"/>
              <w:spacing w:after="0"/>
              <w:rPr>
                <w:sz w:val="20"/>
                <w:szCs w:val="20"/>
                <w:color w:val="auto"/>
              </w:rPr>
            </w:pPr>
            <w:r>
              <w:rPr>
                <w:rFonts w:ascii="Arial" w:cs="Arial" w:eastAsia="Arial" w:hAnsi="Arial"/>
                <w:sz w:val="18"/>
                <w:szCs w:val="18"/>
                <w:color w:val="auto"/>
              </w:rPr>
              <w:t>(6,782)</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3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(11,226)</w:t>
            </w:r>
          </w:p>
        </w:tc>
      </w:tr>
      <w:tr>
        <w:trPr>
          <w:trHeight w:val="216"/>
        </w:trPr>
        <w:tc>
          <w:tcPr>
            <w:tcW w:w="4960" w:type="dxa"/>
            <w:vAlign w:val="bottom"/>
          </w:tcPr>
          <w:p>
            <w:pPr>
              <w:spacing w:after="0"/>
              <w:rPr>
                <w:sz w:val="20"/>
                <w:szCs w:val="20"/>
                <w:color w:val="auto"/>
              </w:rPr>
            </w:pPr>
            <w:r>
              <w:rPr>
                <w:rFonts w:ascii="Arial" w:cs="Arial" w:eastAsia="Arial" w:hAnsi="Arial"/>
                <w:sz w:val="18"/>
                <w:szCs w:val="18"/>
                <w:color w:val="auto"/>
              </w:rPr>
              <w:t>Depreciation after fair value adjustment (1)</w:t>
            </w:r>
          </w:p>
        </w:tc>
        <w:tc>
          <w:tcPr>
            <w:tcW w:w="140" w:type="dxa"/>
            <w:vAlign w:val="bottom"/>
          </w:tcPr>
          <w:p>
            <w:pPr>
              <w:spacing w:after="0"/>
              <w:rPr>
                <w:sz w:val="18"/>
                <w:szCs w:val="18"/>
                <w:color w:val="auto"/>
              </w:rPr>
            </w:pPr>
          </w:p>
        </w:tc>
        <w:tc>
          <w:tcPr>
            <w:tcW w:w="1780" w:type="dxa"/>
            <w:vAlign w:val="bottom"/>
            <w:gridSpan w:val="2"/>
          </w:tcPr>
          <w:p>
            <w:pPr>
              <w:jc w:val="right"/>
              <w:ind w:right="688"/>
              <w:spacing w:after="0"/>
              <w:rPr>
                <w:sz w:val="20"/>
                <w:szCs w:val="20"/>
                <w:color w:val="auto"/>
              </w:rPr>
            </w:pPr>
            <w:r>
              <w:rPr>
                <w:rFonts w:ascii="Arial" w:cs="Arial" w:eastAsia="Arial" w:hAnsi="Arial"/>
                <w:sz w:val="18"/>
                <w:szCs w:val="18"/>
                <w:color w:val="auto"/>
              </w:rPr>
              <w:t>5,282</w:t>
            </w:r>
          </w:p>
        </w:tc>
        <w:tc>
          <w:tcPr>
            <w:tcW w:w="140" w:type="dxa"/>
            <w:vAlign w:val="bottom"/>
          </w:tcPr>
          <w:p>
            <w:pPr>
              <w:spacing w:after="0"/>
              <w:rPr>
                <w:sz w:val="18"/>
                <w:szCs w:val="18"/>
                <w:color w:val="auto"/>
              </w:rPr>
            </w:pPr>
          </w:p>
        </w:tc>
        <w:tc>
          <w:tcPr>
            <w:tcW w:w="1340" w:type="dxa"/>
            <w:vAlign w:val="bottom"/>
            <w:gridSpan w:val="2"/>
          </w:tcPr>
          <w:p>
            <w:pPr>
              <w:jc w:val="right"/>
              <w:ind w:right="100"/>
              <w:spacing w:after="0"/>
              <w:rPr>
                <w:sz w:val="20"/>
                <w:szCs w:val="20"/>
                <w:color w:val="auto"/>
              </w:rPr>
            </w:pPr>
            <w:r>
              <w:rPr>
                <w:rFonts w:ascii="Arial" w:cs="Arial" w:eastAsia="Arial" w:hAnsi="Arial"/>
                <w:sz w:val="18"/>
                <w:szCs w:val="18"/>
                <w:color w:val="auto"/>
              </w:rPr>
              <w:t>15,360</w:t>
            </w:r>
          </w:p>
        </w:tc>
      </w:tr>
      <w:tr>
        <w:trPr>
          <w:trHeight w:val="216"/>
        </w:trPr>
        <w:tc>
          <w:tcPr>
            <w:tcW w:w="49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Inphi’s amortization on intangible assets</w:t>
            </w:r>
          </w:p>
        </w:tc>
        <w:tc>
          <w:tcPr>
            <w:tcW w:w="140" w:type="dxa"/>
            <w:vAlign w:val="bottom"/>
            <w:shd w:val="clear" w:color="auto" w:fill="CCEEFF"/>
          </w:tcPr>
          <w:p>
            <w:pPr>
              <w:spacing w:after="0"/>
              <w:rPr>
                <w:sz w:val="18"/>
                <w:szCs w:val="18"/>
                <w:color w:val="auto"/>
              </w:rPr>
            </w:pPr>
          </w:p>
        </w:tc>
        <w:tc>
          <w:tcPr>
            <w:tcW w:w="1780" w:type="dxa"/>
            <w:vAlign w:val="bottom"/>
            <w:gridSpan w:val="2"/>
            <w:shd w:val="clear" w:color="auto" w:fill="CCEEFF"/>
          </w:tcPr>
          <w:p>
            <w:pPr>
              <w:jc w:val="right"/>
              <w:ind w:right="628"/>
              <w:spacing w:after="0"/>
              <w:rPr>
                <w:sz w:val="20"/>
                <w:szCs w:val="20"/>
                <w:color w:val="auto"/>
              </w:rPr>
            </w:pPr>
            <w:r>
              <w:rPr>
                <w:rFonts w:ascii="Arial" w:cs="Arial" w:eastAsia="Arial" w:hAnsi="Arial"/>
                <w:sz w:val="18"/>
                <w:szCs w:val="18"/>
                <w:color w:val="auto"/>
              </w:rPr>
              <w:t>(103,830)</w:t>
            </w:r>
          </w:p>
        </w:tc>
        <w:tc>
          <w:tcPr>
            <w:tcW w:w="1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(53,782)</w:t>
            </w:r>
          </w:p>
        </w:tc>
      </w:tr>
      <w:tr>
        <w:trPr>
          <w:trHeight w:val="216"/>
        </w:trPr>
        <w:tc>
          <w:tcPr>
            <w:tcW w:w="4960" w:type="dxa"/>
            <w:vAlign w:val="bottom"/>
          </w:tcPr>
          <w:p>
            <w:pPr>
              <w:spacing w:after="0"/>
              <w:rPr>
                <w:sz w:val="20"/>
                <w:szCs w:val="20"/>
                <w:color w:val="auto"/>
              </w:rPr>
            </w:pPr>
            <w:r>
              <w:rPr>
                <w:rFonts w:ascii="Arial" w:cs="Arial" w:eastAsia="Arial" w:hAnsi="Arial"/>
                <w:sz w:val="18"/>
                <w:szCs w:val="18"/>
                <w:color w:val="auto"/>
              </w:rPr>
              <w:t>Amortization after fair value adjustment (2)</w:t>
            </w:r>
          </w:p>
        </w:tc>
        <w:tc>
          <w:tcPr>
            <w:tcW w:w="140" w:type="dxa"/>
            <w:vAlign w:val="bottom"/>
          </w:tcPr>
          <w:p>
            <w:pPr>
              <w:spacing w:after="0"/>
              <w:rPr>
                <w:sz w:val="18"/>
                <w:szCs w:val="18"/>
                <w:color w:val="auto"/>
              </w:rPr>
            </w:pPr>
          </w:p>
        </w:tc>
        <w:tc>
          <w:tcPr>
            <w:tcW w:w="1780" w:type="dxa"/>
            <w:vAlign w:val="bottom"/>
            <w:gridSpan w:val="2"/>
          </w:tcPr>
          <w:p>
            <w:pPr>
              <w:jc w:val="right"/>
              <w:ind w:right="688"/>
              <w:spacing w:after="0"/>
              <w:rPr>
                <w:sz w:val="20"/>
                <w:szCs w:val="20"/>
                <w:color w:val="auto"/>
              </w:rPr>
            </w:pPr>
            <w:r>
              <w:rPr>
                <w:rFonts w:ascii="Arial" w:cs="Arial" w:eastAsia="Arial" w:hAnsi="Arial"/>
                <w:sz w:val="18"/>
                <w:szCs w:val="18"/>
                <w:color w:val="auto"/>
              </w:rPr>
              <w:t>166,889</w:t>
            </w:r>
          </w:p>
        </w:tc>
        <w:tc>
          <w:tcPr>
            <w:tcW w:w="140" w:type="dxa"/>
            <w:vAlign w:val="bottom"/>
          </w:tcPr>
          <w:p>
            <w:pPr>
              <w:spacing w:after="0"/>
              <w:rPr>
                <w:sz w:val="18"/>
                <w:szCs w:val="18"/>
                <w:color w:val="auto"/>
              </w:rPr>
            </w:pPr>
          </w:p>
        </w:tc>
        <w:tc>
          <w:tcPr>
            <w:tcW w:w="1340" w:type="dxa"/>
            <w:vAlign w:val="bottom"/>
            <w:gridSpan w:val="2"/>
          </w:tcPr>
          <w:p>
            <w:pPr>
              <w:jc w:val="right"/>
              <w:ind w:right="100"/>
              <w:spacing w:after="0"/>
              <w:rPr>
                <w:sz w:val="20"/>
                <w:szCs w:val="20"/>
                <w:color w:val="auto"/>
              </w:rPr>
            </w:pPr>
            <w:r>
              <w:rPr>
                <w:rFonts w:ascii="Arial" w:cs="Arial" w:eastAsia="Arial" w:hAnsi="Arial"/>
                <w:sz w:val="18"/>
                <w:szCs w:val="18"/>
                <w:color w:val="auto"/>
              </w:rPr>
              <w:t>334,694</w:t>
            </w:r>
          </w:p>
        </w:tc>
      </w:tr>
      <w:tr>
        <w:trPr>
          <w:trHeight w:val="202"/>
        </w:trPr>
        <w:tc>
          <w:tcPr>
            <w:tcW w:w="49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Elimination of historical stock-based compensation</w:t>
            </w:r>
          </w:p>
        </w:tc>
        <w:tc>
          <w:tcPr>
            <w:tcW w:w="14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30"/>
        </w:trPr>
        <w:tc>
          <w:tcPr>
            <w:tcW w:w="4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expense</w:t>
            </w:r>
          </w:p>
        </w:tc>
        <w:tc>
          <w:tcPr>
            <w:tcW w:w="140" w:type="dxa"/>
            <w:vAlign w:val="bottom"/>
            <w:shd w:val="clear" w:color="auto" w:fill="CCEEFF"/>
          </w:tcPr>
          <w:p>
            <w:pPr>
              <w:spacing w:after="0"/>
              <w:rPr>
                <w:sz w:val="20"/>
                <w:szCs w:val="20"/>
                <w:color w:val="auto"/>
              </w:rPr>
            </w:pPr>
          </w:p>
        </w:tc>
        <w:tc>
          <w:tcPr>
            <w:tcW w:w="1780" w:type="dxa"/>
            <w:vAlign w:val="bottom"/>
            <w:gridSpan w:val="2"/>
            <w:shd w:val="clear" w:color="auto" w:fill="CCEEFF"/>
          </w:tcPr>
          <w:p>
            <w:pPr>
              <w:jc w:val="right"/>
              <w:ind w:right="628"/>
              <w:spacing w:after="0"/>
              <w:rPr>
                <w:sz w:val="20"/>
                <w:szCs w:val="20"/>
                <w:color w:val="auto"/>
              </w:rPr>
            </w:pPr>
            <w:r>
              <w:rPr>
                <w:rFonts w:ascii="Arial" w:cs="Arial" w:eastAsia="Arial" w:hAnsi="Arial"/>
                <w:sz w:val="18"/>
                <w:szCs w:val="18"/>
                <w:color w:val="auto"/>
              </w:rPr>
              <w:t>(13,790)</w:t>
            </w:r>
          </w:p>
        </w:tc>
        <w:tc>
          <w:tcPr>
            <w:tcW w:w="140" w:type="dxa"/>
            <w:vAlign w:val="bottom"/>
            <w:shd w:val="clear" w:color="auto" w:fill="CCEEFF"/>
          </w:tcPr>
          <w:p>
            <w:pPr>
              <w:spacing w:after="0"/>
              <w:rPr>
                <w:sz w:val="20"/>
                <w:szCs w:val="20"/>
                <w:color w:val="auto"/>
              </w:rPr>
            </w:pPr>
          </w:p>
        </w:tc>
        <w:tc>
          <w:tcPr>
            <w:tcW w:w="13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(7,859)</w:t>
            </w:r>
          </w:p>
        </w:tc>
      </w:tr>
      <w:tr>
        <w:trPr>
          <w:trHeight w:val="202"/>
        </w:trPr>
        <w:tc>
          <w:tcPr>
            <w:tcW w:w="4960" w:type="dxa"/>
            <w:vAlign w:val="bottom"/>
          </w:tcPr>
          <w:p>
            <w:pPr>
              <w:spacing w:after="0" w:line="201" w:lineRule="exact"/>
              <w:rPr>
                <w:sz w:val="20"/>
                <w:szCs w:val="20"/>
                <w:color w:val="auto"/>
              </w:rPr>
            </w:pPr>
            <w:r>
              <w:rPr>
                <w:rFonts w:ascii="Arial" w:cs="Arial" w:eastAsia="Arial" w:hAnsi="Arial"/>
                <w:sz w:val="18"/>
                <w:szCs w:val="18"/>
                <w:color w:val="auto"/>
              </w:rPr>
              <w:t>Stock based compensation expense after equity award</w:t>
            </w:r>
          </w:p>
        </w:tc>
        <w:tc>
          <w:tcPr>
            <w:tcW w:w="1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30"/>
        </w:trPr>
        <w:tc>
          <w:tcPr>
            <w:tcW w:w="4960" w:type="dxa"/>
            <w:vAlign w:val="bottom"/>
          </w:tcPr>
          <w:p>
            <w:pPr>
              <w:ind w:left="180"/>
              <w:spacing w:after="0"/>
              <w:rPr>
                <w:sz w:val="20"/>
                <w:szCs w:val="20"/>
                <w:color w:val="auto"/>
              </w:rPr>
            </w:pPr>
            <w:r>
              <w:rPr>
                <w:rFonts w:ascii="Arial" w:cs="Arial" w:eastAsia="Arial" w:hAnsi="Arial"/>
                <w:sz w:val="18"/>
                <w:szCs w:val="18"/>
                <w:color w:val="auto"/>
              </w:rPr>
              <w:t>replacement and fair value remeasurement (3)</w:t>
            </w:r>
          </w:p>
        </w:tc>
        <w:tc>
          <w:tcPr>
            <w:tcW w:w="140" w:type="dxa"/>
            <w:vAlign w:val="bottom"/>
          </w:tcPr>
          <w:p>
            <w:pPr>
              <w:spacing w:after="0"/>
              <w:rPr>
                <w:sz w:val="20"/>
                <w:szCs w:val="20"/>
                <w:color w:val="auto"/>
              </w:rPr>
            </w:pPr>
          </w:p>
        </w:tc>
        <w:tc>
          <w:tcPr>
            <w:tcW w:w="1780" w:type="dxa"/>
            <w:vAlign w:val="bottom"/>
            <w:gridSpan w:val="2"/>
          </w:tcPr>
          <w:p>
            <w:pPr>
              <w:jc w:val="right"/>
              <w:ind w:right="688"/>
              <w:spacing w:after="0"/>
              <w:rPr>
                <w:sz w:val="20"/>
                <w:szCs w:val="20"/>
                <w:color w:val="auto"/>
              </w:rPr>
            </w:pPr>
            <w:r>
              <w:rPr>
                <w:rFonts w:ascii="Arial" w:cs="Arial" w:eastAsia="Arial" w:hAnsi="Arial"/>
                <w:sz w:val="18"/>
                <w:szCs w:val="18"/>
                <w:color w:val="auto"/>
              </w:rPr>
              <w:t>7,781</w:t>
            </w:r>
          </w:p>
        </w:tc>
        <w:tc>
          <w:tcPr>
            <w:tcW w:w="140" w:type="dxa"/>
            <w:vAlign w:val="bottom"/>
          </w:tcPr>
          <w:p>
            <w:pPr>
              <w:spacing w:after="0"/>
              <w:rPr>
                <w:sz w:val="20"/>
                <w:szCs w:val="20"/>
                <w:color w:val="auto"/>
              </w:rPr>
            </w:pPr>
          </w:p>
        </w:tc>
        <w:tc>
          <w:tcPr>
            <w:tcW w:w="1340" w:type="dxa"/>
            <w:vAlign w:val="bottom"/>
            <w:gridSpan w:val="2"/>
          </w:tcPr>
          <w:p>
            <w:pPr>
              <w:jc w:val="right"/>
              <w:ind w:right="100"/>
              <w:spacing w:after="0"/>
              <w:rPr>
                <w:sz w:val="20"/>
                <w:szCs w:val="20"/>
                <w:color w:val="auto"/>
              </w:rPr>
            </w:pPr>
            <w:r>
              <w:rPr>
                <w:rFonts w:ascii="Arial" w:cs="Arial" w:eastAsia="Arial" w:hAnsi="Arial"/>
                <w:sz w:val="18"/>
                <w:szCs w:val="18"/>
                <w:color w:val="auto"/>
              </w:rPr>
              <w:t>27,962</w:t>
            </w:r>
          </w:p>
        </w:tc>
      </w:tr>
      <w:tr>
        <w:trPr>
          <w:trHeight w:val="216"/>
        </w:trPr>
        <w:tc>
          <w:tcPr>
            <w:tcW w:w="4960" w:type="dxa"/>
            <w:vAlign w:val="bottom"/>
            <w:shd w:val="clear" w:color="auto" w:fill="CCEEFF"/>
          </w:tcPr>
          <w:p>
            <w:pPr>
              <w:spacing w:after="0"/>
              <w:rPr>
                <w:sz w:val="20"/>
                <w:szCs w:val="20"/>
                <w:color w:val="auto"/>
              </w:rPr>
            </w:pPr>
            <w:r>
              <w:rPr>
                <w:rFonts w:ascii="Arial" w:cs="Arial" w:eastAsia="Arial" w:hAnsi="Arial"/>
                <w:sz w:val="18"/>
                <w:szCs w:val="18"/>
                <w:color w:val="auto"/>
              </w:rPr>
              <w:t>Incremental inventory adjustment (4)</w:t>
            </w:r>
          </w:p>
        </w:tc>
        <w:tc>
          <w:tcPr>
            <w:tcW w:w="140" w:type="dxa"/>
            <w:vAlign w:val="bottom"/>
            <w:shd w:val="clear" w:color="auto" w:fill="CCEEFF"/>
          </w:tcPr>
          <w:p>
            <w:pPr>
              <w:spacing w:after="0"/>
              <w:rPr>
                <w:sz w:val="18"/>
                <w:szCs w:val="18"/>
                <w:color w:val="auto"/>
              </w:rPr>
            </w:pPr>
          </w:p>
        </w:tc>
        <w:tc>
          <w:tcPr>
            <w:tcW w:w="1780" w:type="dxa"/>
            <w:vAlign w:val="bottom"/>
            <w:gridSpan w:val="2"/>
            <w:shd w:val="clear" w:color="auto" w:fill="CCEEFF"/>
          </w:tcPr>
          <w:p>
            <w:pPr>
              <w:jc w:val="right"/>
              <w:ind w:right="628"/>
              <w:spacing w:after="0"/>
              <w:rPr>
                <w:sz w:val="20"/>
                <w:szCs w:val="20"/>
                <w:color w:val="auto"/>
              </w:rPr>
            </w:pPr>
            <w:r>
              <w:rPr>
                <w:rFonts w:ascii="Arial" w:cs="Arial" w:eastAsia="Arial" w:hAnsi="Arial"/>
                <w:sz w:val="18"/>
                <w:szCs w:val="18"/>
                <w:color w:val="auto"/>
              </w:rPr>
              <w:t>(169,600)</w:t>
            </w:r>
          </w:p>
        </w:tc>
        <w:tc>
          <w:tcPr>
            <w:tcW w:w="1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187,100</w:t>
            </w:r>
          </w:p>
        </w:tc>
      </w:tr>
      <w:tr>
        <w:trPr>
          <w:trHeight w:val="223"/>
        </w:trPr>
        <w:tc>
          <w:tcPr>
            <w:tcW w:w="4960" w:type="dxa"/>
            <w:vAlign w:val="bottom"/>
          </w:tcPr>
          <w:p>
            <w:pPr>
              <w:spacing w:after="0"/>
              <w:rPr>
                <w:sz w:val="20"/>
                <w:szCs w:val="20"/>
                <w:color w:val="auto"/>
              </w:rPr>
            </w:pPr>
            <w:r>
              <w:rPr>
                <w:rFonts w:ascii="Arial" w:cs="Arial" w:eastAsia="Arial" w:hAnsi="Arial"/>
                <w:sz w:val="18"/>
                <w:szCs w:val="18"/>
                <w:color w:val="auto"/>
              </w:rPr>
              <w:t>Net adjustment to cost of goods sold</w:t>
            </w: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(114,050)</w:t>
            </w:r>
          </w:p>
        </w:tc>
        <w:tc>
          <w:tcPr>
            <w:tcW w:w="76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12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492,249</w:t>
            </w:r>
          </w:p>
        </w:tc>
        <w:tc>
          <w:tcPr>
            <w:tcW w:w="100" w:type="dxa"/>
            <w:vAlign w:val="bottom"/>
          </w:tcPr>
          <w:p>
            <w:pPr>
              <w:spacing w:after="0"/>
              <w:rPr>
                <w:sz w:val="19"/>
                <w:szCs w:val="19"/>
                <w:color w:val="auto"/>
              </w:rPr>
            </w:pPr>
          </w:p>
        </w:tc>
      </w:tr>
      <w:tr>
        <w:trPr>
          <w:trHeight w:val="20"/>
        </w:trPr>
        <w:tc>
          <w:tcPr>
            <w:tcW w:w="49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964" w:right="220" w:hanging="532"/>
        <w:spacing w:after="0" w:line="271" w:lineRule="auto"/>
        <w:tabs>
          <w:tab w:leader="none" w:pos="964" w:val="left"/>
        </w:tabs>
        <w:numPr>
          <w:ilvl w:val="0"/>
          <w:numId w:val="15"/>
        </w:numPr>
        <w:rPr>
          <w:rFonts w:ascii="Arial" w:cs="Arial" w:eastAsia="Arial" w:hAnsi="Arial"/>
          <w:sz w:val="17"/>
          <w:szCs w:val="17"/>
          <w:color w:val="auto"/>
        </w:rPr>
      </w:pPr>
      <w:r>
        <w:rPr>
          <w:rFonts w:ascii="Arial" w:cs="Arial" w:eastAsia="Arial" w:hAnsi="Arial"/>
          <w:sz w:val="17"/>
          <w:szCs w:val="17"/>
          <w:color w:val="auto"/>
        </w:rPr>
        <w:t>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w:t>
      </w:r>
    </w:p>
    <w:p>
      <w:pPr>
        <w:ind w:left="964" w:right="20" w:hanging="532"/>
        <w:spacing w:after="0" w:line="250" w:lineRule="auto"/>
        <w:tabs>
          <w:tab w:leader="none" w:pos="964"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amortization of intangible assets is based on the periods over which the economic benefits of the intangible assets are expected to be realized. Amortization expense is allocated among cost of goods sold and selling, general and administrative expense based on the nature of the activities associated with the intangible assets acquired. Refer to Note 5 for additional information on the useful lives of the acquired intangible assets expected to be recognized.</w:t>
      </w:r>
    </w:p>
    <w:p>
      <w:pPr>
        <w:spacing w:after="0" w:line="1" w:lineRule="exact"/>
        <w:rPr>
          <w:rFonts w:ascii="Arial" w:cs="Arial" w:eastAsia="Arial" w:hAnsi="Arial"/>
          <w:sz w:val="18"/>
          <w:szCs w:val="18"/>
          <w:color w:val="auto"/>
        </w:rPr>
      </w:pPr>
    </w:p>
    <w:p>
      <w:pPr>
        <w:ind w:left="964" w:right="380" w:hanging="532"/>
        <w:spacing w:after="0" w:line="250" w:lineRule="auto"/>
        <w:tabs>
          <w:tab w:leader="none" w:pos="964" w:val="left"/>
        </w:tabs>
        <w:numPr>
          <w:ilvl w:val="0"/>
          <w:numId w:val="15"/>
        </w:numPr>
        <w:rPr>
          <w:rFonts w:ascii="Arial" w:cs="Arial" w:eastAsia="Arial" w:hAnsi="Arial"/>
          <w:sz w:val="18"/>
          <w:szCs w:val="18"/>
          <w:color w:val="auto"/>
        </w:rPr>
      </w:pPr>
      <w:r>
        <w:rPr>
          <w:rFonts w:ascii="Arial" w:cs="Arial" w:eastAsia="Arial" w:hAnsi="Arial"/>
          <w:sz w:val="18"/>
          <w:szCs w:val="18"/>
          <w:color w:val="auto"/>
        </w:rPr>
        <w:t>Subject to the terms of the Merger Agreement, certain unvested Inphi equity awards were replaced and converted into unvested equity awards of MTI shares.</w:t>
      </w:r>
    </w:p>
    <w:p>
      <w:pPr>
        <w:ind w:left="964" w:right="120" w:hanging="532"/>
        <w:spacing w:after="0" w:line="255" w:lineRule="auto"/>
        <w:tabs>
          <w:tab w:leader="none" w:pos="964"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pro forma adjustments reflects the elimination of the incremental cost of sales recorded by the Company following the acquisition during the six months ended July 31, 2021 and includes the entire fair value adjustment of $187.1 million during the twelve month period ended January 30, 2021 based on the estimated inventory turnover period of four months.</w:t>
      </w:r>
    </w:p>
    <w:p>
      <w:pPr>
        <w:sectPr>
          <w:pgSz w:w="11900" w:h="16838" w:orient="portrait"/>
          <w:cols w:equalWidth="0" w:num="1">
            <w:col w:w="11004"/>
          </w:cols>
          <w:pgMar w:left="436" w:top="274" w:right="459" w:bottom="0" w:gutter="0" w:footer="0" w:header="0"/>
        </w:sectPr>
      </w:pPr>
    </w:p>
    <w:bookmarkStart w:id="32" w:name="page33"/>
    <w:bookmarkEnd w:id="32"/>
    <w:p>
      <w:pPr>
        <w:ind w:left="424" w:hanging="424"/>
        <w:spacing w:after="0" w:line="259" w:lineRule="auto"/>
        <w:tabs>
          <w:tab w:leader="none" w:pos="424" w:val="left"/>
        </w:tabs>
        <w:numPr>
          <w:ilvl w:val="0"/>
          <w:numId w:val="16"/>
        </w:numPr>
        <w:rPr>
          <w:rFonts w:ascii="Arial" w:cs="Arial" w:eastAsia="Arial" w:hAnsi="Arial"/>
          <w:sz w:val="18"/>
          <w:szCs w:val="18"/>
          <w:color w:val="auto"/>
        </w:rPr>
      </w:pPr>
      <w:r>
        <w:rPr>
          <w:rFonts w:ascii="Arial" w:cs="Arial" w:eastAsia="Arial" w:hAnsi="Arial"/>
          <w:sz w:val="18"/>
          <w:szCs w:val="18"/>
          <w:color w:val="auto"/>
        </w:rPr>
        <w:t>Reflects the adjustments to eliminate historical depreciation expense, record new depreciation expense based on the fair value of the property and equipment acquired, eliminate historical amortization expense, eliminate historical stock-based compensation expense and record new stock-based compensation expense due to the equity award replacement and resulting remeasurement of the fair value of stock-based compensation as a result of the Inphi acquisition.</w:t>
      </w:r>
    </w:p>
    <w:p>
      <w:pPr>
        <w:spacing w:after="0" w:line="193" w:lineRule="exact"/>
        <w:rPr>
          <w:sz w:val="20"/>
          <w:szCs w:val="20"/>
          <w:color w:val="auto"/>
        </w:rPr>
      </w:pPr>
    </w:p>
    <w:tbl>
      <w:tblPr>
        <w:tblLayout w:type="fixed"/>
        <w:tblInd w:w="1324" w:type="dxa"/>
        <w:tblCellMar>
          <w:top w:w="0" w:type="dxa"/>
          <w:left w:w="0" w:type="dxa"/>
          <w:bottom w:w="0" w:type="dxa"/>
          <w:right w:w="0" w:type="dxa"/>
        </w:tblCellMar>
      </w:tblPr>
      <w:tr>
        <w:trPr>
          <w:trHeight w:val="161"/>
        </w:trPr>
        <w:tc>
          <w:tcPr>
            <w:tcW w:w="49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8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rPr>
              <w:t>Pro Forma</w:t>
            </w:r>
          </w:p>
        </w:tc>
        <w:tc>
          <w:tcPr>
            <w:tcW w:w="7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32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Pro Forma</w:t>
            </w:r>
          </w:p>
        </w:tc>
      </w:tr>
      <w:tr>
        <w:trPr>
          <w:trHeight w:val="149"/>
        </w:trPr>
        <w:tc>
          <w:tcPr>
            <w:tcW w:w="49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2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7"/>
              </w:rPr>
              <w:t>Six Months Ended</w:t>
            </w:r>
          </w:p>
        </w:tc>
        <w:tc>
          <w:tcPr>
            <w:tcW w:w="740" w:type="dxa"/>
            <w:vAlign w:val="bottom"/>
          </w:tcPr>
          <w:p>
            <w:pPr>
              <w:spacing w:after="0"/>
              <w:rPr>
                <w:sz w:val="12"/>
                <w:szCs w:val="12"/>
                <w:color w:val="auto"/>
              </w:rPr>
            </w:pPr>
          </w:p>
        </w:tc>
        <w:tc>
          <w:tcPr>
            <w:tcW w:w="14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9"/>
              </w:rPr>
              <w:t>Twelve Months Ended</w:t>
            </w:r>
          </w:p>
        </w:tc>
      </w:tr>
      <w:tr>
        <w:trPr>
          <w:trHeight w:val="171"/>
        </w:trPr>
        <w:tc>
          <w:tcPr>
            <w:tcW w:w="49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8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94"/>
              </w:rPr>
              <w:t>July 31, 2021</w:t>
            </w:r>
          </w:p>
        </w:tc>
        <w:tc>
          <w:tcPr>
            <w:tcW w:w="7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32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92"/>
              </w:rPr>
              <w:t>January 30, 2021</w:t>
            </w:r>
          </w:p>
        </w:tc>
      </w:tr>
      <w:tr>
        <w:trPr>
          <w:trHeight w:val="142"/>
        </w:trPr>
        <w:tc>
          <w:tcPr>
            <w:tcW w:w="49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1020" w:type="dxa"/>
            <w:vAlign w:val="bottom"/>
            <w:tcBorders>
              <w:top w:val="single" w:sz="8" w:color="auto"/>
            </w:tcBorders>
          </w:tcPr>
          <w:p>
            <w:pPr>
              <w:spacing w:after="0"/>
              <w:rPr>
                <w:sz w:val="12"/>
                <w:szCs w:val="12"/>
                <w:color w:val="auto"/>
              </w:rPr>
            </w:pPr>
          </w:p>
        </w:tc>
        <w:tc>
          <w:tcPr>
            <w:tcW w:w="60" w:type="dxa"/>
            <w:vAlign w:val="bottom"/>
            <w:tcBorders>
              <w:top w:val="single" w:sz="8" w:color="auto"/>
            </w:tcBorders>
          </w:tcPr>
          <w:p>
            <w:pPr>
              <w:spacing w:after="0"/>
              <w:rPr>
                <w:sz w:val="12"/>
                <w:szCs w:val="12"/>
                <w:color w:val="auto"/>
              </w:rPr>
            </w:pPr>
          </w:p>
        </w:tc>
        <w:tc>
          <w:tcPr>
            <w:tcW w:w="90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22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02"/>
        </w:trPr>
        <w:tc>
          <w:tcPr>
            <w:tcW w:w="49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Elimination of Inphi’s depreciation on property and</w:t>
            </w:r>
          </w:p>
        </w:tc>
        <w:tc>
          <w:tcPr>
            <w:tcW w:w="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30"/>
        </w:trPr>
        <w:tc>
          <w:tcPr>
            <w:tcW w:w="49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equipment</w:t>
            </w:r>
          </w:p>
        </w:tc>
        <w:tc>
          <w:tcPr>
            <w:tcW w:w="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(6,201)</w:t>
            </w:r>
          </w:p>
        </w:tc>
        <w:tc>
          <w:tcPr>
            <w:tcW w:w="900" w:type="dxa"/>
            <w:vAlign w:val="bottom"/>
            <w:gridSpan w:val="2"/>
            <w:shd w:val="clear" w:color="auto" w:fill="CCEEFF"/>
          </w:tcPr>
          <w:p>
            <w:pPr>
              <w:ind w:left="740"/>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(15,161)</w:t>
            </w:r>
          </w:p>
        </w:tc>
      </w:tr>
      <w:tr>
        <w:trPr>
          <w:trHeight w:val="216"/>
        </w:trPr>
        <w:tc>
          <w:tcPr>
            <w:tcW w:w="4920" w:type="dxa"/>
            <w:vAlign w:val="bottom"/>
          </w:tcPr>
          <w:p>
            <w:pPr>
              <w:spacing w:after="0"/>
              <w:rPr>
                <w:sz w:val="20"/>
                <w:szCs w:val="20"/>
                <w:color w:val="auto"/>
              </w:rPr>
            </w:pPr>
            <w:r>
              <w:rPr>
                <w:rFonts w:ascii="Arial" w:cs="Arial" w:eastAsia="Arial" w:hAnsi="Arial"/>
                <w:sz w:val="18"/>
                <w:szCs w:val="18"/>
                <w:color w:val="auto"/>
              </w:rPr>
              <w:t>Depreciation after fair value adjustment (1)</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80" w:type="dxa"/>
            <w:vAlign w:val="bottom"/>
            <w:gridSpan w:val="2"/>
          </w:tcPr>
          <w:p>
            <w:pPr>
              <w:jc w:val="right"/>
              <w:ind w:right="60"/>
              <w:spacing w:after="0"/>
              <w:rPr>
                <w:sz w:val="20"/>
                <w:szCs w:val="20"/>
                <w:color w:val="auto"/>
              </w:rPr>
            </w:pPr>
            <w:r>
              <w:rPr>
                <w:rFonts w:ascii="Arial" w:cs="Arial" w:eastAsia="Arial" w:hAnsi="Arial"/>
                <w:sz w:val="18"/>
                <w:szCs w:val="18"/>
                <w:color w:val="auto"/>
              </w:rPr>
              <w:t>4,082</w:t>
            </w: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8,294</w:t>
            </w:r>
          </w:p>
        </w:tc>
      </w:tr>
      <w:tr>
        <w:trPr>
          <w:trHeight w:val="216"/>
        </w:trPr>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Inphi’s amortization on intangible assets</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(9,148)</w:t>
            </w:r>
          </w:p>
        </w:tc>
        <w:tc>
          <w:tcPr>
            <w:tcW w:w="7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(27,831)</w:t>
            </w:r>
          </w:p>
        </w:tc>
      </w:tr>
      <w:tr>
        <w:trPr>
          <w:trHeight w:val="202"/>
        </w:trPr>
        <w:tc>
          <w:tcPr>
            <w:tcW w:w="4920" w:type="dxa"/>
            <w:vAlign w:val="bottom"/>
          </w:tcPr>
          <w:p>
            <w:pPr>
              <w:spacing w:after="0" w:line="201" w:lineRule="exact"/>
              <w:rPr>
                <w:sz w:val="20"/>
                <w:szCs w:val="20"/>
                <w:color w:val="auto"/>
              </w:rPr>
            </w:pPr>
            <w:r>
              <w:rPr>
                <w:rFonts w:ascii="Arial" w:cs="Arial" w:eastAsia="Arial" w:hAnsi="Arial"/>
                <w:sz w:val="18"/>
                <w:szCs w:val="18"/>
                <w:color w:val="auto"/>
              </w:rPr>
              <w:t>Elimination of historical stock-based compensation</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30"/>
        </w:trPr>
        <w:tc>
          <w:tcPr>
            <w:tcW w:w="4920" w:type="dxa"/>
            <w:vAlign w:val="bottom"/>
          </w:tcPr>
          <w:p>
            <w:pPr>
              <w:ind w:left="180"/>
              <w:spacing w:after="0"/>
              <w:rPr>
                <w:sz w:val="20"/>
                <w:szCs w:val="20"/>
                <w:color w:val="auto"/>
              </w:rPr>
            </w:pPr>
            <w:r>
              <w:rPr>
                <w:rFonts w:ascii="Arial" w:cs="Arial" w:eastAsia="Arial" w:hAnsi="Arial"/>
                <w:sz w:val="18"/>
                <w:szCs w:val="18"/>
                <w:color w:val="auto"/>
              </w:rPr>
              <w:t>expense</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(53,096)</w:t>
            </w:r>
          </w:p>
        </w:tc>
        <w:tc>
          <w:tcPr>
            <w:tcW w:w="7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20" w:type="dxa"/>
            <w:vAlign w:val="bottom"/>
            <w:gridSpan w:val="2"/>
          </w:tcPr>
          <w:p>
            <w:pPr>
              <w:jc w:val="right"/>
              <w:ind w:right="40"/>
              <w:spacing w:after="0"/>
              <w:rPr>
                <w:sz w:val="20"/>
                <w:szCs w:val="20"/>
                <w:color w:val="auto"/>
              </w:rPr>
            </w:pPr>
            <w:r>
              <w:rPr>
                <w:rFonts w:ascii="Arial" w:cs="Arial" w:eastAsia="Arial" w:hAnsi="Arial"/>
                <w:sz w:val="18"/>
                <w:szCs w:val="18"/>
                <w:color w:val="auto"/>
              </w:rPr>
              <w:t>(62,768)</w:t>
            </w:r>
          </w:p>
        </w:tc>
      </w:tr>
      <w:tr>
        <w:trPr>
          <w:trHeight w:val="202"/>
        </w:trPr>
        <w:tc>
          <w:tcPr>
            <w:tcW w:w="49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Stock based compensation expense after equity award</w:t>
            </w:r>
          </w:p>
        </w:tc>
        <w:tc>
          <w:tcPr>
            <w:tcW w:w="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30"/>
        </w:trPr>
        <w:tc>
          <w:tcPr>
            <w:tcW w:w="49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replacement and fair value remeasurement (2)</w:t>
            </w:r>
          </w:p>
        </w:tc>
        <w:tc>
          <w:tcPr>
            <w:tcW w:w="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0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42,180</w:t>
            </w:r>
          </w:p>
        </w:tc>
        <w:tc>
          <w:tcPr>
            <w:tcW w:w="74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119,386</w:t>
            </w:r>
          </w:p>
        </w:tc>
      </w:tr>
      <w:tr>
        <w:trPr>
          <w:trHeight w:val="223"/>
        </w:trPr>
        <w:tc>
          <w:tcPr>
            <w:tcW w:w="4920" w:type="dxa"/>
            <w:vAlign w:val="bottom"/>
          </w:tcPr>
          <w:p>
            <w:pPr>
              <w:spacing w:after="0"/>
              <w:rPr>
                <w:sz w:val="20"/>
                <w:szCs w:val="20"/>
                <w:color w:val="auto"/>
              </w:rPr>
            </w:pPr>
            <w:r>
              <w:rPr>
                <w:rFonts w:ascii="Arial" w:cs="Arial" w:eastAsia="Arial" w:hAnsi="Arial"/>
                <w:sz w:val="18"/>
                <w:szCs w:val="18"/>
                <w:color w:val="auto"/>
              </w:rPr>
              <w:t>Net adjustment to research and development</w:t>
            </w:r>
          </w:p>
        </w:tc>
        <w:tc>
          <w:tcPr>
            <w:tcW w:w="20" w:type="dxa"/>
            <w:vAlign w:val="bottom"/>
            <w:tcBorders>
              <w:bottom w:val="single" w:sz="8" w:color="auto"/>
            </w:tcBorders>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(22,183)</w:t>
            </w:r>
          </w:p>
        </w:tc>
        <w:tc>
          <w:tcPr>
            <w:tcW w:w="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12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21,920</w:t>
            </w:r>
          </w:p>
        </w:tc>
        <w:tc>
          <w:tcPr>
            <w:tcW w:w="100" w:type="dxa"/>
            <w:vAlign w:val="bottom"/>
          </w:tcPr>
          <w:p>
            <w:pPr>
              <w:spacing w:after="0"/>
              <w:rPr>
                <w:sz w:val="19"/>
                <w:szCs w:val="19"/>
                <w:color w:val="auto"/>
              </w:rPr>
            </w:pPr>
          </w:p>
        </w:tc>
      </w:tr>
      <w:tr>
        <w:trPr>
          <w:trHeight w:val="20"/>
        </w:trPr>
        <w:tc>
          <w:tcPr>
            <w:tcW w:w="49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964" w:right="220" w:hanging="532"/>
        <w:spacing w:after="0" w:line="271" w:lineRule="auto"/>
        <w:tabs>
          <w:tab w:leader="none" w:pos="964" w:val="left"/>
        </w:tabs>
        <w:numPr>
          <w:ilvl w:val="0"/>
          <w:numId w:val="17"/>
        </w:numPr>
        <w:rPr>
          <w:rFonts w:ascii="Arial" w:cs="Arial" w:eastAsia="Arial" w:hAnsi="Arial"/>
          <w:sz w:val="17"/>
          <w:szCs w:val="17"/>
          <w:color w:val="auto"/>
        </w:rPr>
      </w:pPr>
      <w:r>
        <w:rPr>
          <w:rFonts w:ascii="Arial" w:cs="Arial" w:eastAsia="Arial" w:hAnsi="Arial"/>
          <w:sz w:val="17"/>
          <w:szCs w:val="17"/>
          <w:color w:val="auto"/>
        </w:rPr>
        <w:t>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w:t>
      </w:r>
    </w:p>
    <w:p>
      <w:pPr>
        <w:ind w:left="964" w:right="380" w:hanging="532"/>
        <w:spacing w:after="0" w:line="260" w:lineRule="auto"/>
        <w:tabs>
          <w:tab w:leader="none" w:pos="964" w:val="left"/>
        </w:tabs>
        <w:numPr>
          <w:ilvl w:val="0"/>
          <w:numId w:val="17"/>
        </w:numPr>
        <w:rPr>
          <w:rFonts w:ascii="Arial" w:cs="Arial" w:eastAsia="Arial" w:hAnsi="Arial"/>
          <w:sz w:val="18"/>
          <w:szCs w:val="18"/>
          <w:color w:val="auto"/>
        </w:rPr>
      </w:pPr>
      <w:r>
        <w:rPr>
          <w:rFonts w:ascii="Arial" w:cs="Arial" w:eastAsia="Arial" w:hAnsi="Arial"/>
          <w:sz w:val="18"/>
          <w:szCs w:val="18"/>
          <w:color w:val="auto"/>
        </w:rPr>
        <w:t>Subject to the terms of the Merger Agreement, certain unvested Inphi equity awards were replaced and converted into unvested equity awards of MTI shares.</w:t>
      </w:r>
    </w:p>
    <w:p>
      <w:pPr>
        <w:sectPr>
          <w:pgSz w:w="11900" w:h="16838" w:orient="portrait"/>
          <w:cols w:equalWidth="0" w:num="1">
            <w:col w:w="11004"/>
          </w:cols>
          <w:pgMar w:left="436" w:top="125" w:right="459" w:bottom="1440" w:gutter="0" w:footer="0" w:header="0"/>
        </w:sectPr>
      </w:pPr>
    </w:p>
    <w:bookmarkStart w:id="33" w:name="page34"/>
    <w:bookmarkEnd w:id="33"/>
    <w:p>
      <w:pPr>
        <w:ind w:left="424" w:right="80" w:hanging="424"/>
        <w:spacing w:after="0" w:line="257" w:lineRule="auto"/>
        <w:tabs>
          <w:tab w:leader="none" w:pos="424" w:val="left"/>
        </w:tabs>
        <w:numPr>
          <w:ilvl w:val="0"/>
          <w:numId w:val="1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stock-based compensation expense and record new stock-based compensation expense due to the equity award replacement and resulting remeasurement of the fair value of stock-based compensation as a result of the Inphi acquisition, and adjusting the timing of transaction costs.</w:t>
      </w:r>
    </w:p>
    <w:p>
      <w:pPr>
        <w:spacing w:after="0" w:line="194" w:lineRule="exact"/>
        <w:rPr>
          <w:sz w:val="20"/>
          <w:szCs w:val="20"/>
          <w:color w:val="auto"/>
        </w:rPr>
      </w:pPr>
    </w:p>
    <w:tbl>
      <w:tblPr>
        <w:tblLayout w:type="fixed"/>
        <w:tblInd w:w="1324" w:type="dxa"/>
        <w:tblCellMar>
          <w:top w:w="0" w:type="dxa"/>
          <w:left w:w="0" w:type="dxa"/>
          <w:bottom w:w="0" w:type="dxa"/>
          <w:right w:w="0" w:type="dxa"/>
        </w:tblCellMar>
      </w:tblPr>
      <w:tr>
        <w:trPr>
          <w:trHeight w:val="161"/>
        </w:trPr>
        <w:tc>
          <w:tcPr>
            <w:tcW w:w="4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rPr>
              <w:t>Pro Forma</w:t>
            </w:r>
          </w:p>
        </w:tc>
        <w:tc>
          <w:tcPr>
            <w:tcW w:w="7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32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Pro Forma</w:t>
            </w:r>
          </w:p>
        </w:tc>
      </w:tr>
      <w:tr>
        <w:trPr>
          <w:trHeight w:val="148"/>
        </w:trPr>
        <w:tc>
          <w:tcPr>
            <w:tcW w:w="4920" w:type="dxa"/>
            <w:vAlign w:val="bottom"/>
          </w:tcPr>
          <w:p>
            <w:pPr>
              <w:spacing w:after="0"/>
              <w:rPr>
                <w:sz w:val="12"/>
                <w:szCs w:val="12"/>
                <w:color w:val="auto"/>
              </w:rPr>
            </w:pPr>
          </w:p>
        </w:tc>
        <w:tc>
          <w:tcPr>
            <w:tcW w:w="12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8"/>
              </w:rPr>
              <w:t>Six Months Ended</w:t>
            </w:r>
          </w:p>
        </w:tc>
        <w:tc>
          <w:tcPr>
            <w:tcW w:w="740" w:type="dxa"/>
            <w:vAlign w:val="bottom"/>
          </w:tcPr>
          <w:p>
            <w:pPr>
              <w:spacing w:after="0"/>
              <w:rPr>
                <w:sz w:val="12"/>
                <w:szCs w:val="12"/>
                <w:color w:val="auto"/>
              </w:rPr>
            </w:pPr>
          </w:p>
        </w:tc>
        <w:tc>
          <w:tcPr>
            <w:tcW w:w="14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9"/>
              </w:rPr>
              <w:t>Twelve Months Ended</w:t>
            </w:r>
          </w:p>
        </w:tc>
      </w:tr>
      <w:tr>
        <w:trPr>
          <w:trHeight w:val="171"/>
        </w:trPr>
        <w:tc>
          <w:tcPr>
            <w:tcW w:w="4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94"/>
              </w:rPr>
              <w:t>July 31, 2021</w:t>
            </w:r>
          </w:p>
        </w:tc>
        <w:tc>
          <w:tcPr>
            <w:tcW w:w="7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32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92"/>
              </w:rPr>
              <w:t>January 30, 2021</w:t>
            </w:r>
          </w:p>
        </w:tc>
      </w:tr>
      <w:tr>
        <w:trPr>
          <w:trHeight w:val="142"/>
        </w:trPr>
        <w:tc>
          <w:tcPr>
            <w:tcW w:w="492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102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90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22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02"/>
        </w:trPr>
        <w:tc>
          <w:tcPr>
            <w:tcW w:w="49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Elimination of Inphi’s depreciation on property and</w:t>
            </w:r>
          </w:p>
        </w:tc>
        <w:tc>
          <w:tcPr>
            <w:tcW w:w="12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30"/>
        </w:trPr>
        <w:tc>
          <w:tcPr>
            <w:tcW w:w="49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equipment</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(2,833)</w:t>
            </w:r>
          </w:p>
        </w:tc>
        <w:tc>
          <w:tcPr>
            <w:tcW w:w="900" w:type="dxa"/>
            <w:vAlign w:val="bottom"/>
            <w:gridSpan w:val="2"/>
            <w:shd w:val="clear" w:color="auto" w:fill="CCEEFF"/>
          </w:tcPr>
          <w:p>
            <w:pPr>
              <w:ind w:left="740"/>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(1,633)</w:t>
            </w:r>
          </w:p>
        </w:tc>
      </w:tr>
      <w:tr>
        <w:trPr>
          <w:trHeight w:val="216"/>
        </w:trPr>
        <w:tc>
          <w:tcPr>
            <w:tcW w:w="4920" w:type="dxa"/>
            <w:vAlign w:val="bottom"/>
          </w:tcPr>
          <w:p>
            <w:pPr>
              <w:spacing w:after="0"/>
              <w:rPr>
                <w:sz w:val="20"/>
                <w:szCs w:val="20"/>
                <w:color w:val="auto"/>
              </w:rPr>
            </w:pPr>
            <w:r>
              <w:rPr>
                <w:rFonts w:ascii="Arial" w:cs="Arial" w:eastAsia="Arial" w:hAnsi="Arial"/>
                <w:sz w:val="18"/>
                <w:szCs w:val="18"/>
                <w:color w:val="auto"/>
              </w:rPr>
              <w:t>Depreciation after fair value adjustment (1)</w:t>
            </w:r>
          </w:p>
        </w:tc>
        <w:tc>
          <w:tcPr>
            <w:tcW w:w="120" w:type="dxa"/>
            <w:vAlign w:val="bottom"/>
          </w:tcPr>
          <w:p>
            <w:pPr>
              <w:spacing w:after="0"/>
              <w:rPr>
                <w:sz w:val="18"/>
                <w:szCs w:val="18"/>
                <w:color w:val="auto"/>
              </w:rPr>
            </w:pPr>
          </w:p>
        </w:tc>
        <w:tc>
          <w:tcPr>
            <w:tcW w:w="1100" w:type="dxa"/>
            <w:vAlign w:val="bottom"/>
            <w:gridSpan w:val="2"/>
          </w:tcPr>
          <w:p>
            <w:pPr>
              <w:jc w:val="right"/>
              <w:ind w:right="80"/>
              <w:spacing w:after="0"/>
              <w:rPr>
                <w:sz w:val="20"/>
                <w:szCs w:val="20"/>
                <w:color w:val="auto"/>
              </w:rPr>
            </w:pPr>
            <w:r>
              <w:rPr>
                <w:rFonts w:ascii="Arial" w:cs="Arial" w:eastAsia="Arial" w:hAnsi="Arial"/>
                <w:sz w:val="18"/>
                <w:szCs w:val="18"/>
                <w:color w:val="auto"/>
              </w:rPr>
              <w:t>2,641</w:t>
            </w: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7,066</w:t>
            </w:r>
          </w:p>
        </w:tc>
      </w:tr>
      <w:tr>
        <w:trPr>
          <w:trHeight w:val="216"/>
        </w:trPr>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Inphi’s amortization of intangible assets</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(97,568)</w:t>
            </w:r>
          </w:p>
        </w:tc>
        <w:tc>
          <w:tcPr>
            <w:tcW w:w="900" w:type="dxa"/>
            <w:vAlign w:val="bottom"/>
            <w:gridSpan w:val="2"/>
            <w:shd w:val="clear" w:color="auto" w:fill="CCEEFF"/>
          </w:tcPr>
          <w:p>
            <w:pPr>
              <w:ind w:left="740"/>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(10,104)</w:t>
            </w:r>
          </w:p>
        </w:tc>
      </w:tr>
      <w:tr>
        <w:trPr>
          <w:trHeight w:val="216"/>
        </w:trPr>
        <w:tc>
          <w:tcPr>
            <w:tcW w:w="4920" w:type="dxa"/>
            <w:vAlign w:val="bottom"/>
          </w:tcPr>
          <w:p>
            <w:pPr>
              <w:spacing w:after="0"/>
              <w:rPr>
                <w:sz w:val="20"/>
                <w:szCs w:val="20"/>
                <w:color w:val="auto"/>
              </w:rPr>
            </w:pPr>
            <w:r>
              <w:rPr>
                <w:rFonts w:ascii="Arial" w:cs="Arial" w:eastAsia="Arial" w:hAnsi="Arial"/>
                <w:sz w:val="18"/>
                <w:szCs w:val="18"/>
                <w:color w:val="auto"/>
              </w:rPr>
              <w:t>Amortization after fair value adjustment (2)</w:t>
            </w:r>
          </w:p>
        </w:tc>
        <w:tc>
          <w:tcPr>
            <w:tcW w:w="120" w:type="dxa"/>
            <w:vAlign w:val="bottom"/>
          </w:tcPr>
          <w:p>
            <w:pPr>
              <w:spacing w:after="0"/>
              <w:rPr>
                <w:sz w:val="18"/>
                <w:szCs w:val="18"/>
                <w:color w:val="auto"/>
              </w:rPr>
            </w:pPr>
          </w:p>
        </w:tc>
        <w:tc>
          <w:tcPr>
            <w:tcW w:w="1100" w:type="dxa"/>
            <w:vAlign w:val="bottom"/>
            <w:gridSpan w:val="2"/>
          </w:tcPr>
          <w:p>
            <w:pPr>
              <w:jc w:val="right"/>
              <w:ind w:right="80"/>
              <w:spacing w:after="0"/>
              <w:rPr>
                <w:sz w:val="20"/>
                <w:szCs w:val="20"/>
                <w:color w:val="auto"/>
              </w:rPr>
            </w:pPr>
            <w:r>
              <w:rPr>
                <w:rFonts w:ascii="Arial" w:cs="Arial" w:eastAsia="Arial" w:hAnsi="Arial"/>
                <w:sz w:val="18"/>
                <w:szCs w:val="18"/>
                <w:color w:val="auto"/>
              </w:rPr>
              <w:t>127,377</w:t>
            </w: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324,454</w:t>
            </w:r>
          </w:p>
        </w:tc>
      </w:tr>
      <w:tr>
        <w:trPr>
          <w:trHeight w:val="202"/>
        </w:trPr>
        <w:tc>
          <w:tcPr>
            <w:tcW w:w="49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Elimination of historical stock based compensation</w:t>
            </w:r>
          </w:p>
        </w:tc>
        <w:tc>
          <w:tcPr>
            <w:tcW w:w="12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30"/>
        </w:trPr>
        <w:tc>
          <w:tcPr>
            <w:tcW w:w="49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expense</w:t>
            </w:r>
          </w:p>
        </w:tc>
        <w:tc>
          <w:tcPr>
            <w:tcW w:w="120" w:type="dxa"/>
            <w:vAlign w:val="bottom"/>
            <w:shd w:val="clear" w:color="auto" w:fill="CCEEFF"/>
          </w:tcPr>
          <w:p>
            <w:pPr>
              <w:spacing w:after="0"/>
              <w:rPr>
                <w:sz w:val="20"/>
                <w:szCs w:val="20"/>
                <w:color w:val="auto"/>
              </w:rPr>
            </w:pPr>
          </w:p>
        </w:tc>
        <w:tc>
          <w:tcPr>
            <w:tcW w:w="11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(61,746)</w:t>
            </w:r>
          </w:p>
        </w:tc>
        <w:tc>
          <w:tcPr>
            <w:tcW w:w="74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13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(40,620)</w:t>
            </w:r>
          </w:p>
        </w:tc>
      </w:tr>
      <w:tr>
        <w:trPr>
          <w:trHeight w:val="202"/>
        </w:trPr>
        <w:tc>
          <w:tcPr>
            <w:tcW w:w="4920" w:type="dxa"/>
            <w:vAlign w:val="bottom"/>
          </w:tcPr>
          <w:p>
            <w:pPr>
              <w:spacing w:after="0" w:line="201" w:lineRule="exact"/>
              <w:rPr>
                <w:sz w:val="20"/>
                <w:szCs w:val="20"/>
                <w:color w:val="auto"/>
              </w:rPr>
            </w:pPr>
            <w:r>
              <w:rPr>
                <w:rFonts w:ascii="Arial" w:cs="Arial" w:eastAsia="Arial" w:hAnsi="Arial"/>
                <w:sz w:val="18"/>
                <w:szCs w:val="18"/>
                <w:color w:val="auto"/>
              </w:rPr>
              <w:t>Stock based compensation expense after equity award</w:t>
            </w:r>
          </w:p>
        </w:tc>
        <w:tc>
          <w:tcPr>
            <w:tcW w:w="12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30"/>
        </w:trPr>
        <w:tc>
          <w:tcPr>
            <w:tcW w:w="4920" w:type="dxa"/>
            <w:vAlign w:val="bottom"/>
          </w:tcPr>
          <w:p>
            <w:pPr>
              <w:ind w:left="180"/>
              <w:spacing w:after="0"/>
              <w:rPr>
                <w:sz w:val="20"/>
                <w:szCs w:val="20"/>
                <w:color w:val="auto"/>
              </w:rPr>
            </w:pPr>
            <w:r>
              <w:rPr>
                <w:rFonts w:ascii="Arial" w:cs="Arial" w:eastAsia="Arial" w:hAnsi="Arial"/>
                <w:sz w:val="18"/>
                <w:szCs w:val="18"/>
                <w:color w:val="auto"/>
              </w:rPr>
              <w:t>replacement and fair value remeasurement (3)</w:t>
            </w:r>
          </w:p>
        </w:tc>
        <w:tc>
          <w:tcPr>
            <w:tcW w:w="120" w:type="dxa"/>
            <w:vAlign w:val="bottom"/>
          </w:tcPr>
          <w:p>
            <w:pPr>
              <w:spacing w:after="0"/>
              <w:rPr>
                <w:sz w:val="20"/>
                <w:szCs w:val="20"/>
                <w:color w:val="auto"/>
              </w:rPr>
            </w:pPr>
          </w:p>
        </w:tc>
        <w:tc>
          <w:tcPr>
            <w:tcW w:w="1100" w:type="dxa"/>
            <w:vAlign w:val="bottom"/>
            <w:gridSpan w:val="2"/>
          </w:tcPr>
          <w:p>
            <w:pPr>
              <w:jc w:val="right"/>
              <w:ind w:right="80"/>
              <w:spacing w:after="0"/>
              <w:rPr>
                <w:sz w:val="20"/>
                <w:szCs w:val="20"/>
                <w:color w:val="auto"/>
              </w:rPr>
            </w:pPr>
            <w:r>
              <w:rPr>
                <w:rFonts w:ascii="Arial" w:cs="Arial" w:eastAsia="Arial" w:hAnsi="Arial"/>
                <w:sz w:val="18"/>
                <w:szCs w:val="18"/>
                <w:color w:val="auto"/>
              </w:rPr>
              <w:t>10,698</w:t>
            </w:r>
          </w:p>
        </w:tc>
        <w:tc>
          <w:tcPr>
            <w:tcW w:w="7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71,835</w:t>
            </w:r>
          </w:p>
        </w:tc>
      </w:tr>
      <w:tr>
        <w:trPr>
          <w:trHeight w:val="216"/>
        </w:trPr>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Transaction costs—Marvell or MTI(4)</w:t>
            </w: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(50,821)</w:t>
            </w:r>
          </w:p>
        </w:tc>
        <w:tc>
          <w:tcPr>
            <w:tcW w:w="7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50,821</w:t>
            </w:r>
          </w:p>
        </w:tc>
      </w:tr>
      <w:tr>
        <w:trPr>
          <w:trHeight w:val="216"/>
        </w:trPr>
        <w:tc>
          <w:tcPr>
            <w:tcW w:w="4920" w:type="dxa"/>
            <w:vAlign w:val="bottom"/>
          </w:tcPr>
          <w:p>
            <w:pPr>
              <w:spacing w:after="0"/>
              <w:rPr>
                <w:sz w:val="20"/>
                <w:szCs w:val="20"/>
                <w:color w:val="auto"/>
              </w:rPr>
            </w:pPr>
            <w:r>
              <w:rPr>
                <w:rFonts w:ascii="Arial" w:cs="Arial" w:eastAsia="Arial" w:hAnsi="Arial"/>
                <w:sz w:val="18"/>
                <w:szCs w:val="18"/>
                <w:color w:val="auto"/>
              </w:rPr>
              <w:t>Transaction costs—Inphi (4)</w:t>
            </w:r>
          </w:p>
        </w:tc>
        <w:tc>
          <w:tcPr>
            <w:tcW w:w="120" w:type="dxa"/>
            <w:vAlign w:val="bottom"/>
          </w:tcPr>
          <w:p>
            <w:pPr>
              <w:spacing w:after="0"/>
              <w:rPr>
                <w:sz w:val="18"/>
                <w:szCs w:val="18"/>
                <w:color w:val="auto"/>
              </w:rPr>
            </w:pPr>
          </w:p>
        </w:tc>
        <w:tc>
          <w:tcPr>
            <w:tcW w:w="1100" w:type="dxa"/>
            <w:vAlign w:val="bottom"/>
            <w:gridSpan w:val="2"/>
          </w:tcPr>
          <w:p>
            <w:pPr>
              <w:jc w:val="right"/>
              <w:ind w:right="20"/>
              <w:spacing w:after="0"/>
              <w:rPr>
                <w:sz w:val="20"/>
                <w:szCs w:val="20"/>
                <w:color w:val="auto"/>
              </w:rPr>
            </w:pPr>
            <w:r>
              <w:rPr>
                <w:rFonts w:ascii="Arial" w:cs="Arial" w:eastAsia="Arial" w:hAnsi="Arial"/>
                <w:sz w:val="18"/>
                <w:szCs w:val="18"/>
                <w:color w:val="auto"/>
              </w:rPr>
              <w:t>(265)</w:t>
            </w:r>
          </w:p>
        </w:tc>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508</w:t>
            </w:r>
          </w:p>
        </w:tc>
      </w:tr>
      <w:tr>
        <w:trPr>
          <w:trHeight w:val="27"/>
        </w:trPr>
        <w:tc>
          <w:tcPr>
            <w:tcW w:w="49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02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7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12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selling, general and administrative</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(72,517)</w:t>
            </w:r>
          </w:p>
        </w:tc>
        <w:tc>
          <w:tcPr>
            <w:tcW w:w="900" w:type="dxa"/>
            <w:vAlign w:val="bottom"/>
            <w:gridSpan w:val="2"/>
            <w:shd w:val="clear" w:color="auto" w:fill="CCEEFF"/>
          </w:tcPr>
          <w:p>
            <w:pPr>
              <w:ind w:left="740"/>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402,327</w:t>
            </w:r>
          </w:p>
        </w:tc>
      </w:tr>
      <w:tr>
        <w:trPr>
          <w:trHeight w:val="20"/>
        </w:trPr>
        <w:tc>
          <w:tcPr>
            <w:tcW w:w="49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964" w:right="200" w:hanging="532"/>
        <w:spacing w:after="0" w:line="271" w:lineRule="auto"/>
        <w:tabs>
          <w:tab w:leader="none" w:pos="964" w:val="left"/>
        </w:tabs>
        <w:numPr>
          <w:ilvl w:val="1"/>
          <w:numId w:val="19"/>
        </w:numPr>
        <w:rPr>
          <w:rFonts w:ascii="Arial" w:cs="Arial" w:eastAsia="Arial" w:hAnsi="Arial"/>
          <w:sz w:val="17"/>
          <w:szCs w:val="17"/>
          <w:color w:val="auto"/>
        </w:rPr>
      </w:pPr>
      <w:r>
        <w:rPr>
          <w:rFonts w:ascii="Arial" w:cs="Arial" w:eastAsia="Arial" w:hAnsi="Arial"/>
          <w:sz w:val="17"/>
          <w:szCs w:val="17"/>
          <w:color w:val="auto"/>
        </w:rPr>
        <w:t>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w:t>
      </w:r>
    </w:p>
    <w:p>
      <w:pPr>
        <w:ind w:left="964" w:hanging="532"/>
        <w:spacing w:after="0" w:line="250" w:lineRule="auto"/>
        <w:tabs>
          <w:tab w:leader="none" w:pos="964" w:val="left"/>
        </w:tabs>
        <w:numPr>
          <w:ilvl w:val="1"/>
          <w:numId w:val="19"/>
        </w:numPr>
        <w:rPr>
          <w:rFonts w:ascii="Arial" w:cs="Arial" w:eastAsia="Arial" w:hAnsi="Arial"/>
          <w:sz w:val="18"/>
          <w:szCs w:val="18"/>
          <w:color w:val="auto"/>
        </w:rPr>
      </w:pPr>
      <w:r>
        <w:rPr>
          <w:rFonts w:ascii="Arial" w:cs="Arial" w:eastAsia="Arial" w:hAnsi="Arial"/>
          <w:sz w:val="18"/>
          <w:szCs w:val="18"/>
          <w:color w:val="auto"/>
        </w:rPr>
        <w:t>The amortization of intangible assets is based on the periods over which the economic benefits of the intangible assets are expected to be realized. Amortization expense is allocated among cost of goods sold, and selling, general and administrative expense based on the nature of the activities associated with the intangible assets acquired. Refer to Note 5 for additional information on the useful lives of the acquired intangible assets expected to be recognized.</w:t>
      </w:r>
    </w:p>
    <w:p>
      <w:pPr>
        <w:spacing w:after="0" w:line="1" w:lineRule="exact"/>
        <w:rPr>
          <w:rFonts w:ascii="Arial" w:cs="Arial" w:eastAsia="Arial" w:hAnsi="Arial"/>
          <w:sz w:val="18"/>
          <w:szCs w:val="18"/>
          <w:color w:val="auto"/>
        </w:rPr>
      </w:pPr>
    </w:p>
    <w:p>
      <w:pPr>
        <w:ind w:left="964" w:right="360" w:hanging="532"/>
        <w:spacing w:after="0" w:line="250" w:lineRule="auto"/>
        <w:tabs>
          <w:tab w:leader="none" w:pos="964" w:val="left"/>
        </w:tabs>
        <w:numPr>
          <w:ilvl w:val="1"/>
          <w:numId w:val="19"/>
        </w:numPr>
        <w:rPr>
          <w:rFonts w:ascii="Arial" w:cs="Arial" w:eastAsia="Arial" w:hAnsi="Arial"/>
          <w:sz w:val="18"/>
          <w:szCs w:val="18"/>
          <w:color w:val="auto"/>
        </w:rPr>
      </w:pPr>
      <w:r>
        <w:rPr>
          <w:rFonts w:ascii="Arial" w:cs="Arial" w:eastAsia="Arial" w:hAnsi="Arial"/>
          <w:sz w:val="18"/>
          <w:szCs w:val="18"/>
          <w:color w:val="auto"/>
        </w:rPr>
        <w:t>Subject to the terms of the Merger Agreement, certain unvested Inphi equity awards were replaced and converted into unvested equity awards of MTI shares.</w:t>
      </w:r>
    </w:p>
    <w:p>
      <w:pPr>
        <w:ind w:left="964" w:right="20" w:hanging="532"/>
        <w:spacing w:after="0" w:line="273" w:lineRule="auto"/>
        <w:tabs>
          <w:tab w:leader="none" w:pos="964" w:val="left"/>
        </w:tabs>
        <w:numPr>
          <w:ilvl w:val="1"/>
          <w:numId w:val="19"/>
        </w:numPr>
        <w:rPr>
          <w:rFonts w:ascii="Arial" w:cs="Arial" w:eastAsia="Arial" w:hAnsi="Arial"/>
          <w:sz w:val="17"/>
          <w:szCs w:val="17"/>
          <w:color w:val="auto"/>
        </w:rPr>
      </w:pPr>
      <w:r>
        <w:rPr>
          <w:rFonts w:ascii="Arial" w:cs="Arial" w:eastAsia="Arial" w:hAnsi="Arial"/>
          <w:sz w:val="17"/>
          <w:szCs w:val="17"/>
          <w:color w:val="auto"/>
        </w:rPr>
        <w:t>The transaction costs incurred during the period from January 31, 2021 to July 31, 2021 have been removed from the pro forma condensed combined statement of operations for the six months ended July 31, 2021 and added to the pro forma condensed combined statement of operations for the twelve months ended January 30, 2021 to illustrate the costs that would have been incurred earlier had the acquisition occurred on February 2, 2020. These transaction costs are a non-recurring item.</w:t>
      </w:r>
    </w:p>
    <w:p>
      <w:pPr>
        <w:spacing w:after="0" w:line="81" w:lineRule="exact"/>
        <w:rPr>
          <w:rFonts w:ascii="Arial" w:cs="Arial" w:eastAsia="Arial" w:hAnsi="Arial"/>
          <w:sz w:val="17"/>
          <w:szCs w:val="17"/>
          <w:color w:val="auto"/>
        </w:rPr>
      </w:pPr>
    </w:p>
    <w:p>
      <w:pPr>
        <w:ind w:left="424" w:right="100" w:hanging="424"/>
        <w:spacing w:after="0" w:line="279" w:lineRule="auto"/>
        <w:tabs>
          <w:tab w:leader="none" w:pos="424" w:val="left"/>
        </w:tabs>
        <w:numPr>
          <w:ilvl w:val="0"/>
          <w:numId w:val="20"/>
        </w:numPr>
        <w:rPr>
          <w:rFonts w:ascii="Arial" w:cs="Arial" w:eastAsia="Arial" w:hAnsi="Arial"/>
          <w:sz w:val="17"/>
          <w:szCs w:val="17"/>
          <w:color w:val="auto"/>
        </w:rPr>
      </w:pPr>
      <w:r>
        <w:rPr>
          <w:rFonts w:ascii="Arial" w:cs="Arial" w:eastAsia="Arial" w:hAnsi="Arial"/>
          <w:sz w:val="17"/>
          <w:szCs w:val="17"/>
          <w:color w:val="auto"/>
        </w:rPr>
        <w:t>As discussed in Note 2, as part of the acquisition, the Company assumed the $521.7 million principal amount of Inphi’s Convertible Notes. As of July 31, 2021, substantially all of Inphi’s Convertible Notes were converted into a combination of cash and shares of MTI common stock. As a result, this adjustment reflects the elimination of $34.3 million and $12.5 million of interest expense related to the Convertible Notes for the twelve months ended January 30, 2021 and the six months ended July 31, 2021, respectively.</w:t>
      </w:r>
    </w:p>
    <w:p>
      <w:pPr>
        <w:sectPr>
          <w:pgSz w:w="11900" w:h="16838" w:orient="portrait"/>
          <w:cols w:equalWidth="0" w:num="1">
            <w:col w:w="10984"/>
          </w:cols>
          <w:pgMar w:left="436" w:top="274" w:right="479" w:bottom="1440" w:gutter="0" w:footer="0" w:header="0"/>
        </w:sectPr>
      </w:pPr>
    </w:p>
    <w:bookmarkStart w:id="34" w:name="page35"/>
    <w:bookmarkEnd w:id="34"/>
    <w:p>
      <w:pPr>
        <w:ind w:left="424" w:hanging="424"/>
        <w:spacing w:after="0" w:line="284" w:lineRule="auto"/>
        <w:tabs>
          <w:tab w:leader="none" w:pos="424" w:val="left"/>
        </w:tabs>
        <w:numPr>
          <w:ilvl w:val="0"/>
          <w:numId w:val="21"/>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This adjustment reflects the income tax expense/benefit effects of the transaction related adjustments based on applicable statutory tax rates for the jurisdictions associated with the respective transaction related adjustments. Because the tax rates used for these pro forma financial statements are an estimate, the blended rate will likely vary from the actual effective rate in periods subsequent to completion of the Inphi acquisition. Further, the combined company’s ability to use net operating loss carryforwards to offset future taxable income for U.S. federal income tax purposes may be subject to limitations. In general, under Section 382 of the Code, a corporation that undergoes an “ownership change” is subject to limitations on its ability to utilize its pre-change net operating losses to offset future taxable income. In general, an ownership change occurs if the aggregate stock ownership of certain stockholders (generally 5% stockholders, applying certain look-through rules) increases by more than 50 percentage points over such stockholder’s lowest percentage ownership during the testing period (generally three years). In addition, some of the standards and requirements under ASC 740 (Accounting for Income Taxes) may limit the combined company’s ability to record deferred tax assets relating to originating temporary differences between book and tax basis of income and expense items. Further, these standards may require a valuation allowance to be established against certain existing deferred tax assets of each company as of the completion of the Inphi acquisition and the transactions contemplated by the Inphi merger agreement. In addition, a combination of two companies may also cause the ability for certain valuation allowances associated with one of the companies to no longer be necessary because on a combined basis, there may be new sources of future taxable income to support the reversal of pre-existing valuation allowances. Currently, no adjustment to the unaudited pro forma condensed combined financial information has been made as it relates to whether limitations the combined company might incur under Section 382 of the Code or ASC 740 nor for a preliminary adjustment to the recognition of the acquired deferred tax assets in the form of a decrease to the pre-existing valuation allowances to conform with the Marvell valuation allowance profiles. Furthermore, adjustments to established deferred tax assets and liabilities as well as the recognition of additional deferred tax assets and liabilities may occur in conjunction with the finalization of the purchase accounting and these items could be material. Finally, tax related adjustments included in the unaudited pro forma condensed combined financial information are based on the current tax law and do not consider or contemplate effects of proposed legislative changes.</w:t>
      </w:r>
    </w:p>
    <w:p>
      <w:pPr>
        <w:spacing w:after="0" w:line="87" w:lineRule="exact"/>
        <w:rPr>
          <w:rFonts w:ascii="Arial" w:cs="Arial" w:eastAsia="Arial" w:hAnsi="Arial"/>
          <w:sz w:val="16"/>
          <w:szCs w:val="16"/>
          <w:color w:val="auto"/>
        </w:rPr>
      </w:pPr>
    </w:p>
    <w:p>
      <w:pPr>
        <w:ind w:left="424" w:right="40" w:hanging="424"/>
        <w:spacing w:after="0" w:line="279" w:lineRule="auto"/>
        <w:tabs>
          <w:tab w:leader="none" w:pos="424" w:val="left"/>
        </w:tabs>
        <w:numPr>
          <w:ilvl w:val="0"/>
          <w:numId w:val="21"/>
        </w:numPr>
        <w:rPr>
          <w:rFonts w:ascii="Arial" w:cs="Arial" w:eastAsia="Arial" w:hAnsi="Arial"/>
          <w:sz w:val="17"/>
          <w:szCs w:val="17"/>
          <w:color w:val="auto"/>
        </w:rPr>
      </w:pPr>
      <w:r>
        <w:rPr>
          <w:rFonts w:ascii="Arial" w:cs="Arial" w:eastAsia="Arial" w:hAnsi="Arial"/>
          <w:sz w:val="17"/>
          <w:szCs w:val="17"/>
          <w:color w:val="auto"/>
        </w:rPr>
        <w:t>Reflects the adjustments to weighted average Marvell (or MTI) shares and Inphi shares outstanding. Pro forma weighted average shares outstanding are calculated by adding all shares of MTI common stock issued to Inphi common stockholders (including shares for purchase consideration or acceleration or replacement of equity awards), and subtracting the weighted average shares of MTI common stock issued to Inphi common stockholders that were included in the Company’s calculation of its historical weighted average shares outstanding.</w:t>
      </w:r>
    </w:p>
    <w:p>
      <w:pPr>
        <w:spacing w:after="0" w:line="177" w:lineRule="exact"/>
        <w:rPr>
          <w:sz w:val="20"/>
          <w:szCs w:val="20"/>
          <w:color w:val="auto"/>
        </w:rPr>
      </w:pPr>
    </w:p>
    <w:tbl>
      <w:tblPr>
        <w:tblLayout w:type="fixed"/>
        <w:tblInd w:w="1324" w:type="dxa"/>
        <w:tblCellMar>
          <w:top w:w="0" w:type="dxa"/>
          <w:left w:w="0" w:type="dxa"/>
          <w:bottom w:w="0" w:type="dxa"/>
          <w:right w:w="0" w:type="dxa"/>
        </w:tblCellMar>
      </w:tblPr>
      <w:tr>
        <w:trPr>
          <w:trHeight w:val="161"/>
        </w:trPr>
        <w:tc>
          <w:tcPr>
            <w:tcW w:w="50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80" w:type="dxa"/>
            <w:vAlign w:val="bottom"/>
            <w:gridSpan w:val="3"/>
          </w:tcPr>
          <w:p>
            <w:pPr>
              <w:jc w:val="right"/>
              <w:ind w:right="300"/>
              <w:spacing w:after="0"/>
              <w:rPr>
                <w:sz w:val="20"/>
                <w:szCs w:val="20"/>
                <w:color w:val="auto"/>
              </w:rPr>
            </w:pPr>
            <w:r>
              <w:rPr>
                <w:rFonts w:ascii="Arial" w:cs="Arial" w:eastAsia="Arial" w:hAnsi="Arial"/>
                <w:sz w:val="14"/>
                <w:szCs w:val="14"/>
                <w:b w:val="1"/>
                <w:bCs w:val="1"/>
                <w:color w:val="auto"/>
              </w:rPr>
              <w:t>Pro Forma</w:t>
            </w:r>
          </w:p>
        </w:tc>
        <w:tc>
          <w:tcPr>
            <w:tcW w:w="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0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4"/>
              </w:rPr>
              <w:t>Pro Forma</w:t>
            </w:r>
          </w:p>
        </w:tc>
        <w:tc>
          <w:tcPr>
            <w:tcW w:w="0" w:type="dxa"/>
            <w:vAlign w:val="bottom"/>
          </w:tcPr>
          <w:p>
            <w:pPr>
              <w:spacing w:after="0"/>
              <w:rPr>
                <w:sz w:val="1"/>
                <w:szCs w:val="1"/>
                <w:color w:val="auto"/>
              </w:rPr>
            </w:pPr>
          </w:p>
        </w:tc>
      </w:tr>
      <w:tr>
        <w:trPr>
          <w:trHeight w:val="148"/>
        </w:trPr>
        <w:tc>
          <w:tcPr>
            <w:tcW w:w="50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200" w:type="dxa"/>
            <w:vAlign w:val="bottom"/>
            <w:gridSpan w:val="4"/>
          </w:tcPr>
          <w:p>
            <w:pPr>
              <w:spacing w:after="0" w:line="149" w:lineRule="exact"/>
              <w:rPr>
                <w:sz w:val="20"/>
                <w:szCs w:val="20"/>
                <w:color w:val="auto"/>
              </w:rPr>
            </w:pPr>
            <w:r>
              <w:rPr>
                <w:rFonts w:ascii="Arial" w:cs="Arial" w:eastAsia="Arial" w:hAnsi="Arial"/>
                <w:sz w:val="14"/>
                <w:szCs w:val="14"/>
                <w:b w:val="1"/>
                <w:bCs w:val="1"/>
                <w:color w:val="auto"/>
                <w:w w:val="97"/>
              </w:rPr>
              <w:t>Six Months Ended</w:t>
            </w:r>
          </w:p>
        </w:tc>
        <w:tc>
          <w:tcPr>
            <w:tcW w:w="720" w:type="dxa"/>
            <w:vAlign w:val="bottom"/>
          </w:tcPr>
          <w:p>
            <w:pPr>
              <w:spacing w:after="0"/>
              <w:rPr>
                <w:sz w:val="12"/>
                <w:szCs w:val="12"/>
                <w:color w:val="auto"/>
              </w:rPr>
            </w:pPr>
          </w:p>
        </w:tc>
        <w:tc>
          <w:tcPr>
            <w:tcW w:w="14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5"/>
              </w:rPr>
              <w:t>Twelve Months Ended</w:t>
            </w:r>
          </w:p>
        </w:tc>
        <w:tc>
          <w:tcPr>
            <w:tcW w:w="0" w:type="dxa"/>
            <w:vAlign w:val="bottom"/>
          </w:tcPr>
          <w:p>
            <w:pPr>
              <w:spacing w:after="0"/>
              <w:rPr>
                <w:sz w:val="1"/>
                <w:szCs w:val="1"/>
                <w:color w:val="auto"/>
              </w:rPr>
            </w:pPr>
          </w:p>
        </w:tc>
      </w:tr>
      <w:tr>
        <w:trPr>
          <w:trHeight w:val="171"/>
        </w:trPr>
        <w:tc>
          <w:tcPr>
            <w:tcW w:w="50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80" w:type="dxa"/>
            <w:vAlign w:val="bottom"/>
            <w:gridSpan w:val="3"/>
          </w:tcPr>
          <w:p>
            <w:pPr>
              <w:jc w:val="right"/>
              <w:ind w:right="240"/>
              <w:spacing w:after="0"/>
              <w:rPr>
                <w:sz w:val="20"/>
                <w:szCs w:val="20"/>
                <w:color w:val="auto"/>
              </w:rPr>
            </w:pPr>
            <w:r>
              <w:rPr>
                <w:rFonts w:ascii="Arial" w:cs="Arial" w:eastAsia="Arial" w:hAnsi="Arial"/>
                <w:sz w:val="14"/>
                <w:szCs w:val="14"/>
                <w:b w:val="1"/>
                <w:bCs w:val="1"/>
                <w:color w:val="auto"/>
                <w:w w:val="94"/>
              </w:rPr>
              <w:t>July 31, 2021</w:t>
            </w:r>
          </w:p>
        </w:tc>
        <w:tc>
          <w:tcPr>
            <w:tcW w:w="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0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4"/>
              </w:rPr>
              <w:t>January 30, 2021</w:t>
            </w:r>
          </w:p>
        </w:tc>
        <w:tc>
          <w:tcPr>
            <w:tcW w:w="0" w:type="dxa"/>
            <w:vAlign w:val="bottom"/>
          </w:tcPr>
          <w:p>
            <w:pPr>
              <w:spacing w:after="0"/>
              <w:rPr>
                <w:sz w:val="1"/>
                <w:szCs w:val="1"/>
                <w:color w:val="auto"/>
              </w:rPr>
            </w:pPr>
          </w:p>
        </w:tc>
      </w:tr>
      <w:tr>
        <w:trPr>
          <w:trHeight w:val="142"/>
        </w:trPr>
        <w:tc>
          <w:tcPr>
            <w:tcW w:w="50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1020" w:type="dxa"/>
            <w:vAlign w:val="bottom"/>
            <w:tcBorders>
              <w:top w:val="single" w:sz="8" w:color="auto"/>
            </w:tcBorders>
          </w:tcPr>
          <w:p>
            <w:pPr>
              <w:spacing w:after="0"/>
              <w:rPr>
                <w:sz w:val="12"/>
                <w:szCs w:val="12"/>
                <w:color w:val="auto"/>
              </w:rPr>
            </w:pPr>
          </w:p>
        </w:tc>
        <w:tc>
          <w:tcPr>
            <w:tcW w:w="20" w:type="dxa"/>
            <w:vAlign w:val="bottom"/>
            <w:tcBorders>
              <w:top w:val="single" w:sz="8" w:color="auto"/>
            </w:tcBorders>
          </w:tcPr>
          <w:p>
            <w:pPr>
              <w:spacing w:after="0"/>
              <w:rPr>
                <w:sz w:val="12"/>
                <w:szCs w:val="12"/>
                <w:color w:val="auto"/>
              </w:rPr>
            </w:pPr>
          </w:p>
        </w:tc>
        <w:tc>
          <w:tcPr>
            <w:tcW w:w="40" w:type="dxa"/>
            <w:vAlign w:val="bottom"/>
            <w:tcBorders>
              <w:top w:val="single" w:sz="8" w:color="auto"/>
            </w:tcBorders>
          </w:tcPr>
          <w:p>
            <w:pPr>
              <w:spacing w:after="0"/>
              <w:rPr>
                <w:sz w:val="12"/>
                <w:szCs w:val="12"/>
                <w:color w:val="auto"/>
              </w:rPr>
            </w:pPr>
          </w:p>
        </w:tc>
        <w:tc>
          <w:tcPr>
            <w:tcW w:w="2100" w:type="dxa"/>
            <w:vAlign w:val="bottom"/>
            <w:tcBorders>
              <w:top w:val="single" w:sz="8" w:color="auto"/>
            </w:tcBorders>
            <w:gridSpan w:val="3"/>
          </w:tcPr>
          <w:p>
            <w:pPr>
              <w:jc w:val="right"/>
              <w:ind w:right="1134"/>
              <w:spacing w:after="0" w:line="142" w:lineRule="exact"/>
              <w:rPr>
                <w:sz w:val="20"/>
                <w:szCs w:val="20"/>
                <w:color w:val="auto"/>
              </w:rPr>
            </w:pPr>
            <w:r>
              <w:rPr>
                <w:rFonts w:ascii="Arial" w:cs="Arial" w:eastAsia="Arial" w:hAnsi="Arial"/>
                <w:sz w:val="14"/>
                <w:szCs w:val="14"/>
                <w:b w:val="1"/>
                <w:bCs w:val="1"/>
                <w:color w:val="auto"/>
                <w:w w:val="89"/>
              </w:rPr>
              <w:t>(In thousands)</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0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Pro forma basic weighted average shares:</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5000" w:type="dxa"/>
            <w:vAlign w:val="bottom"/>
          </w:tcPr>
          <w:p>
            <w:pPr>
              <w:spacing w:after="0" w:line="201" w:lineRule="exact"/>
              <w:rPr>
                <w:sz w:val="20"/>
                <w:szCs w:val="20"/>
                <w:color w:val="auto"/>
              </w:rPr>
            </w:pPr>
            <w:r>
              <w:rPr>
                <w:rFonts w:ascii="Arial" w:cs="Arial" w:eastAsia="Arial" w:hAnsi="Arial"/>
                <w:sz w:val="18"/>
                <w:szCs w:val="18"/>
                <w:color w:val="auto"/>
              </w:rPr>
              <w:t>Historical Marvell or MTI weighted average shares</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5000" w:type="dxa"/>
            <w:vAlign w:val="bottom"/>
          </w:tcPr>
          <w:p>
            <w:pPr>
              <w:ind w:left="180"/>
              <w:spacing w:after="0"/>
              <w:rPr>
                <w:sz w:val="20"/>
                <w:szCs w:val="20"/>
                <w:color w:val="auto"/>
              </w:rPr>
            </w:pPr>
            <w:r>
              <w:rPr>
                <w:rFonts w:ascii="Arial" w:cs="Arial" w:eastAsia="Arial" w:hAnsi="Arial"/>
                <w:sz w:val="18"/>
                <w:szCs w:val="18"/>
                <w:color w:val="auto"/>
              </w:rPr>
              <w:t>outstanding</w:t>
            </w:r>
          </w:p>
        </w:tc>
        <w:tc>
          <w:tcPr>
            <w:tcW w:w="140" w:type="dxa"/>
            <w:vAlign w:val="bottom"/>
            <w:gridSpan w:val="2"/>
          </w:tcPr>
          <w:p>
            <w:pPr>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20"/>
              <w:spacing w:after="0"/>
              <w:rPr>
                <w:sz w:val="20"/>
                <w:szCs w:val="20"/>
                <w:color w:val="auto"/>
              </w:rPr>
            </w:pPr>
            <w:r>
              <w:rPr>
                <w:rFonts w:ascii="Arial" w:cs="Arial" w:eastAsia="Arial" w:hAnsi="Arial"/>
                <w:sz w:val="18"/>
                <w:szCs w:val="18"/>
                <w:color w:val="auto"/>
              </w:rPr>
              <w:t>757,205</w:t>
            </w:r>
          </w:p>
        </w:tc>
        <w:tc>
          <w:tcPr>
            <w:tcW w:w="40" w:type="dxa"/>
            <w:vAlign w:val="bottom"/>
          </w:tcPr>
          <w:p>
            <w:pPr>
              <w:spacing w:after="0"/>
              <w:rPr>
                <w:sz w:val="20"/>
                <w:szCs w:val="20"/>
                <w:color w:val="auto"/>
              </w:rPr>
            </w:pPr>
          </w:p>
        </w:tc>
        <w:tc>
          <w:tcPr>
            <w:tcW w:w="840" w:type="dxa"/>
            <w:vAlign w:val="bottom"/>
            <w:gridSpan w:val="2"/>
          </w:tcPr>
          <w:p>
            <w:pPr>
              <w:ind w:left="720"/>
              <w:spacing w:after="0"/>
              <w:rPr>
                <w:sz w:val="20"/>
                <w:szCs w:val="20"/>
                <w:color w:val="auto"/>
              </w:rPr>
            </w:pPr>
            <w:r>
              <w:rPr>
                <w:rFonts w:ascii="Arial" w:cs="Arial" w:eastAsia="Arial" w:hAnsi="Arial"/>
                <w:sz w:val="18"/>
                <w:szCs w:val="18"/>
                <w:color w:val="auto"/>
                <w:w w:val="99"/>
              </w:rPr>
              <w:t>$</w:t>
            </w:r>
          </w:p>
        </w:tc>
        <w:tc>
          <w:tcPr>
            <w:tcW w:w="1300" w:type="dxa"/>
            <w:vAlign w:val="bottom"/>
            <w:gridSpan w:val="2"/>
          </w:tcPr>
          <w:p>
            <w:pPr>
              <w:jc w:val="right"/>
              <w:ind w:right="40"/>
              <w:spacing w:after="0"/>
              <w:rPr>
                <w:sz w:val="20"/>
                <w:szCs w:val="20"/>
                <w:color w:val="auto"/>
              </w:rPr>
            </w:pPr>
            <w:r>
              <w:rPr>
                <w:rFonts w:ascii="Arial" w:cs="Arial" w:eastAsia="Arial" w:hAnsi="Arial"/>
                <w:sz w:val="18"/>
                <w:szCs w:val="18"/>
                <w:color w:val="auto"/>
              </w:rPr>
              <w:t>668,772</w:t>
            </w:r>
          </w:p>
        </w:tc>
        <w:tc>
          <w:tcPr>
            <w:tcW w:w="0" w:type="dxa"/>
            <w:vAlign w:val="bottom"/>
          </w:tcPr>
          <w:p>
            <w:pPr>
              <w:spacing w:after="0"/>
              <w:rPr>
                <w:sz w:val="1"/>
                <w:szCs w:val="1"/>
                <w:color w:val="auto"/>
              </w:rPr>
            </w:pPr>
          </w:p>
        </w:tc>
      </w:tr>
      <w:tr>
        <w:trPr>
          <w:trHeight w:val="216"/>
        </w:trPr>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Issuance of shares to Inphi common stockholders</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143,602</w:t>
            </w:r>
          </w:p>
        </w:tc>
        <w:tc>
          <w:tcPr>
            <w:tcW w:w="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143,602</w:t>
            </w:r>
          </w:p>
        </w:tc>
        <w:tc>
          <w:tcPr>
            <w:tcW w:w="0" w:type="dxa"/>
            <w:vAlign w:val="bottom"/>
          </w:tcPr>
          <w:p>
            <w:pPr>
              <w:spacing w:after="0"/>
              <w:rPr>
                <w:sz w:val="1"/>
                <w:szCs w:val="1"/>
                <w:color w:val="auto"/>
              </w:rPr>
            </w:pPr>
          </w:p>
        </w:tc>
      </w:tr>
      <w:tr>
        <w:trPr>
          <w:trHeight w:val="202"/>
        </w:trPr>
        <w:tc>
          <w:tcPr>
            <w:tcW w:w="5000" w:type="dxa"/>
            <w:vAlign w:val="bottom"/>
          </w:tcPr>
          <w:p>
            <w:pPr>
              <w:spacing w:after="0" w:line="201" w:lineRule="exact"/>
              <w:rPr>
                <w:sz w:val="20"/>
                <w:szCs w:val="20"/>
                <w:color w:val="auto"/>
              </w:rPr>
            </w:pPr>
            <w:r>
              <w:rPr>
                <w:rFonts w:ascii="Arial" w:cs="Arial" w:eastAsia="Arial" w:hAnsi="Arial"/>
                <w:sz w:val="18"/>
                <w:szCs w:val="18"/>
                <w:color w:val="auto"/>
              </w:rPr>
              <w:t>Remove weighted average of shares issued to Inphi</w:t>
            </w: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000" w:type="dxa"/>
            <w:vAlign w:val="bottom"/>
          </w:tcPr>
          <w:p>
            <w:pPr>
              <w:ind w:left="180"/>
              <w:spacing w:after="0"/>
              <w:rPr>
                <w:sz w:val="20"/>
                <w:szCs w:val="20"/>
                <w:color w:val="auto"/>
              </w:rPr>
            </w:pPr>
            <w:r>
              <w:rPr>
                <w:rFonts w:ascii="Arial" w:cs="Arial" w:eastAsia="Arial" w:hAnsi="Arial"/>
                <w:sz w:val="18"/>
                <w:szCs w:val="18"/>
                <w:color w:val="auto"/>
              </w:rPr>
              <w:t>common shareholders included in MTI’s historical</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5000" w:type="dxa"/>
            <w:vAlign w:val="bottom"/>
          </w:tcPr>
          <w:p>
            <w:pPr>
              <w:ind w:left="180"/>
              <w:spacing w:after="0"/>
              <w:rPr>
                <w:sz w:val="20"/>
                <w:szCs w:val="20"/>
                <w:color w:val="auto"/>
              </w:rPr>
            </w:pPr>
            <w:r>
              <w:rPr>
                <w:rFonts w:ascii="Arial" w:cs="Arial" w:eastAsia="Arial" w:hAnsi="Arial"/>
                <w:sz w:val="18"/>
                <w:szCs w:val="18"/>
                <w:color w:val="auto"/>
              </w:rPr>
              <w:t>weighted average shares</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80" w:type="dxa"/>
            <w:vAlign w:val="bottom"/>
            <w:gridSpan w:val="3"/>
          </w:tcPr>
          <w:p>
            <w:pPr>
              <w:jc w:val="right"/>
              <w:spacing w:after="0"/>
              <w:rPr>
                <w:sz w:val="20"/>
                <w:szCs w:val="20"/>
                <w:color w:val="auto"/>
              </w:rPr>
            </w:pPr>
            <w:r>
              <w:rPr>
                <w:rFonts w:ascii="Arial" w:cs="Arial" w:eastAsia="Arial" w:hAnsi="Arial"/>
                <w:sz w:val="18"/>
                <w:szCs w:val="18"/>
                <w:color w:val="auto"/>
              </w:rPr>
              <w:t>(80,125)</w:t>
            </w:r>
          </w:p>
        </w:tc>
        <w:tc>
          <w:tcPr>
            <w:tcW w:w="7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00" w:type="dxa"/>
            <w:vAlign w:val="bottom"/>
            <w:gridSpan w:val="2"/>
          </w:tcPr>
          <w:p>
            <w:pPr>
              <w:ind w:left="9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500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02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7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26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Pro forma weighted average shares (basic)</w:t>
            </w:r>
          </w:p>
        </w:tc>
        <w:tc>
          <w:tcPr>
            <w:tcW w:w="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820,682</w:t>
            </w:r>
          </w:p>
        </w:tc>
        <w:tc>
          <w:tcPr>
            <w:tcW w:w="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w w:val="99"/>
              </w:rPr>
              <w:t>$</w:t>
            </w:r>
          </w:p>
        </w:tc>
        <w:tc>
          <w:tcPr>
            <w:tcW w:w="13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812,374</w:t>
            </w:r>
          </w:p>
        </w:tc>
        <w:tc>
          <w:tcPr>
            <w:tcW w:w="0" w:type="dxa"/>
            <w:vAlign w:val="bottom"/>
          </w:tcPr>
          <w:p>
            <w:pPr>
              <w:spacing w:after="0"/>
              <w:rPr>
                <w:sz w:val="1"/>
                <w:szCs w:val="1"/>
                <w:color w:val="auto"/>
              </w:rPr>
            </w:pPr>
          </w:p>
        </w:tc>
      </w:tr>
      <w:tr>
        <w:trPr>
          <w:trHeight w:val="20"/>
        </w:trPr>
        <w:tc>
          <w:tcPr>
            <w:tcW w:w="5000" w:type="dxa"/>
            <w:vAlign w:val="bottom"/>
            <w:vMerge w:val="restart"/>
          </w:tcPr>
          <w:p>
            <w:pPr>
              <w:spacing w:after="0"/>
              <w:rPr>
                <w:sz w:val="20"/>
                <w:szCs w:val="20"/>
                <w:color w:val="auto"/>
              </w:rPr>
            </w:pPr>
            <w:r>
              <w:rPr>
                <w:rFonts w:ascii="Arial" w:cs="Arial" w:eastAsia="Arial" w:hAnsi="Arial"/>
                <w:sz w:val="18"/>
                <w:szCs w:val="18"/>
                <w:b w:val="1"/>
                <w:bCs w:val="1"/>
                <w:color w:val="auto"/>
              </w:rPr>
              <w:t>Pro forma diluted weighted average shares (1):</w:t>
            </w:r>
          </w:p>
        </w:tc>
        <w:tc>
          <w:tcPr>
            <w:tcW w:w="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000" w:type="dxa"/>
            <w:vAlign w:val="bottom"/>
            <w:vMerge w:val="continue"/>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500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Historical Marvell or MTI weighted average shares</w:t>
            </w:r>
          </w:p>
        </w:tc>
        <w:tc>
          <w:tcPr>
            <w:tcW w:w="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6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50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outstanding</w:t>
            </w:r>
          </w:p>
        </w:tc>
        <w:tc>
          <w:tcPr>
            <w:tcW w:w="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757,205</w:t>
            </w:r>
          </w:p>
        </w:tc>
        <w:tc>
          <w:tcPr>
            <w:tcW w:w="40" w:type="dxa"/>
            <w:vAlign w:val="bottom"/>
            <w:shd w:val="clear" w:color="auto" w:fill="CCEEFF"/>
          </w:tcPr>
          <w:p>
            <w:pPr>
              <w:spacing w:after="0"/>
              <w:rPr>
                <w:sz w:val="20"/>
                <w:szCs w:val="20"/>
                <w:color w:val="auto"/>
              </w:rPr>
            </w:pPr>
          </w:p>
        </w:tc>
        <w:tc>
          <w:tcPr>
            <w:tcW w:w="84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w w:val="99"/>
              </w:rPr>
              <w:t>$</w:t>
            </w:r>
          </w:p>
        </w:tc>
        <w:tc>
          <w:tcPr>
            <w:tcW w:w="13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668,772</w:t>
            </w:r>
          </w:p>
        </w:tc>
        <w:tc>
          <w:tcPr>
            <w:tcW w:w="0" w:type="dxa"/>
            <w:vAlign w:val="bottom"/>
          </w:tcPr>
          <w:p>
            <w:pPr>
              <w:spacing w:after="0"/>
              <w:rPr>
                <w:sz w:val="1"/>
                <w:szCs w:val="1"/>
                <w:color w:val="auto"/>
              </w:rPr>
            </w:pPr>
          </w:p>
        </w:tc>
      </w:tr>
      <w:tr>
        <w:trPr>
          <w:trHeight w:val="216"/>
        </w:trPr>
        <w:tc>
          <w:tcPr>
            <w:tcW w:w="5000" w:type="dxa"/>
            <w:vAlign w:val="bottom"/>
          </w:tcPr>
          <w:p>
            <w:pPr>
              <w:spacing w:after="0"/>
              <w:rPr>
                <w:sz w:val="20"/>
                <w:szCs w:val="20"/>
                <w:color w:val="auto"/>
              </w:rPr>
            </w:pPr>
            <w:r>
              <w:rPr>
                <w:rFonts w:ascii="Arial" w:cs="Arial" w:eastAsia="Arial" w:hAnsi="Arial"/>
                <w:sz w:val="18"/>
                <w:szCs w:val="18"/>
                <w:color w:val="auto"/>
              </w:rPr>
              <w:t>Issuance of shares to Inphi common stockholders</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40" w:type="dxa"/>
            <w:vAlign w:val="bottom"/>
            <w:gridSpan w:val="2"/>
          </w:tcPr>
          <w:p>
            <w:pPr>
              <w:jc w:val="right"/>
              <w:ind w:right="20"/>
              <w:spacing w:after="0"/>
              <w:rPr>
                <w:sz w:val="20"/>
                <w:szCs w:val="20"/>
                <w:color w:val="auto"/>
              </w:rPr>
            </w:pPr>
            <w:r>
              <w:rPr>
                <w:rFonts w:ascii="Arial" w:cs="Arial" w:eastAsia="Arial" w:hAnsi="Arial"/>
                <w:sz w:val="18"/>
                <w:szCs w:val="18"/>
                <w:color w:val="auto"/>
              </w:rPr>
              <w:t>143,602</w:t>
            </w:r>
          </w:p>
        </w:tc>
        <w:tc>
          <w:tcPr>
            <w:tcW w:w="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00" w:type="dxa"/>
            <w:vAlign w:val="bottom"/>
            <w:gridSpan w:val="2"/>
          </w:tcPr>
          <w:p>
            <w:pPr>
              <w:jc w:val="right"/>
              <w:ind w:right="40"/>
              <w:spacing w:after="0"/>
              <w:rPr>
                <w:sz w:val="20"/>
                <w:szCs w:val="20"/>
                <w:color w:val="auto"/>
              </w:rPr>
            </w:pPr>
            <w:r>
              <w:rPr>
                <w:rFonts w:ascii="Arial" w:cs="Arial" w:eastAsia="Arial" w:hAnsi="Arial"/>
                <w:sz w:val="18"/>
                <w:szCs w:val="18"/>
                <w:color w:val="auto"/>
              </w:rPr>
              <w:t>143,602</w:t>
            </w:r>
          </w:p>
        </w:tc>
        <w:tc>
          <w:tcPr>
            <w:tcW w:w="0" w:type="dxa"/>
            <w:vAlign w:val="bottom"/>
          </w:tcPr>
          <w:p>
            <w:pPr>
              <w:spacing w:after="0"/>
              <w:rPr>
                <w:sz w:val="1"/>
                <w:szCs w:val="1"/>
                <w:color w:val="auto"/>
              </w:rPr>
            </w:pPr>
          </w:p>
        </w:tc>
      </w:tr>
      <w:tr>
        <w:trPr>
          <w:trHeight w:val="202"/>
        </w:trPr>
        <w:tc>
          <w:tcPr>
            <w:tcW w:w="500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Remove weighted average of shares issued to Inphi</w:t>
            </w:r>
          </w:p>
        </w:tc>
        <w:tc>
          <w:tcPr>
            <w:tcW w:w="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6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0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common shareholders included in MTI’s historical</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50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weighted average shares</w:t>
            </w:r>
          </w:p>
        </w:tc>
        <w:tc>
          <w:tcPr>
            <w:tcW w:w="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0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(80,125)</w:t>
            </w:r>
          </w:p>
        </w:tc>
        <w:tc>
          <w:tcPr>
            <w:tcW w:w="7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300" w:type="dxa"/>
            <w:vAlign w:val="bottom"/>
            <w:gridSpan w:val="2"/>
            <w:shd w:val="clear" w:color="auto" w:fill="CCEEFF"/>
          </w:tcPr>
          <w:p>
            <w:pPr>
              <w:ind w:left="9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5000" w:type="dxa"/>
            <w:vAlign w:val="bottom"/>
          </w:tcPr>
          <w:p>
            <w:pPr>
              <w:spacing w:after="0"/>
              <w:rPr>
                <w:sz w:val="20"/>
                <w:szCs w:val="20"/>
                <w:color w:val="auto"/>
              </w:rPr>
            </w:pPr>
            <w:r>
              <w:rPr>
                <w:rFonts w:ascii="Arial" w:cs="Arial" w:eastAsia="Arial" w:hAnsi="Arial"/>
                <w:sz w:val="18"/>
                <w:szCs w:val="18"/>
                <w:color w:val="auto"/>
              </w:rPr>
              <w:t>Pro forma weighted average shares (diluted)</w:t>
            </w:r>
          </w:p>
        </w:tc>
        <w:tc>
          <w:tcPr>
            <w:tcW w:w="20" w:type="dxa"/>
            <w:vAlign w:val="bottom"/>
            <w:tcBorders>
              <w:bottom w:val="single" w:sz="8" w:color="auto"/>
            </w:tcBorders>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820,682</w:t>
            </w:r>
          </w:p>
        </w:tc>
        <w:tc>
          <w:tcPr>
            <w:tcW w:w="20" w:type="dxa"/>
            <w:vAlign w:val="bottom"/>
            <w:tcBorders>
              <w:bottom w:val="single" w:sz="8" w:color="auto"/>
            </w:tcBorders>
          </w:tcPr>
          <w:p>
            <w:pPr>
              <w:spacing w:after="0"/>
              <w:rPr>
                <w:sz w:val="19"/>
                <w:szCs w:val="19"/>
                <w:color w:val="auto"/>
              </w:rPr>
            </w:pPr>
          </w:p>
        </w:tc>
        <w:tc>
          <w:tcPr>
            <w:tcW w:w="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812,374</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0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964" w:right="100" w:hanging="532"/>
        <w:spacing w:after="0" w:line="277" w:lineRule="auto"/>
        <w:tabs>
          <w:tab w:leader="none" w:pos="964" w:val="left"/>
        </w:tabs>
        <w:numPr>
          <w:ilvl w:val="0"/>
          <w:numId w:val="22"/>
        </w:numPr>
        <w:rPr>
          <w:rFonts w:ascii="Arial" w:cs="Arial" w:eastAsia="Arial" w:hAnsi="Arial"/>
          <w:sz w:val="18"/>
          <w:szCs w:val="18"/>
          <w:color w:val="auto"/>
        </w:rPr>
      </w:pPr>
      <w:r>
        <w:rPr>
          <w:rFonts w:ascii="Arial" w:cs="Arial" w:eastAsia="Arial" w:hAnsi="Arial"/>
          <w:sz w:val="18"/>
          <w:szCs w:val="18"/>
          <w:color w:val="auto"/>
        </w:rPr>
        <w:t>8,605 MTI replacement awards to Inphi equity award holders were excluded from the computation of pro forma diluted weighted average shares as their effect would be anti-dilutive.</w:t>
      </w:r>
    </w:p>
    <w:sectPr>
      <w:pgSz w:w="11900" w:h="16838" w:orient="portrait"/>
      <w:cols w:equalWidth="0" w:num="1">
        <w:col w:w="11004"/>
      </w:cols>
      <w:pgMar w:left="436" w:top="274"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190CDE7"/>
    <w:multiLevelType w:val="hybridMultilevel"/>
    <w:lvl w:ilvl="0">
      <w:lvlJc w:val="left"/>
      <w:lvlText w:val="☐"/>
      <w:numFmt w:val="bullet"/>
      <w:start w:val="1"/>
    </w:lvl>
  </w:abstractNum>
  <w:abstractNum w:abstractNumId="1">
    <w:nsid w:val="66EF438D"/>
    <w:multiLevelType w:val="hybridMultilevel"/>
    <w:lvl w:ilvl="0">
      <w:lvlJc w:val="left"/>
      <w:lvlText w:val="%1"/>
      <w:numFmt w:val="decimal"/>
      <w:start w:val="104"/>
    </w:lvl>
  </w:abstractNum>
  <w:abstractNum w:abstractNumId="2">
    <w:nsid w:val="140E0F76"/>
    <w:multiLevelType w:val="hybridMultilevel"/>
    <w:lvl w:ilvl="0">
      <w:lvlJc w:val="left"/>
      <w:lvlText w:val="%1."/>
      <w:numFmt w:val="decimal"/>
      <w:start w:val="17"/>
    </w:lvl>
  </w:abstractNum>
  <w:abstractNum w:abstractNumId="3">
    <w:nsid w:val="3352255A"/>
    <w:multiLevelType w:val="hybridMultilevel"/>
    <w:lvl w:ilvl="0">
      <w:lvlJc w:val="left"/>
      <w:lvlText w:val="•"/>
      <w:numFmt w:val="bullet"/>
      <w:start w:val="1"/>
    </w:lvl>
  </w:abstractNum>
  <w:abstractNum w:abstractNumId="4">
    <w:nsid w:val="109CF92E"/>
    <w:multiLevelType w:val="hybridMultilevel"/>
    <w:lvl w:ilvl="0">
      <w:lvlJc w:val="left"/>
      <w:lvlText w:val="%1."/>
      <w:numFmt w:val="decimal"/>
      <w:start w:val="1"/>
    </w:lvl>
  </w:abstractNum>
  <w:abstractNum w:abstractNumId="5">
    <w:nsid w:val="DED7263"/>
    <w:multiLevelType w:val="hybridMultilevel"/>
    <w:lvl w:ilvl="0">
      <w:lvlJc w:val="left"/>
      <w:lvlText w:val="%1."/>
      <w:numFmt w:val="decimal"/>
      <w:start w:val="2"/>
    </w:lvl>
  </w:abstractNum>
  <w:abstractNum w:abstractNumId="6">
    <w:nsid w:val="7FDCC233"/>
    <w:multiLevelType w:val="hybridMultilevel"/>
    <w:lvl w:ilvl="0">
      <w:lvlJc w:val="left"/>
      <w:lvlText w:val="%1."/>
      <w:numFmt w:val="decimal"/>
      <w:start w:val="3"/>
    </w:lvl>
  </w:abstractNum>
  <w:abstractNum w:abstractNumId="7">
    <w:nsid w:val="1BEFD79F"/>
    <w:multiLevelType w:val="hybridMultilevel"/>
    <w:lvl w:ilvl="0">
      <w:lvlJc w:val="left"/>
      <w:lvlText w:val="%1."/>
      <w:numFmt w:val="decimal"/>
      <w:start w:val="4"/>
    </w:lvl>
  </w:abstractNum>
  <w:abstractNum w:abstractNumId="8">
    <w:nsid w:val="41A7C4C9"/>
    <w:multiLevelType w:val="hybridMultilevel"/>
    <w:lvl w:ilvl="0">
      <w:lvlJc w:val="left"/>
      <w:lvlText w:val="%1."/>
      <w:numFmt w:val="decimal"/>
      <w:start w:val="5"/>
    </w:lvl>
  </w:abstractNum>
  <w:abstractNum w:abstractNumId="9">
    <w:nsid w:val="6B68079A"/>
    <w:multiLevelType w:val="hybridMultilevel"/>
    <w:lvl w:ilvl="0">
      <w:lvlJc w:val="left"/>
      <w:lvlText w:val="%1."/>
      <w:numFmt w:val="decimal"/>
      <w:start w:val="6"/>
    </w:lvl>
  </w:abstractNum>
  <w:abstractNum w:abstractNumId="10">
    <w:nsid w:val="4E6AFB66"/>
    <w:multiLevelType w:val="hybridMultilevel"/>
    <w:lvl w:ilvl="0">
      <w:lvlJc w:val="left"/>
      <w:lvlText w:val="(%1)"/>
      <w:numFmt w:val="lowerLetter"/>
      <w:start w:val="1"/>
    </w:lvl>
  </w:abstractNum>
  <w:abstractNum w:abstractNumId="11">
    <w:nsid w:val="25E45D32"/>
    <w:multiLevelType w:val="hybridMultilevel"/>
    <w:lvl w:ilvl="0">
      <w:lvlJc w:val="left"/>
      <w:lvlText w:val="(%1)"/>
      <w:numFmt w:val="lowerLetter"/>
      <w:start w:val="2"/>
    </w:lvl>
  </w:abstractNum>
  <w:abstractNum w:abstractNumId="12">
    <w:nsid w:val="519B500D"/>
    <w:multiLevelType w:val="hybridMultilevel"/>
    <w:lvl w:ilvl="0">
      <w:lvlJc w:val="left"/>
      <w:lvlText w:val="%1."/>
      <w:numFmt w:val="decimal"/>
      <w:start w:val="7"/>
    </w:lvl>
  </w:abstractNum>
  <w:abstractNum w:abstractNumId="13">
    <w:nsid w:val="431BD7B7"/>
    <w:multiLevelType w:val="hybridMultilevel"/>
    <w:lvl w:ilvl="0">
      <w:lvlJc w:val="left"/>
      <w:lvlText w:val="(%1)"/>
      <w:numFmt w:val="lowerLetter"/>
      <w:start w:val="1"/>
    </w:lvl>
  </w:abstractNum>
  <w:abstractNum w:abstractNumId="14">
    <w:nsid w:val="3F2DBA31"/>
    <w:multiLevelType w:val="hybridMultilevel"/>
    <w:lvl w:ilvl="0">
      <w:lvlJc w:val="left"/>
      <w:lvlText w:val="(%1)"/>
      <w:numFmt w:val="decimal"/>
      <w:start w:val="1"/>
    </w:lvl>
  </w:abstractNum>
  <w:abstractNum w:abstractNumId="15">
    <w:nsid w:val="7C83E458"/>
    <w:multiLevelType w:val="hybridMultilevel"/>
    <w:lvl w:ilvl="0">
      <w:lvlJc w:val="left"/>
      <w:lvlText w:val="(%1)"/>
      <w:numFmt w:val="lowerLetter"/>
      <w:start w:val="2"/>
    </w:lvl>
  </w:abstractNum>
  <w:abstractNum w:abstractNumId="16">
    <w:nsid w:val="257130A3"/>
    <w:multiLevelType w:val="hybridMultilevel"/>
    <w:lvl w:ilvl="0">
      <w:lvlJc w:val="left"/>
      <w:lvlText w:val="(%1)"/>
      <w:numFmt w:val="decimal"/>
      <w:start w:val="1"/>
    </w:lvl>
  </w:abstractNum>
  <w:abstractNum w:abstractNumId="17">
    <w:nsid w:val="62BBD95A"/>
    <w:multiLevelType w:val="hybridMultilevel"/>
    <w:lvl w:ilvl="0">
      <w:lvlJc w:val="left"/>
      <w:lvlText w:val="(%1)"/>
      <w:numFmt w:val="lowerLetter"/>
      <w:start w:val="3"/>
    </w:lvl>
  </w:abstractNum>
  <w:abstractNum w:abstractNumId="18">
    <w:nsid w:val="436C6125"/>
    <w:multiLevelType w:val="hybridMultilevel"/>
    <w:lvl w:ilvl="0">
      <w:lvlJc w:val="left"/>
      <w:lvlText w:val="%1"/>
      <w:numFmt w:val="lowerLetter"/>
      <w:start w:val="1"/>
    </w:lvl>
    <w:lvl w:ilvl="1">
      <w:lvlJc w:val="left"/>
      <w:lvlText w:val="(%2)"/>
      <w:numFmt w:val="decimal"/>
      <w:start w:val="1"/>
    </w:lvl>
  </w:abstractNum>
  <w:abstractNum w:abstractNumId="19">
    <w:nsid w:val="628C895D"/>
    <w:multiLevelType w:val="hybridMultilevel"/>
    <w:lvl w:ilvl="0">
      <w:lvlJc w:val="left"/>
      <w:lvlText w:val="(%1)"/>
      <w:numFmt w:val="lowerLetter"/>
      <w:start w:val="4"/>
    </w:lvl>
    <w:lvl w:ilvl="1">
      <w:lvlJc w:val="left"/>
      <w:lvlText w:val="%2"/>
      <w:numFmt w:val="decimal"/>
      <w:start w:val="1"/>
    </w:lvl>
  </w:abstractNum>
  <w:abstractNum w:abstractNumId="20">
    <w:nsid w:val="333AB105"/>
    <w:multiLevelType w:val="hybridMultilevel"/>
    <w:lvl w:ilvl="0">
      <w:lvlJc w:val="left"/>
      <w:lvlText w:val="(%1)"/>
      <w:numFmt w:val="lowerLetter"/>
      <w:start w:val="5"/>
    </w:lvl>
  </w:abstractNum>
  <w:abstractNum w:abstractNumId="21">
    <w:nsid w:val="721DA317"/>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2021-08-27T16:48:00Z</dcterms:created>
  <dcterms:modified xsi:type="dcterms:W3CDTF">2021-08-27T16:48:00Z</dcterms:modified>
</cp:coreProperties>
</file>