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19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July 31, 2021</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255"/>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4"/>
        </w:trPr>
        <w:tc>
          <w:tcPr>
            <w:tcW w:w="5940" w:type="dxa"/>
            <w:vAlign w:val="bottom"/>
          </w:tcPr>
          <w:p>
            <w:pPr>
              <w:jc w:val="center"/>
              <w:ind w:right="3999"/>
              <w:spacing w:after="0" w:line="145"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5"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41"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79"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tbl>
      <w:tblPr>
        <w:tblLayout w:type="fixed"/>
        <w:tblInd w:w="20" w:type="dxa"/>
        <w:tblCellMar>
          <w:top w:w="0" w:type="dxa"/>
          <w:left w:w="0" w:type="dxa"/>
          <w:bottom w:w="0" w:type="dxa"/>
          <w:right w:w="0" w:type="dxa"/>
        </w:tblCellMar>
      </w:tblPr>
      <w:tr>
        <w:trPr>
          <w:trHeight w:val="184"/>
        </w:trPr>
        <w:tc>
          <w:tcPr>
            <w:tcW w:w="2260" w:type="dxa"/>
            <w:vAlign w:val="bottom"/>
          </w:tcPr>
          <w:p>
            <w:pPr>
              <w:ind w:left="460"/>
              <w:spacing w:after="0" w:line="184" w:lineRule="exact"/>
              <w:rPr>
                <w:sz w:val="20"/>
                <w:szCs w:val="20"/>
                <w:color w:val="auto"/>
              </w:rPr>
            </w:pPr>
            <w:r>
              <w:rPr>
                <w:rFonts w:ascii="Arial" w:cs="Arial" w:eastAsia="Arial" w:hAnsi="Arial"/>
                <w:sz w:val="18"/>
                <w:szCs w:val="18"/>
                <w:color w:val="auto"/>
              </w:rPr>
              <w:t>Large accelerated</w:t>
            </w:r>
          </w:p>
        </w:tc>
        <w:tc>
          <w:tcPr>
            <w:tcW w:w="3320" w:type="dxa"/>
            <w:vAlign w:val="bottom"/>
            <w:vMerge w:val="restart"/>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vMerge w:val="restart"/>
          </w:tcPr>
          <w:p>
            <w:pPr>
              <w:ind w:left="2880"/>
              <w:spacing w:after="0"/>
              <w:rPr>
                <w:sz w:val="20"/>
                <w:szCs w:val="20"/>
                <w:color w:val="auto"/>
              </w:rPr>
            </w:pPr>
            <w:r>
              <w:rPr>
                <w:rFonts w:ascii="Arial" w:cs="Arial" w:eastAsia="Arial" w:hAnsi="Arial"/>
                <w:sz w:val="18"/>
                <w:szCs w:val="18"/>
                <w:color w:val="auto"/>
              </w:rPr>
              <w:t>Accelerated filer</w:t>
            </w:r>
          </w:p>
        </w:tc>
        <w:tc>
          <w:tcPr>
            <w:tcW w:w="440" w:type="dxa"/>
            <w:vAlign w:val="bottom"/>
            <w:vMerge w:val="restart"/>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49"/>
        </w:trPr>
        <w:tc>
          <w:tcPr>
            <w:tcW w:w="2260" w:type="dxa"/>
            <w:vAlign w:val="bottom"/>
          </w:tcPr>
          <w:p>
            <w:pPr>
              <w:spacing w:after="0"/>
              <w:rPr>
                <w:sz w:val="20"/>
                <w:szCs w:val="20"/>
                <w:color w:val="auto"/>
              </w:rPr>
            </w:pPr>
            <w:r>
              <w:rPr>
                <w:rFonts w:ascii="Arial" w:cs="Arial" w:eastAsia="Arial" w:hAnsi="Arial"/>
                <w:sz w:val="18"/>
                <w:szCs w:val="18"/>
                <w:color w:val="auto"/>
              </w:rPr>
              <w:t>filer</w:t>
            </w:r>
          </w:p>
        </w:tc>
        <w:tc>
          <w:tcPr>
            <w:tcW w:w="3320" w:type="dxa"/>
            <w:vAlign w:val="bottom"/>
            <w:vMerge w:val="continue"/>
          </w:tcPr>
          <w:p>
            <w:pPr>
              <w:spacing w:after="0"/>
              <w:rPr>
                <w:sz w:val="21"/>
                <w:szCs w:val="21"/>
                <w:color w:val="auto"/>
              </w:rPr>
            </w:pPr>
          </w:p>
        </w:tc>
        <w:tc>
          <w:tcPr>
            <w:tcW w:w="5140" w:type="dxa"/>
            <w:vAlign w:val="bottom"/>
            <w:vMerge w:val="continue"/>
          </w:tcPr>
          <w:p>
            <w:pPr>
              <w:spacing w:after="0"/>
              <w:rPr>
                <w:sz w:val="21"/>
                <w:szCs w:val="21"/>
                <w:color w:val="auto"/>
              </w:rPr>
            </w:pPr>
          </w:p>
        </w:tc>
        <w:tc>
          <w:tcPr>
            <w:tcW w:w="4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445"/>
        </w:trPr>
        <w:tc>
          <w:tcPr>
            <w:tcW w:w="2260" w:type="dxa"/>
            <w:vAlign w:val="bottom"/>
          </w:tcPr>
          <w:p>
            <w:pPr>
              <w:ind w:left="460"/>
              <w:spacing w:after="0"/>
              <w:rPr>
                <w:sz w:val="20"/>
                <w:szCs w:val="20"/>
                <w:color w:val="auto"/>
              </w:rPr>
            </w:pPr>
            <w:r>
              <w:rPr>
                <w:rFonts w:ascii="Arial" w:cs="Arial" w:eastAsia="Arial" w:hAnsi="Arial"/>
                <w:sz w:val="18"/>
                <w:szCs w:val="18"/>
                <w:color w:val="auto"/>
              </w:rPr>
              <w:t>Non-accelerated filer</w:t>
            </w:r>
          </w:p>
        </w:tc>
        <w:tc>
          <w:tcPr>
            <w:tcW w:w="33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tcPr>
          <w:p>
            <w:pPr>
              <w:ind w:left="288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91"/>
        </w:trPr>
        <w:tc>
          <w:tcPr>
            <w:tcW w:w="22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5140" w:type="dxa"/>
            <w:vAlign w:val="bottom"/>
          </w:tcPr>
          <w:p>
            <w:pPr>
              <w:ind w:left="288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bl>
    <w:p>
      <w:pPr>
        <w:spacing w:after="0" w:line="101" w:lineRule="exact"/>
        <w:rPr>
          <w:sz w:val="24"/>
          <w:szCs w:val="24"/>
          <w:color w:val="auto"/>
        </w:rPr>
      </w:pPr>
    </w:p>
    <w:p>
      <w:pPr>
        <w:jc w:val="both"/>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60" w:right="1340"/>
        <w:spacing w:after="0" w:line="260"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August 20, 2021 was 823.6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313055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0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9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940" w:type="dxa"/>
            <w:vAlign w:val="bottom"/>
            <w:gridSpan w:val="13"/>
          </w:tcPr>
          <w:p>
            <w:pPr>
              <w:jc w:val="center"/>
              <w:ind w:right="2120"/>
              <w:spacing w:after="0" w:line="176" w:lineRule="exact"/>
              <w:rPr>
                <w:rFonts w:ascii="Arial" w:cs="Arial" w:eastAsia="Arial" w:hAnsi="Arial"/>
                <w:sz w:val="18"/>
                <w:szCs w:val="18"/>
                <w:b w:val="1"/>
                <w:bCs w:val="1"/>
                <w:color w:val="0000FF"/>
              </w:rPr>
            </w:pPr>
            <w:hyperlink w:anchor="page2">
              <w:r>
                <w:rPr>
                  <w:rFonts w:ascii="Arial" w:cs="Arial" w:eastAsia="Arial" w:hAnsi="Arial"/>
                  <w:sz w:val="18"/>
                  <w:szCs w:val="18"/>
                  <w:b w:val="1"/>
                  <w:bCs w:val="1"/>
                  <w:color w:val="0000FF"/>
                </w:rPr>
                <w:t>PART I. FINANCIAL INFORMATION</w:t>
              </w:r>
            </w:hyperlink>
          </w:p>
        </w:tc>
        <w:tc>
          <w:tcPr>
            <w:tcW w:w="3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9"/>
          </w:tcPr>
          <w:p>
            <w:pPr>
              <w:spacing w:after="0"/>
              <w:rPr>
                <w:rFonts w:ascii="Arial" w:cs="Arial" w:eastAsia="Arial" w:hAnsi="Arial"/>
                <w:sz w:val="18"/>
                <w:szCs w:val="18"/>
                <w:color w:val="0000FF"/>
              </w:rPr>
            </w:pPr>
            <w:hyperlink w:anchor="page3">
              <w:r>
                <w:rPr>
                  <w:rFonts w:ascii="Arial" w:cs="Arial" w:eastAsia="Arial" w:hAnsi="Arial"/>
                  <w:sz w:val="18"/>
                  <w:szCs w:val="18"/>
                  <w:color w:val="0000FF"/>
                </w:rPr>
                <w:t>Financial Statements:</w:t>
              </w:r>
            </w:hyperlink>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6720" w:type="dxa"/>
            <w:vAlign w:val="bottom"/>
            <w:tcBorders>
              <w:bottom w:val="single" w:sz="8" w:color="0000FF"/>
            </w:tcBorders>
            <w:gridSpan w:val="16"/>
          </w:tcPr>
          <w:p>
            <w:pPr>
              <w:spacing w:after="0"/>
              <w:rPr>
                <w:rFonts w:ascii="Arial" w:cs="Arial" w:eastAsia="Arial" w:hAnsi="Arial"/>
                <w:sz w:val="18"/>
                <w:szCs w:val="18"/>
                <w:color w:val="0000FF"/>
                <w:w w:val="88"/>
              </w:rPr>
            </w:pPr>
            <w:hyperlink w:anchor="page3">
              <w:r>
                <w:rPr>
                  <w:rFonts w:ascii="Arial" w:cs="Arial" w:eastAsia="Arial" w:hAnsi="Arial"/>
                  <w:sz w:val="18"/>
                  <w:szCs w:val="18"/>
                  <w:color w:val="0000FF"/>
                  <w:w w:val="88"/>
                </w:rPr>
                <w:t xml:space="preserve">Unaudited Condensed Consolidated Balance Sheets as of </w:t>
              </w:r>
            </w:hyperlink>
            <w:r>
              <w:rPr>
                <w:rFonts w:ascii="Arial" w:cs="Arial" w:eastAsia="Arial" w:hAnsi="Arial"/>
                <w:sz w:val="18"/>
                <w:szCs w:val="18"/>
                <w:color w:val="0000FF"/>
                <w:w w:val="88"/>
              </w:rPr>
              <w:t xml:space="preserve">July 31, </w:t>
            </w:r>
            <w:hyperlink w:anchor="page3">
              <w:r>
                <w:rPr>
                  <w:rFonts w:ascii="Arial" w:cs="Arial" w:eastAsia="Arial" w:hAnsi="Arial"/>
                  <w:sz w:val="18"/>
                  <w:szCs w:val="18"/>
                  <w:color w:val="0000FF"/>
                  <w:w w:val="88"/>
                </w:rPr>
                <w:t>2021 and January 30, 2021</w:t>
              </w:r>
            </w:hyperlink>
          </w:p>
        </w:tc>
        <w:tc>
          <w:tcPr>
            <w:tcW w:w="2980" w:type="dxa"/>
            <w:vAlign w:val="bottom"/>
            <w:gridSpan w:val="5"/>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460" w:type="dxa"/>
            <w:vAlign w:val="bottom"/>
            <w:tcBorders>
              <w:bottom w:val="single" w:sz="8" w:color="0000FF"/>
            </w:tcBorders>
            <w:gridSpan w:val="19"/>
          </w:tcPr>
          <w:p>
            <w:pPr>
              <w:spacing w:after="0"/>
              <w:rPr>
                <w:rFonts w:ascii="Arial" w:cs="Arial" w:eastAsia="Arial" w:hAnsi="Arial"/>
                <w:sz w:val="18"/>
                <w:szCs w:val="18"/>
                <w:color w:val="0000FF"/>
                <w:w w:val="89"/>
              </w:rPr>
            </w:pPr>
            <w:hyperlink w:anchor="page3">
              <w:r>
                <w:rPr>
                  <w:rFonts w:ascii="Arial" w:cs="Arial" w:eastAsia="Arial" w:hAnsi="Arial"/>
                  <w:sz w:val="18"/>
                  <w:szCs w:val="18"/>
                  <w:color w:val="0000FF"/>
                  <w:w w:val="89"/>
                </w:rPr>
                <w:t>Unaudited Condensed Consolidated Statements of Operations for the three and six months ended July 31, 2021 and August 1, 2020</w:t>
              </w:r>
            </w:hyperlink>
          </w:p>
        </w:tc>
        <w:tc>
          <w:tcPr>
            <w:tcW w:w="240" w:type="dxa"/>
            <w:vAlign w:val="bottom"/>
            <w:gridSpan w:val="2"/>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3</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1"/>
          </w:tcPr>
          <w:p>
            <w:pPr>
              <w:spacing w:after="0"/>
              <w:rPr>
                <w:rFonts w:ascii="Arial" w:cs="Arial" w:eastAsia="Arial" w:hAnsi="Arial"/>
                <w:sz w:val="18"/>
                <w:szCs w:val="18"/>
                <w:color w:val="0000FF"/>
                <w:w w:val="92"/>
              </w:rPr>
            </w:pPr>
            <w:hyperlink w:anchor="page4">
              <w:r>
                <w:rPr>
                  <w:rFonts w:ascii="Arial" w:cs="Arial" w:eastAsia="Arial" w:hAnsi="Arial"/>
                  <w:sz w:val="18"/>
                  <w:szCs w:val="18"/>
                  <w:color w:val="0000FF"/>
                  <w:w w:val="92"/>
                </w:rPr>
                <w:t>Unaudited Condensed Consolidated Statements of Comprehensive Income (Loss) for the three and six months ended July 31, 2021</w:t>
              </w:r>
            </w:hyperlink>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rFonts w:ascii="Arial" w:cs="Arial" w:eastAsia="Arial" w:hAnsi="Arial"/>
                <w:sz w:val="18"/>
                <w:szCs w:val="18"/>
                <w:color w:val="0000FF"/>
                <w:w w:val="79"/>
              </w:rPr>
            </w:pPr>
            <w:hyperlink w:anchor="page4">
              <w:r>
                <w:rPr>
                  <w:rFonts w:ascii="Arial" w:cs="Arial" w:eastAsia="Arial" w:hAnsi="Arial"/>
                  <w:sz w:val="18"/>
                  <w:szCs w:val="18"/>
                  <w:color w:val="0000FF"/>
                  <w:w w:val="79"/>
                </w:rPr>
                <w:t>4</w:t>
              </w:r>
            </w:hyperlink>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140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88"/>
              </w:rPr>
            </w:pPr>
            <w:hyperlink w:anchor="page4">
              <w:r>
                <w:rPr>
                  <w:rFonts w:ascii="Arial" w:cs="Arial" w:eastAsia="Arial" w:hAnsi="Arial"/>
                  <w:sz w:val="18"/>
                  <w:szCs w:val="18"/>
                  <w:color w:val="0000FF"/>
                  <w:w w:val="88"/>
                </w:rPr>
                <w:t>and August 1, 2020</w:t>
              </w:r>
            </w:hyperlink>
          </w:p>
        </w:tc>
        <w:tc>
          <w:tcPr>
            <w:tcW w:w="8020" w:type="dxa"/>
            <w:vAlign w:val="bottom"/>
            <w:tcBorders>
              <w:top w:val="single" w:sz="8" w:color="0000FF"/>
            </w:tcBorders>
            <w:gridSpan w:val="12"/>
          </w:tcPr>
          <w:p>
            <w:pPr>
              <w:spacing w:after="0"/>
              <w:rPr>
                <w:sz w:val="13"/>
                <w:szCs w:val="13"/>
                <w:color w:val="auto"/>
              </w:rPr>
            </w:pPr>
          </w:p>
        </w:tc>
        <w:tc>
          <w:tcPr>
            <w:tcW w:w="18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460" w:type="dxa"/>
            <w:vAlign w:val="bottom"/>
            <w:gridSpan w:val="2"/>
            <w:vMerge w:val="continue"/>
          </w:tcPr>
          <w:p>
            <w:pPr>
              <w:spacing w:after="0"/>
              <w:rPr>
                <w:sz w:val="13"/>
                <w:szCs w:val="13"/>
                <w:color w:val="auto"/>
              </w:rPr>
            </w:pPr>
          </w:p>
        </w:tc>
        <w:tc>
          <w:tcPr>
            <w:tcW w:w="100" w:type="dxa"/>
            <w:vAlign w:val="bottom"/>
            <w:tcBorders>
              <w:bottom w:val="single" w:sz="8" w:color="0000FF"/>
            </w:tcBorders>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1"/>
          </w:tcPr>
          <w:p>
            <w:pPr>
              <w:spacing w:after="0"/>
              <w:rPr>
                <w:rFonts w:ascii="Arial" w:cs="Arial" w:eastAsia="Arial" w:hAnsi="Arial"/>
                <w:sz w:val="18"/>
                <w:szCs w:val="18"/>
                <w:color w:val="0000FF"/>
                <w:w w:val="90"/>
              </w:rPr>
            </w:pPr>
            <w:hyperlink w:anchor="page5">
              <w:r>
                <w:rPr>
                  <w:rFonts w:ascii="Arial" w:cs="Arial" w:eastAsia="Arial" w:hAnsi="Arial"/>
                  <w:sz w:val="18"/>
                  <w:szCs w:val="18"/>
                  <w:color w:val="0000FF"/>
                  <w:w w:val="90"/>
                </w:rPr>
                <w:t xml:space="preserve">Unaudited Condensed Consolidated Statements of Stockholders’ Equity for the three and six months ended </w:t>
              </w:r>
            </w:hyperlink>
            <w:r>
              <w:rPr>
                <w:rFonts w:ascii="Arial" w:cs="Arial" w:eastAsia="Arial" w:hAnsi="Arial"/>
                <w:sz w:val="18"/>
                <w:szCs w:val="18"/>
                <w:color w:val="0000FF"/>
                <w:w w:val="90"/>
              </w:rPr>
              <w:t xml:space="preserve">July 31, </w:t>
            </w:r>
            <w:hyperlink w:anchor="page5">
              <w:r>
                <w:rPr>
                  <w:rFonts w:ascii="Arial" w:cs="Arial" w:eastAsia="Arial" w:hAnsi="Arial"/>
                  <w:sz w:val="18"/>
                  <w:szCs w:val="18"/>
                  <w:color w:val="0000FF"/>
                  <w:w w:val="90"/>
                </w:rPr>
                <w:t>2021 and August</w:t>
              </w:r>
            </w:hyperlink>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rFonts w:ascii="Arial" w:cs="Arial" w:eastAsia="Arial" w:hAnsi="Arial"/>
                <w:sz w:val="18"/>
                <w:szCs w:val="18"/>
                <w:color w:val="0000FF"/>
                <w:w w:val="79"/>
              </w:rPr>
            </w:pPr>
            <w:hyperlink w:anchor="page5">
              <w:r>
                <w:rPr>
                  <w:rFonts w:ascii="Arial" w:cs="Arial" w:eastAsia="Arial" w:hAnsi="Arial"/>
                  <w:sz w:val="18"/>
                  <w:szCs w:val="18"/>
                  <w:color w:val="0000FF"/>
                  <w:w w:val="79"/>
                </w:rPr>
                <w:t>5</w:t>
              </w:r>
            </w:hyperlink>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54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6"/>
              </w:rPr>
            </w:pPr>
            <w:hyperlink w:anchor="page5">
              <w:r>
                <w:rPr>
                  <w:rFonts w:ascii="Arial" w:cs="Arial" w:eastAsia="Arial" w:hAnsi="Arial"/>
                  <w:sz w:val="18"/>
                  <w:szCs w:val="18"/>
                  <w:color w:val="0000FF"/>
                  <w:w w:val="86"/>
                </w:rPr>
                <w:t>1, 2020</w:t>
              </w:r>
            </w:hyperlink>
          </w:p>
        </w:tc>
        <w:tc>
          <w:tcPr>
            <w:tcW w:w="6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2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13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10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12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2080" w:type="dxa"/>
            <w:vAlign w:val="bottom"/>
            <w:tcBorders>
              <w:top w:val="single" w:sz="8" w:color="0000FF"/>
            </w:tcBorders>
          </w:tcPr>
          <w:p>
            <w:pPr>
              <w:spacing w:after="0"/>
              <w:rPr>
                <w:sz w:val="13"/>
                <w:szCs w:val="13"/>
                <w:color w:val="auto"/>
              </w:rPr>
            </w:pPr>
          </w:p>
        </w:tc>
        <w:tc>
          <w:tcPr>
            <w:tcW w:w="6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100" w:type="dxa"/>
            <w:vAlign w:val="bottom"/>
          </w:tcPr>
          <w:p>
            <w:pPr>
              <w:spacing w:after="0"/>
              <w:rPr>
                <w:sz w:val="13"/>
                <w:szCs w:val="13"/>
                <w:color w:val="auto"/>
              </w:rPr>
            </w:pPr>
          </w:p>
        </w:tc>
        <w:tc>
          <w:tcPr>
            <w:tcW w:w="460" w:type="dxa"/>
            <w:vAlign w:val="bottom"/>
            <w:gridSpan w:val="2"/>
            <w:vMerge w:val="continue"/>
          </w:tcPr>
          <w:p>
            <w:pPr>
              <w:spacing w:after="0"/>
              <w:rPr>
                <w:sz w:val="13"/>
                <w:szCs w:val="13"/>
                <w:color w:val="auto"/>
              </w:rPr>
            </w:pPr>
          </w:p>
        </w:tc>
        <w:tc>
          <w:tcPr>
            <w:tcW w:w="100" w:type="dxa"/>
            <w:vAlign w:val="bottom"/>
            <w:tcBorders>
              <w:bottom w:val="single" w:sz="8" w:color="0000FF"/>
            </w:tcBorders>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8800" w:type="dxa"/>
            <w:vAlign w:val="bottom"/>
            <w:tcBorders>
              <w:bottom w:val="single" w:sz="8" w:color="0000FF"/>
            </w:tcBorders>
            <w:gridSpan w:val="17"/>
          </w:tcPr>
          <w:p>
            <w:pPr>
              <w:spacing w:after="0"/>
              <w:rPr>
                <w:rFonts w:ascii="Arial" w:cs="Arial" w:eastAsia="Arial" w:hAnsi="Arial"/>
                <w:sz w:val="18"/>
                <w:szCs w:val="18"/>
                <w:color w:val="0000FF"/>
                <w:w w:val="89"/>
              </w:rPr>
            </w:pPr>
            <w:hyperlink w:anchor="page7">
              <w:r>
                <w:rPr>
                  <w:rFonts w:ascii="Arial" w:cs="Arial" w:eastAsia="Arial" w:hAnsi="Arial"/>
                  <w:sz w:val="18"/>
                  <w:szCs w:val="18"/>
                  <w:color w:val="0000FF"/>
                  <w:w w:val="89"/>
                </w:rPr>
                <w:t xml:space="preserve">Unaudited Condensed Consolidated Statements of Cash Flows for the six months ended </w:t>
              </w:r>
            </w:hyperlink>
            <w:r>
              <w:rPr>
                <w:rFonts w:ascii="Arial" w:cs="Arial" w:eastAsia="Arial" w:hAnsi="Arial"/>
                <w:sz w:val="18"/>
                <w:szCs w:val="18"/>
                <w:color w:val="0000FF"/>
                <w:w w:val="89"/>
              </w:rPr>
              <w:t xml:space="preserve">July 31, </w:t>
            </w:r>
            <w:hyperlink w:anchor="page7">
              <w:r>
                <w:rPr>
                  <w:rFonts w:ascii="Arial" w:cs="Arial" w:eastAsia="Arial" w:hAnsi="Arial"/>
                  <w:sz w:val="18"/>
                  <w:szCs w:val="18"/>
                  <w:color w:val="0000FF"/>
                  <w:w w:val="89"/>
                </w:rPr>
                <w:t xml:space="preserve">2021 and August </w:t>
              </w:r>
            </w:hyperlink>
            <w:r>
              <w:rPr>
                <w:rFonts w:ascii="Arial" w:cs="Arial" w:eastAsia="Arial" w:hAnsi="Arial"/>
                <w:sz w:val="18"/>
                <w:szCs w:val="18"/>
                <w:color w:val="0000FF"/>
                <w:w w:val="89"/>
              </w:rPr>
              <w:t xml:space="preserve">1, </w:t>
            </w:r>
            <w:hyperlink w:anchor="page7">
              <w:r>
                <w:rPr>
                  <w:rFonts w:ascii="Arial" w:cs="Arial" w:eastAsia="Arial" w:hAnsi="Arial"/>
                  <w:sz w:val="18"/>
                  <w:szCs w:val="18"/>
                  <w:color w:val="0000FF"/>
                  <w:w w:val="89"/>
                </w:rPr>
                <w:t>2020</w:t>
              </w:r>
            </w:hyperlink>
          </w:p>
        </w:tc>
        <w:tc>
          <w:tcPr>
            <w:tcW w:w="90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7">
              <w:r>
                <w:rPr>
                  <w:rFonts w:ascii="Arial" w:cs="Arial" w:eastAsia="Arial" w:hAnsi="Arial"/>
                  <w:sz w:val="18"/>
                  <w:szCs w:val="18"/>
                  <w:color w:val="0000FF"/>
                  <w:w w:val="79"/>
                </w:rPr>
                <w:t>7</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bottom w:val="single" w:sz="8" w:color="0000FF"/>
            </w:tcBorders>
            <w:gridSpan w:val="12"/>
          </w:tcPr>
          <w:p>
            <w:pPr>
              <w:spacing w:after="0"/>
              <w:rPr>
                <w:rFonts w:ascii="Arial" w:cs="Arial" w:eastAsia="Arial" w:hAnsi="Arial"/>
                <w:sz w:val="18"/>
                <w:szCs w:val="18"/>
                <w:color w:val="0000FF"/>
                <w:w w:val="89"/>
              </w:rPr>
            </w:pPr>
            <w:hyperlink w:anchor="page8">
              <w:r>
                <w:rPr>
                  <w:rFonts w:ascii="Arial" w:cs="Arial" w:eastAsia="Arial" w:hAnsi="Arial"/>
                  <w:sz w:val="18"/>
                  <w:szCs w:val="18"/>
                  <w:color w:val="0000FF"/>
                  <w:w w:val="89"/>
                </w:rPr>
                <w:t>Notes to Unaudited Condensed Consolidated Financial Statements</w:t>
              </w:r>
            </w:hyperlink>
          </w:p>
        </w:tc>
        <w:tc>
          <w:tcPr>
            <w:tcW w:w="4920" w:type="dxa"/>
            <w:vAlign w:val="bottom"/>
            <w:gridSpan w:val="9"/>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8">
              <w:r>
                <w:rPr>
                  <w:rFonts w:ascii="Arial" w:cs="Arial" w:eastAsia="Arial" w:hAnsi="Arial"/>
                  <w:sz w:val="18"/>
                  <w:szCs w:val="18"/>
                  <w:color w:val="0000FF"/>
                  <w:w w:val="79"/>
                </w:rPr>
                <w:t>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1"/>
          </w:tcPr>
          <w:p>
            <w:pPr>
              <w:spacing w:after="0"/>
              <w:rPr>
                <w:rFonts w:ascii="Arial" w:cs="Arial" w:eastAsia="Arial" w:hAnsi="Arial"/>
                <w:sz w:val="18"/>
                <w:szCs w:val="18"/>
                <w:color w:val="0000FF"/>
              </w:rPr>
            </w:pPr>
            <w:hyperlink w:anchor="page29">
              <w:r>
                <w:rPr>
                  <w:rFonts w:ascii="Arial" w:cs="Arial" w:eastAsia="Arial" w:hAnsi="Arial"/>
                  <w:sz w:val="18"/>
                  <w:szCs w:val="18"/>
                  <w:color w:val="0000FF"/>
                </w:rPr>
                <w:t>Management’s Discussion and Analysis of Financial Condition and Results of Operations</w:t>
              </w:r>
            </w:hyperlink>
          </w:p>
        </w:tc>
        <w:tc>
          <w:tcPr>
            <w:tcW w:w="560" w:type="dxa"/>
            <w:vAlign w:val="bottom"/>
            <w:gridSpan w:val="3"/>
          </w:tcPr>
          <w:p>
            <w:pPr>
              <w:jc w:val="right"/>
              <w:spacing w:after="0"/>
              <w:rPr>
                <w:rFonts w:ascii="Arial" w:cs="Arial" w:eastAsia="Arial" w:hAnsi="Arial"/>
                <w:sz w:val="18"/>
                <w:szCs w:val="18"/>
                <w:color w:val="0000FF"/>
              </w:rPr>
            </w:pPr>
            <w:hyperlink w:anchor="page29">
              <w:r>
                <w:rPr>
                  <w:rFonts w:ascii="Arial" w:cs="Arial" w:eastAsia="Arial" w:hAnsi="Arial"/>
                  <w:sz w:val="18"/>
                  <w:szCs w:val="18"/>
                  <w:color w:val="0000FF"/>
                </w:rPr>
                <w:t>29</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6440" w:type="dxa"/>
            <w:vAlign w:val="bottom"/>
            <w:gridSpan w:val="15"/>
          </w:tcPr>
          <w:p>
            <w:pPr>
              <w:spacing w:after="0"/>
              <w:rPr>
                <w:rFonts w:ascii="Arial" w:cs="Arial" w:eastAsia="Arial" w:hAnsi="Arial"/>
                <w:sz w:val="18"/>
                <w:szCs w:val="18"/>
                <w:color w:val="0000FF"/>
              </w:rPr>
            </w:pPr>
            <w:hyperlink w:anchor="page41">
              <w:r>
                <w:rPr>
                  <w:rFonts w:ascii="Arial" w:cs="Arial" w:eastAsia="Arial" w:hAnsi="Arial"/>
                  <w:sz w:val="18"/>
                  <w:szCs w:val="18"/>
                  <w:color w:val="0000FF"/>
                </w:rPr>
                <w:t>Quantitative and Qualitative Disclosures About Market Risk</w:t>
              </w:r>
            </w:hyperlink>
          </w:p>
        </w:tc>
        <w:tc>
          <w:tcPr>
            <w:tcW w:w="3260" w:type="dxa"/>
            <w:vAlign w:val="bottom"/>
            <w:gridSpan w:val="6"/>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1">
              <w:r>
                <w:rPr>
                  <w:rFonts w:ascii="Arial" w:cs="Arial" w:eastAsia="Arial" w:hAnsi="Arial"/>
                  <w:sz w:val="18"/>
                  <w:szCs w:val="18"/>
                  <w:color w:val="0000FF"/>
                </w:rPr>
                <w:t>40</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1"/>
          </w:tcPr>
          <w:p>
            <w:pPr>
              <w:spacing w:after="0"/>
              <w:rPr>
                <w:rFonts w:ascii="Arial" w:cs="Arial" w:eastAsia="Arial" w:hAnsi="Arial"/>
                <w:sz w:val="18"/>
                <w:szCs w:val="18"/>
                <w:color w:val="0000FF"/>
              </w:rPr>
            </w:pPr>
            <w:hyperlink w:anchor="page41">
              <w:r>
                <w:rPr>
                  <w:rFonts w:ascii="Arial" w:cs="Arial" w:eastAsia="Arial" w:hAnsi="Arial"/>
                  <w:sz w:val="18"/>
                  <w:szCs w:val="18"/>
                  <w:color w:val="0000FF"/>
                </w:rPr>
                <w:t>Controls and Procedures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1">
              <w:r>
                <w:rPr>
                  <w:rFonts w:ascii="Arial" w:cs="Arial" w:eastAsia="Arial" w:hAnsi="Arial"/>
                  <w:sz w:val="18"/>
                  <w:szCs w:val="18"/>
                  <w:color w:val="0000FF"/>
                </w:rPr>
                <w:t>41</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540" w:type="dxa"/>
            <w:vAlign w:val="bottom"/>
            <w:tcBorders>
              <w:top w:val="single" w:sz="8" w:color="0000FF"/>
            </w:tcBorders>
          </w:tcPr>
          <w:p>
            <w:pPr>
              <w:spacing w:after="0"/>
              <w:rPr>
                <w:sz w:val="18"/>
                <w:szCs w:val="18"/>
                <w:color w:val="auto"/>
              </w:rPr>
            </w:pPr>
          </w:p>
        </w:tc>
        <w:tc>
          <w:tcPr>
            <w:tcW w:w="6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420" w:type="dxa"/>
            <w:vAlign w:val="bottom"/>
            <w:tcBorders>
              <w:top w:val="single" w:sz="8" w:color="0000FF"/>
            </w:tcBorders>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1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rFonts w:ascii="Arial" w:cs="Arial" w:eastAsia="Arial" w:hAnsi="Arial"/>
                <w:sz w:val="18"/>
                <w:szCs w:val="18"/>
                <w:b w:val="1"/>
                <w:bCs w:val="1"/>
                <w:color w:val="0000FF"/>
              </w:rPr>
            </w:pPr>
            <w:hyperlink w:anchor="page42">
              <w:r>
                <w:rPr>
                  <w:rFonts w:ascii="Arial" w:cs="Arial" w:eastAsia="Arial" w:hAnsi="Arial"/>
                  <w:sz w:val="18"/>
                  <w:szCs w:val="18"/>
                  <w:b w:val="1"/>
                  <w:bCs w:val="1"/>
                  <w:color w:val="0000FF"/>
                </w:rPr>
                <w:t>PART II. OTHER INFORMATION</w:t>
              </w:r>
            </w:hyperlink>
          </w:p>
        </w:tc>
        <w:tc>
          <w:tcPr>
            <w:tcW w:w="3640" w:type="dxa"/>
            <w:vAlign w:val="bottom"/>
            <w:gridSpan w:val="8"/>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1"/>
          </w:tcPr>
          <w:p>
            <w:pPr>
              <w:spacing w:after="0"/>
              <w:rPr>
                <w:rFonts w:ascii="Arial" w:cs="Arial" w:eastAsia="Arial" w:hAnsi="Arial"/>
                <w:sz w:val="18"/>
                <w:szCs w:val="18"/>
                <w:color w:val="0000FF"/>
              </w:rPr>
            </w:pPr>
            <w:hyperlink w:anchor="page43">
              <w:r>
                <w:rPr>
                  <w:rFonts w:ascii="Arial" w:cs="Arial" w:eastAsia="Arial" w:hAnsi="Arial"/>
                  <w:sz w:val="18"/>
                  <w:szCs w:val="18"/>
                  <w:color w:val="0000FF"/>
                </w:rPr>
                <w:t>Legal Proceedings</w:t>
              </w:r>
            </w:hyperlink>
          </w:p>
        </w:tc>
        <w:tc>
          <w:tcPr>
            <w:tcW w:w="560" w:type="dxa"/>
            <w:vAlign w:val="bottom"/>
            <w:gridSpan w:val="3"/>
          </w:tcPr>
          <w:p>
            <w:pPr>
              <w:jc w:val="right"/>
              <w:spacing w:after="0"/>
              <w:rPr>
                <w:rFonts w:ascii="Arial" w:cs="Arial" w:eastAsia="Arial" w:hAnsi="Arial"/>
                <w:sz w:val="18"/>
                <w:szCs w:val="18"/>
                <w:color w:val="0000FF"/>
              </w:rPr>
            </w:pPr>
            <w:hyperlink w:anchor="page43">
              <w:r>
                <w:rPr>
                  <w:rFonts w:ascii="Arial" w:cs="Arial" w:eastAsia="Arial" w:hAnsi="Arial"/>
                  <w:sz w:val="18"/>
                  <w:szCs w:val="18"/>
                  <w:color w:val="0000FF"/>
                </w:rPr>
                <w:t>42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3020" w:type="dxa"/>
            <w:vAlign w:val="bottom"/>
            <w:gridSpan w:val="6"/>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FF"/>
                <w:w w:val="87"/>
              </w:rPr>
            </w:pPr>
            <w:hyperlink w:anchor="page43">
              <w:r>
                <w:rPr>
                  <w:rFonts w:ascii="Arial" w:cs="Arial" w:eastAsia="Arial" w:hAnsi="Arial"/>
                  <w:sz w:val="18"/>
                  <w:szCs w:val="18"/>
                  <w:color w:val="0000FF"/>
                  <w:w w:val="87"/>
                </w:rPr>
                <w:t>Risk Factors</w:t>
              </w:r>
            </w:hyperlink>
          </w:p>
        </w:tc>
        <w:tc>
          <w:tcPr>
            <w:tcW w:w="420" w:type="dxa"/>
            <w:vAlign w:val="bottom"/>
          </w:tcPr>
          <w:p>
            <w:pPr>
              <w:spacing w:after="0"/>
              <w:rPr>
                <w:sz w:val="18"/>
                <w:szCs w:val="18"/>
                <w:color w:val="auto"/>
              </w:rPr>
            </w:pPr>
          </w:p>
        </w:tc>
        <w:tc>
          <w:tcPr>
            <w:tcW w:w="8380" w:type="dxa"/>
            <w:vAlign w:val="bottom"/>
            <w:gridSpan w:val="16"/>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3">
              <w:r>
                <w:rPr>
                  <w:rFonts w:ascii="Arial" w:cs="Arial" w:eastAsia="Arial" w:hAnsi="Arial"/>
                  <w:sz w:val="18"/>
                  <w:szCs w:val="18"/>
                  <w:color w:val="0000FF"/>
                </w:rPr>
                <w:t>42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1"/>
          </w:tcPr>
          <w:p>
            <w:pPr>
              <w:spacing w:after="0"/>
              <w:rPr>
                <w:rFonts w:ascii="Arial" w:cs="Arial" w:eastAsia="Arial" w:hAnsi="Arial"/>
                <w:sz w:val="18"/>
                <w:szCs w:val="18"/>
                <w:color w:val="0000FF"/>
                <w:w w:val="89"/>
              </w:rPr>
            </w:pPr>
            <w:hyperlink w:anchor="page67">
              <w:r>
                <w:rPr>
                  <w:rFonts w:ascii="Arial" w:cs="Arial" w:eastAsia="Arial" w:hAnsi="Arial"/>
                  <w:sz w:val="18"/>
                  <w:szCs w:val="18"/>
                  <w:color w:val="0000FF"/>
                  <w:w w:val="89"/>
                </w:rPr>
                <w:t>Unregistered Sales of Equity Securities and Use of Proceeds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7">
              <w:r>
                <w:rPr>
                  <w:rFonts w:ascii="Arial" w:cs="Arial" w:eastAsia="Arial" w:hAnsi="Arial"/>
                  <w:sz w:val="18"/>
                  <w:szCs w:val="18"/>
                  <w:color w:val="0000FF"/>
                </w:rPr>
                <w:t>66</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FF"/>
                <w:w w:val="91"/>
              </w:rPr>
            </w:pPr>
            <w:hyperlink w:anchor="page67">
              <w:r>
                <w:rPr>
                  <w:rFonts w:ascii="Arial" w:cs="Arial" w:eastAsia="Arial" w:hAnsi="Arial"/>
                  <w:sz w:val="18"/>
                  <w:szCs w:val="18"/>
                  <w:color w:val="0000FF"/>
                  <w:w w:val="91"/>
                </w:rPr>
                <w:t>Exhibits</w:t>
              </w:r>
            </w:hyperlink>
          </w:p>
        </w:tc>
        <w:tc>
          <w:tcPr>
            <w:tcW w:w="3740" w:type="dxa"/>
            <w:vAlign w:val="bottom"/>
            <w:gridSpan w:val="9"/>
          </w:tcPr>
          <w:p>
            <w:pPr>
              <w:spacing w:after="0"/>
              <w:rPr>
                <w:sz w:val="18"/>
                <w:szCs w:val="18"/>
                <w:color w:val="auto"/>
              </w:rPr>
            </w:pP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7">
              <w:r>
                <w:rPr>
                  <w:rFonts w:ascii="Arial" w:cs="Arial" w:eastAsia="Arial" w:hAnsi="Arial"/>
                  <w:sz w:val="18"/>
                  <w:szCs w:val="18"/>
                  <w:color w:val="0000FF"/>
                </w:rPr>
                <w:t>67</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8"/>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rFonts w:ascii="Arial" w:cs="Arial" w:eastAsia="Arial" w:hAnsi="Arial"/>
                <w:sz w:val="18"/>
                <w:szCs w:val="18"/>
                <w:color w:val="0000FF"/>
                <w:w w:val="85"/>
              </w:rPr>
            </w:pPr>
            <w:hyperlink w:anchor="page70">
              <w:r>
                <w:rPr>
                  <w:rFonts w:ascii="Arial" w:cs="Arial" w:eastAsia="Arial" w:hAnsi="Arial"/>
                  <w:sz w:val="18"/>
                  <w:szCs w:val="18"/>
                  <w:color w:val="0000FF"/>
                  <w:w w:val="85"/>
                </w:rPr>
                <w:t>Signatures</w:t>
              </w:r>
            </w:hyperlink>
          </w:p>
        </w:tc>
        <w:tc>
          <w:tcPr>
            <w:tcW w:w="8940" w:type="dxa"/>
            <w:vAlign w:val="bottom"/>
            <w:gridSpan w:val="18"/>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70">
              <w:r>
                <w:rPr>
                  <w:rFonts w:ascii="Arial" w:cs="Arial" w:eastAsia="Arial" w:hAnsi="Arial"/>
                  <w:sz w:val="18"/>
                  <w:szCs w:val="18"/>
                  <w:color w:val="0000FF"/>
                </w:rPr>
                <w:t>70</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31,</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r>
      <w:tr>
        <w:trPr>
          <w:trHeight w:val="211"/>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559,617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785,611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459,532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9"/>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103,717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1,908,477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433,091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10,976,443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6,285,388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517,123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718,110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20,838,632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29"/>
        </w:trPr>
        <w:tc>
          <w:tcPr>
            <w:tcW w:w="3620" w:type="dxa"/>
            <w:vAlign w:val="bottom"/>
            <w:shd w:val="clear" w:color="auto" w:fill="CCEEFF"/>
          </w:tcPr>
          <w:p>
            <w:pPr>
              <w:spacing w:after="0"/>
              <w:rPr>
                <w:sz w:val="19"/>
                <w:szCs w:val="19"/>
                <w:color w:val="auto"/>
              </w:rPr>
            </w:pPr>
          </w:p>
        </w:tc>
        <w:tc>
          <w:tcPr>
            <w:tcW w:w="4940" w:type="dxa"/>
            <w:vAlign w:val="bottom"/>
            <w:gridSpan w:val="2"/>
            <w:shd w:val="clear" w:color="auto" w:fill="CCEEFF"/>
          </w:tcPr>
          <w:p>
            <w:pPr>
              <w:jc w:val="right"/>
              <w:ind w:right="890"/>
              <w:spacing w:after="0"/>
              <w:rPr>
                <w:sz w:val="20"/>
                <w:szCs w:val="20"/>
                <w:color w:val="auto"/>
              </w:rPr>
            </w:pPr>
            <w:r>
              <w:rPr>
                <w:rFonts w:ascii="Arial" w:cs="Arial" w:eastAsia="Arial" w:hAnsi="Arial"/>
                <w:sz w:val="18"/>
                <w:szCs w:val="18"/>
                <w:b w:val="1"/>
                <w:bCs w:val="1"/>
                <w:color w:val="auto"/>
              </w:rPr>
              <w:t>LIABILITIES AND STOCKHOLDERS’ EQUITY</w:t>
            </w: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370,502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519,214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153,327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41,390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1,084,433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4,662,844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350,158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6,097,435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20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13,090,669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1,648,882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14,741,197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20,838,632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80" w:type="dxa"/>
            <w:vAlign w:val="bottom"/>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6"/>
                <w:szCs w:val="16"/>
                <w:color w:val="auto"/>
              </w:rPr>
            </w:pPr>
          </w:p>
        </w:tc>
        <w:tc>
          <w:tcPr>
            <w:tcW w:w="2680" w:type="dxa"/>
            <w:vAlign w:val="bottom"/>
            <w:gridSpan w:val="4"/>
          </w:tcPr>
          <w:p>
            <w:pPr>
              <w:jc w:val="right"/>
              <w:ind w:right="832"/>
              <w:spacing w:after="0"/>
              <w:rPr>
                <w:sz w:val="20"/>
                <w:szCs w:val="20"/>
                <w:color w:val="auto"/>
              </w:rPr>
            </w:pPr>
            <w:r>
              <w:rPr>
                <w:rFonts w:ascii="Arial" w:cs="Arial" w:eastAsia="Arial" w:hAnsi="Arial"/>
                <w:sz w:val="14"/>
                <w:szCs w:val="14"/>
                <w:b w:val="1"/>
                <w:bCs w:val="1"/>
                <w:color w:val="auto"/>
              </w:rPr>
              <w:t>Six Months Ended</w:t>
            </w:r>
          </w:p>
        </w:tc>
      </w:tr>
      <w:tr>
        <w:trPr>
          <w:trHeight w:val="134"/>
        </w:trPr>
        <w:tc>
          <w:tcPr>
            <w:tcW w:w="520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60" w:type="dxa"/>
            <w:vAlign w:val="bottom"/>
            <w:tcBorders>
              <w:top w:val="single" w:sz="8" w:color="auto"/>
            </w:tcBorders>
            <w:gridSpan w:val="2"/>
          </w:tcPr>
          <w:p>
            <w:pPr>
              <w:ind w:left="180"/>
              <w:spacing w:after="0" w:line="135" w:lineRule="exact"/>
              <w:rPr>
                <w:sz w:val="20"/>
                <w:szCs w:val="20"/>
                <w:color w:val="auto"/>
              </w:rPr>
            </w:pPr>
            <w:r>
              <w:rPr>
                <w:rFonts w:ascii="Arial" w:cs="Arial" w:eastAsia="Arial" w:hAnsi="Arial"/>
                <w:sz w:val="14"/>
                <w:szCs w:val="14"/>
                <w:b w:val="1"/>
                <w:bCs w:val="1"/>
                <w:color w:val="auto"/>
              </w:rPr>
              <w:t>July 31,</w:t>
            </w:r>
          </w:p>
        </w:tc>
        <w:tc>
          <w:tcPr>
            <w:tcW w:w="26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tcPr>
          <w:p>
            <w:pPr>
              <w:jc w:val="right"/>
              <w:ind w:right="332"/>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tcPr>
          <w:p>
            <w:pPr>
              <w:jc w:val="right"/>
              <w:ind w:right="332"/>
              <w:spacing w:after="0" w:line="135" w:lineRule="exact"/>
              <w:rPr>
                <w:sz w:val="20"/>
                <w:szCs w:val="20"/>
                <w:color w:val="auto"/>
              </w:rPr>
            </w:pPr>
            <w:r>
              <w:rPr>
                <w:rFonts w:ascii="Arial" w:cs="Arial" w:eastAsia="Arial" w:hAnsi="Arial"/>
                <w:sz w:val="14"/>
                <w:szCs w:val="14"/>
                <w:b w:val="1"/>
                <w:bCs w:val="1"/>
                <w:color w:val="auto"/>
              </w:rPr>
              <w:t>August 1,</w:t>
            </w:r>
          </w:p>
        </w:tc>
      </w:tr>
      <w:tr>
        <w:trPr>
          <w:trHeight w:val="188"/>
        </w:trPr>
        <w:tc>
          <w:tcPr>
            <w:tcW w:w="52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1,420,938</w:t>
            </w:r>
          </w:p>
        </w:tc>
      </w:tr>
      <w:tr>
        <w:trPr>
          <w:trHeight w:val="229"/>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704,051</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368,041</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1,118,189</w:t>
            </w:r>
          </w:p>
        </w:tc>
        <w:tc>
          <w:tcPr>
            <w:tcW w:w="10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734,780</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371,830</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359,256</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789,971</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686,158</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367,043</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277,139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653,143</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556,723</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259,161</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112,794</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460,627</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234,821</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12,294</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120,590</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25,180</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141,877</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638,498</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510,523</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1,138,950</w:t>
            </w:r>
          </w:p>
        </w:tc>
        <w:tc>
          <w:tcPr>
            <w:tcW w:w="10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933,421</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(266,668)</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(151,267)</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(348,979)</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(247,263)</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577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372</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1,635</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(33,814)</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(15,635)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(68,955)</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(32,465)</w:t>
            </w:r>
          </w:p>
        </w:tc>
      </w:tr>
      <w:tr>
        <w:trPr>
          <w:trHeight w:val="230"/>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income (loss), net</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(1,654)</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(440)</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w:t>
            </w:r>
          </w:p>
        </w:tc>
        <w:tc>
          <w:tcPr>
            <w:tcW w:w="10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3,314</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and other income (loss), net</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(35,318)</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(15,498)</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(69,014)</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(27,516)</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(301,986)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(166,765)</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(417,993)</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(274,779)</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for income taxes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(25,558)</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(8,872)</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(53,323)</w:t>
            </w:r>
          </w:p>
        </w:tc>
        <w:tc>
          <w:tcPr>
            <w:tcW w:w="10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(3,853)</w:t>
            </w:r>
          </w:p>
        </w:tc>
      </w:tr>
      <w:tr>
        <w:trPr>
          <w:trHeight w:val="196"/>
        </w:trPr>
        <w:tc>
          <w:tcPr>
            <w:tcW w:w="5200" w:type="dxa"/>
            <w:vAlign w:val="bottom"/>
          </w:tcPr>
          <w:p>
            <w:pPr>
              <w:ind w:left="20"/>
              <w:spacing w:after="0" w:line="196" w:lineRule="exact"/>
              <w:rPr>
                <w:sz w:val="20"/>
                <w:szCs w:val="20"/>
                <w:color w:val="auto"/>
              </w:rPr>
            </w:pPr>
            <w:r>
              <w:rPr>
                <w:rFonts w:ascii="Arial" w:cs="Arial" w:eastAsia="Arial" w:hAnsi="Arial"/>
                <w:sz w:val="18"/>
                <w:szCs w:val="18"/>
                <w:color w:val="auto"/>
              </w:rPr>
              <w:t>Net loss</w:t>
            </w:r>
          </w:p>
        </w:tc>
        <w:tc>
          <w:tcPr>
            <w:tcW w:w="280" w:type="dxa"/>
            <w:vAlign w:val="bottom"/>
            <w:tcBorders>
              <w:bottom w:val="single" w:sz="8" w:color="auto"/>
            </w:tcBorders>
          </w:tcPr>
          <w:p>
            <w:pPr>
              <w:jc w:val="right"/>
              <w:ind w:right="90"/>
              <w:spacing w:after="0" w:line="196" w:lineRule="exact"/>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(276,428)</w:t>
            </w:r>
          </w:p>
        </w:tc>
        <w:tc>
          <w:tcPr>
            <w:tcW w:w="120" w:type="dxa"/>
            <w:vAlign w:val="bottom"/>
          </w:tcPr>
          <w:p>
            <w:pPr>
              <w:spacing w:after="0"/>
              <w:rPr>
                <w:sz w:val="17"/>
                <w:szCs w:val="17"/>
                <w:color w:val="auto"/>
              </w:rPr>
            </w:pPr>
          </w:p>
        </w:tc>
        <w:tc>
          <w:tcPr>
            <w:tcW w:w="260" w:type="dxa"/>
            <w:vAlign w:val="bottom"/>
            <w:tcBorders>
              <w:bottom w:val="single" w:sz="8" w:color="auto"/>
            </w:tcBorders>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(157,893)</w:t>
            </w:r>
          </w:p>
        </w:tc>
        <w:tc>
          <w:tcPr>
            <w:tcW w:w="100" w:type="dxa"/>
            <w:vAlign w:val="bottom"/>
          </w:tcPr>
          <w:p>
            <w:pPr>
              <w:spacing w:after="0"/>
              <w:rPr>
                <w:sz w:val="17"/>
                <w:szCs w:val="17"/>
                <w:color w:val="auto"/>
              </w:rPr>
            </w:pPr>
          </w:p>
        </w:tc>
        <w:tc>
          <w:tcPr>
            <w:tcW w:w="300" w:type="dxa"/>
            <w:vAlign w:val="bottom"/>
            <w:tcBorders>
              <w:bottom w:val="single" w:sz="8" w:color="auto"/>
            </w:tcBorders>
          </w:tcPr>
          <w:p>
            <w:pPr>
              <w:jc w:val="right"/>
              <w:ind w:right="90"/>
              <w:spacing w:after="0" w:line="196" w:lineRule="exact"/>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(364,670)</w:t>
            </w:r>
          </w:p>
        </w:tc>
        <w:tc>
          <w:tcPr>
            <w:tcW w:w="100" w:type="dxa"/>
            <w:vAlign w:val="bottom"/>
          </w:tcPr>
          <w:p>
            <w:pPr>
              <w:spacing w:after="0"/>
              <w:rPr>
                <w:sz w:val="17"/>
                <w:szCs w:val="17"/>
                <w:color w:val="auto"/>
              </w:rPr>
            </w:pPr>
          </w:p>
        </w:tc>
        <w:tc>
          <w:tcPr>
            <w:tcW w:w="280" w:type="dxa"/>
            <w:vAlign w:val="bottom"/>
            <w:tcBorders>
              <w:bottom w:val="single" w:sz="8" w:color="auto"/>
            </w:tcBorders>
          </w:tcPr>
          <w:p>
            <w:pPr>
              <w:jc w:val="right"/>
              <w:ind w:right="70"/>
              <w:spacing w:after="0" w:line="196" w:lineRule="exact"/>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(270,926)</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(0.34)</w:t>
            </w:r>
          </w:p>
        </w:tc>
        <w:tc>
          <w:tcPr>
            <w:tcW w:w="120" w:type="dxa"/>
            <w:vAlign w:val="bottom"/>
          </w:tcPr>
          <w:p>
            <w:pPr>
              <w:spacing w:after="0"/>
              <w:rPr>
                <w:sz w:val="19"/>
                <w:szCs w:val="19"/>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9"/>
                <w:szCs w:val="19"/>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(0.48)</w:t>
            </w:r>
          </w:p>
        </w:tc>
        <w:tc>
          <w:tcPr>
            <w:tcW w:w="100" w:type="dxa"/>
            <w:vAlign w:val="bottom"/>
          </w:tcPr>
          <w:p>
            <w:pPr>
              <w:spacing w:after="0"/>
              <w:rPr>
                <w:sz w:val="19"/>
                <w:szCs w:val="19"/>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(0.34)</w:t>
            </w:r>
          </w:p>
        </w:tc>
        <w:tc>
          <w:tcPr>
            <w:tcW w:w="120" w:type="dxa"/>
            <w:vAlign w:val="bottom"/>
          </w:tcPr>
          <w:p>
            <w:pPr>
              <w:spacing w:after="0"/>
              <w:rPr>
                <w:sz w:val="19"/>
                <w:szCs w:val="19"/>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9"/>
                <w:szCs w:val="19"/>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(0.48)</w:t>
            </w:r>
          </w:p>
        </w:tc>
        <w:tc>
          <w:tcPr>
            <w:tcW w:w="100" w:type="dxa"/>
            <w:vAlign w:val="bottom"/>
          </w:tcPr>
          <w:p>
            <w:pPr>
              <w:spacing w:after="0"/>
              <w:rPr>
                <w:sz w:val="19"/>
                <w:szCs w:val="19"/>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55"/>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821,062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667,574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757,205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665,541</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5200" w:type="dxa"/>
            <w:vAlign w:val="bottom"/>
          </w:tcPr>
          <w:p>
            <w:pPr>
              <w:ind w:left="360"/>
              <w:spacing w:after="0" w:line="203" w:lineRule="exact"/>
              <w:rPr>
                <w:sz w:val="20"/>
                <w:szCs w:val="20"/>
                <w:color w:val="auto"/>
              </w:rPr>
            </w:pPr>
            <w:r>
              <w:rPr>
                <w:rFonts w:ascii="Arial" w:cs="Arial" w:eastAsia="Arial" w:hAnsi="Arial"/>
                <w:sz w:val="18"/>
                <w:szCs w:val="18"/>
                <w:color w:val="auto"/>
              </w:rPr>
              <w:t>Diluted</w:t>
            </w:r>
          </w:p>
        </w:tc>
        <w:tc>
          <w:tcPr>
            <w:tcW w:w="28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821,062</w:t>
            </w:r>
          </w:p>
        </w:tc>
        <w:tc>
          <w:tcPr>
            <w:tcW w:w="12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667,574</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757,205</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665,541</w:t>
            </w:r>
          </w:p>
        </w:tc>
      </w:tr>
      <w:tr>
        <w:trPr>
          <w:trHeight w:val="20"/>
        </w:trPr>
        <w:tc>
          <w:tcPr>
            <w:tcW w:w="52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80" w:type="dxa"/>
            <w:vAlign w:val="bottom"/>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6"/>
                <w:szCs w:val="16"/>
                <w:color w:val="auto"/>
              </w:rPr>
            </w:pPr>
          </w:p>
        </w:tc>
        <w:tc>
          <w:tcPr>
            <w:tcW w:w="2680" w:type="dxa"/>
            <w:vAlign w:val="bottom"/>
            <w:gridSpan w:val="4"/>
          </w:tcPr>
          <w:p>
            <w:pPr>
              <w:jc w:val="right"/>
              <w:ind w:right="836"/>
              <w:spacing w:after="0"/>
              <w:rPr>
                <w:sz w:val="20"/>
                <w:szCs w:val="20"/>
                <w:color w:val="auto"/>
              </w:rPr>
            </w:pPr>
            <w:r>
              <w:rPr>
                <w:rFonts w:ascii="Arial" w:cs="Arial" w:eastAsia="Arial" w:hAnsi="Arial"/>
                <w:sz w:val="14"/>
                <w:szCs w:val="14"/>
                <w:b w:val="1"/>
                <w:bCs w:val="1"/>
                <w:color w:val="auto"/>
              </w:rPr>
              <w:t>Six Months Ended</w:t>
            </w:r>
          </w:p>
        </w:tc>
      </w:tr>
      <w:tr>
        <w:trPr>
          <w:trHeight w:val="135"/>
        </w:trPr>
        <w:tc>
          <w:tcPr>
            <w:tcW w:w="520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60" w:type="dxa"/>
            <w:vAlign w:val="bottom"/>
            <w:tcBorders>
              <w:top w:val="single" w:sz="8" w:color="auto"/>
            </w:tcBorders>
            <w:gridSpan w:val="2"/>
          </w:tcPr>
          <w:p>
            <w:pPr>
              <w:jc w:val="center"/>
              <w:ind w:right="420"/>
              <w:spacing w:after="0" w:line="135" w:lineRule="exact"/>
              <w:rPr>
                <w:sz w:val="20"/>
                <w:szCs w:val="20"/>
                <w:color w:val="auto"/>
              </w:rPr>
            </w:pPr>
            <w:r>
              <w:rPr>
                <w:rFonts w:ascii="Arial" w:cs="Arial" w:eastAsia="Arial" w:hAnsi="Arial"/>
                <w:sz w:val="14"/>
                <w:szCs w:val="14"/>
                <w:b w:val="1"/>
                <w:bCs w:val="1"/>
                <w:color w:val="auto"/>
                <w:w w:val="93"/>
              </w:rPr>
              <w:t>July 31,</w:t>
            </w:r>
          </w:p>
        </w:tc>
        <w:tc>
          <w:tcPr>
            <w:tcW w:w="26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tcPr>
          <w:p>
            <w:pPr>
              <w:jc w:val="right"/>
              <w:ind w:right="336"/>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3"/>
              </w:rPr>
              <w:t>July 31,</w:t>
            </w:r>
          </w:p>
        </w:tc>
        <w:tc>
          <w:tcPr>
            <w:tcW w:w="28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tcPr>
          <w:p>
            <w:pPr>
              <w:jc w:val="right"/>
              <w:ind w:right="336"/>
              <w:spacing w:after="0" w:line="135" w:lineRule="exact"/>
              <w:rPr>
                <w:sz w:val="20"/>
                <w:szCs w:val="20"/>
                <w:color w:val="auto"/>
              </w:rPr>
            </w:pPr>
            <w:r>
              <w:rPr>
                <w:rFonts w:ascii="Arial" w:cs="Arial" w:eastAsia="Arial" w:hAnsi="Arial"/>
                <w:sz w:val="14"/>
                <w:szCs w:val="14"/>
                <w:b w:val="1"/>
                <w:bCs w:val="1"/>
                <w:color w:val="auto"/>
              </w:rPr>
              <w:t>August 1,</w:t>
            </w:r>
          </w:p>
        </w:tc>
      </w:tr>
      <w:tr>
        <w:trPr>
          <w:trHeight w:val="188"/>
        </w:trPr>
        <w:tc>
          <w:tcPr>
            <w:tcW w:w="52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8"/>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(157,893)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(364,670)</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(270,926)</w:t>
            </w: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cash flow hedges</w:t>
            </w:r>
          </w:p>
        </w:tc>
        <w:tc>
          <w:tcPr>
            <w:tcW w:w="28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280" w:type="dxa"/>
            <w:vAlign w:val="bottom"/>
            <w:tcBorders>
              <w:top w:val="single" w:sz="8" w:color="auto"/>
              <w:bottom w:val="single" w:sz="8" w:color="auto"/>
            </w:tcBorders>
          </w:tcPr>
          <w:p>
            <w:pPr>
              <w:spacing w:after="0"/>
              <w:rPr>
                <w:sz w:val="19"/>
                <w:szCs w:val="19"/>
                <w:color w:val="auto"/>
              </w:rPr>
            </w:pPr>
          </w:p>
        </w:tc>
        <w:tc>
          <w:tcPr>
            <w:tcW w:w="1140" w:type="dxa"/>
            <w:vAlign w:val="bottom"/>
            <w:tcBorders>
              <w:top w:val="single" w:sz="8" w:color="auto"/>
              <w:bottom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tcPr>
          <w:p>
            <w:pPr>
              <w:spacing w:after="0"/>
              <w:rPr>
                <w:sz w:val="19"/>
                <w:szCs w:val="19"/>
                <w:color w:val="auto"/>
              </w:rPr>
            </w:pPr>
          </w:p>
        </w:tc>
        <w:tc>
          <w:tcPr>
            <w:tcW w:w="260" w:type="dxa"/>
            <w:vAlign w:val="bottom"/>
            <w:tcBorders>
              <w:top w:val="single" w:sz="8" w:color="auto"/>
              <w:bottom w:val="single" w:sz="8" w:color="auto"/>
            </w:tcBorders>
          </w:tcPr>
          <w:p>
            <w:pPr>
              <w:spacing w:after="0"/>
              <w:rPr>
                <w:sz w:val="19"/>
                <w:szCs w:val="19"/>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(418)</w:t>
            </w:r>
          </w:p>
        </w:tc>
        <w:tc>
          <w:tcPr>
            <w:tcW w:w="100" w:type="dxa"/>
            <w:vAlign w:val="bottom"/>
            <w:tcBorders>
              <w:bottom w:val="single" w:sz="8" w:color="CCEEFF"/>
            </w:tcBorders>
          </w:tcPr>
          <w:p>
            <w:pPr>
              <w:spacing w:after="0"/>
              <w:rPr>
                <w:sz w:val="19"/>
                <w:szCs w:val="19"/>
                <w:color w:val="auto"/>
              </w:rPr>
            </w:pPr>
          </w:p>
        </w:tc>
        <w:tc>
          <w:tcPr>
            <w:tcW w:w="300" w:type="dxa"/>
            <w:vAlign w:val="bottom"/>
            <w:tcBorders>
              <w:top w:val="single" w:sz="8" w:color="auto"/>
              <w:bottom w:val="single" w:sz="8" w:color="auto"/>
            </w:tcBorders>
          </w:tcPr>
          <w:p>
            <w:pPr>
              <w:spacing w:after="0"/>
              <w:rPr>
                <w:sz w:val="19"/>
                <w:szCs w:val="19"/>
                <w:color w:val="auto"/>
              </w:rPr>
            </w:pPr>
          </w:p>
        </w:tc>
        <w:tc>
          <w:tcPr>
            <w:tcW w:w="1140" w:type="dxa"/>
            <w:vAlign w:val="bottom"/>
            <w:tcBorders>
              <w:top w:val="single" w:sz="8" w:color="auto"/>
              <w:bottom w:val="single" w:sz="8" w:color="auto"/>
            </w:tcBorders>
          </w:tcPr>
          <w:p>
            <w:pPr>
              <w:ind w:left="88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280" w:type="dxa"/>
            <w:vAlign w:val="bottom"/>
            <w:tcBorders>
              <w:top w:val="single" w:sz="8" w:color="auto"/>
              <w:bottom w:val="single" w:sz="8" w:color="auto"/>
            </w:tcBorders>
          </w:tcPr>
          <w:p>
            <w:pPr>
              <w:spacing w:after="0"/>
              <w:rPr>
                <w:sz w:val="19"/>
                <w:szCs w:val="19"/>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(158,311)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(364,670)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(270,476)</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40" w:type="dxa"/>
            <w:vAlign w:val="bottom"/>
          </w:tcPr>
          <w:p>
            <w:pPr>
              <w:spacing w:after="0"/>
              <w:rPr>
                <w:sz w:val="16"/>
                <w:szCs w:val="16"/>
                <w:color w:val="auto"/>
              </w:rPr>
            </w:pPr>
          </w:p>
        </w:tc>
        <w:tc>
          <w:tcPr>
            <w:tcW w:w="2340" w:type="dxa"/>
            <w:vAlign w:val="bottom"/>
            <w:tcBorders>
              <w:bottom w:val="single" w:sz="8" w:color="auto"/>
            </w:tcBorders>
            <w:gridSpan w:val="4"/>
          </w:tcPr>
          <w:p>
            <w:pPr>
              <w:jc w:val="right"/>
              <w:ind w:right="611"/>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0"/>
        </w:trPr>
        <w:tc>
          <w:tcPr>
            <w:tcW w:w="4340" w:type="dxa"/>
            <w:vAlign w:val="bottom"/>
          </w:tcPr>
          <w:p>
            <w:pPr>
              <w:spacing w:after="0"/>
              <w:rPr>
                <w:sz w:val="23"/>
                <w:szCs w:val="23"/>
                <w:color w:val="auto"/>
              </w:rPr>
            </w:pPr>
          </w:p>
        </w:tc>
        <w:tc>
          <w:tcPr>
            <w:tcW w:w="110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2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Amount</w:t>
            </w:r>
          </w:p>
        </w:tc>
        <w:tc>
          <w:tcPr>
            <w:tcW w:w="120" w:type="dxa"/>
            <w:vAlign w:val="bottom"/>
          </w:tcPr>
          <w:p>
            <w:pPr>
              <w:spacing w:after="0"/>
              <w:rPr>
                <w:sz w:val="23"/>
                <w:szCs w:val="23"/>
                <w:color w:val="auto"/>
              </w:rPr>
            </w:pPr>
          </w:p>
        </w:tc>
        <w:tc>
          <w:tcPr>
            <w:tcW w:w="14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Additional Paid-in</w:t>
            </w:r>
          </w:p>
        </w:tc>
        <w:tc>
          <w:tcPr>
            <w:tcW w:w="120" w:type="dxa"/>
            <w:vAlign w:val="bottom"/>
          </w:tcPr>
          <w:p>
            <w:pPr>
              <w:spacing w:after="0"/>
              <w:rPr>
                <w:sz w:val="23"/>
                <w:szCs w:val="23"/>
                <w:color w:val="auto"/>
              </w:rPr>
            </w:pPr>
          </w:p>
        </w:tc>
        <w:tc>
          <w:tcPr>
            <w:tcW w:w="14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Retained Earnings</w:t>
            </w:r>
          </w:p>
        </w:tc>
        <w:tc>
          <w:tcPr>
            <w:tcW w:w="320" w:type="dxa"/>
            <w:vAlign w:val="bottom"/>
          </w:tcPr>
          <w:p>
            <w:pPr>
              <w:spacing w:after="0"/>
              <w:rPr>
                <w:sz w:val="23"/>
                <w:szCs w:val="23"/>
                <w:color w:val="auto"/>
              </w:rPr>
            </w:pPr>
          </w:p>
        </w:tc>
        <w:tc>
          <w:tcPr>
            <w:tcW w:w="1080" w:type="dxa"/>
            <w:vAlign w:val="bottom"/>
            <w:vMerge w:val="restart"/>
          </w:tcPr>
          <w:p>
            <w:pPr>
              <w:jc w:val="right"/>
              <w:ind w:right="45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4340" w:type="dxa"/>
            <w:vAlign w:val="bottom"/>
          </w:tcPr>
          <w:p>
            <w:pPr>
              <w:spacing w:after="0"/>
              <w:rPr>
                <w:sz w:val="16"/>
                <w:szCs w:val="16"/>
                <w:color w:val="auto"/>
              </w:rPr>
            </w:pPr>
          </w:p>
        </w:tc>
        <w:tc>
          <w:tcPr>
            <w:tcW w:w="1100" w:type="dxa"/>
            <w:vAlign w:val="bottom"/>
            <w:vMerge w:val="continue"/>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120" w:type="dxa"/>
            <w:vAlign w:val="bottom"/>
          </w:tcPr>
          <w:p>
            <w:pPr>
              <w:spacing w:after="0"/>
              <w:rPr>
                <w:sz w:val="16"/>
                <w:szCs w:val="16"/>
                <w:color w:val="auto"/>
              </w:rPr>
            </w:pPr>
          </w:p>
        </w:tc>
        <w:tc>
          <w:tcPr>
            <w:tcW w:w="14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8"/>
              </w:rPr>
              <w:t>Capital</w:t>
            </w:r>
          </w:p>
        </w:tc>
        <w:tc>
          <w:tcPr>
            <w:tcW w:w="120" w:type="dxa"/>
            <w:vAlign w:val="bottom"/>
          </w:tcPr>
          <w:p>
            <w:pPr>
              <w:spacing w:after="0"/>
              <w:rPr>
                <w:sz w:val="16"/>
                <w:szCs w:val="16"/>
                <w:color w:val="auto"/>
              </w:rPr>
            </w:pPr>
          </w:p>
        </w:tc>
        <w:tc>
          <w:tcPr>
            <w:tcW w:w="1400" w:type="dxa"/>
            <w:vAlign w:val="bottom"/>
            <w:gridSpan w:val="2"/>
            <w:vMerge w:val="continue"/>
          </w:tcPr>
          <w:p>
            <w:pPr>
              <w:spacing w:after="0"/>
              <w:rPr>
                <w:sz w:val="16"/>
                <w:szCs w:val="16"/>
                <w:color w:val="auto"/>
              </w:rPr>
            </w:pPr>
          </w:p>
        </w:tc>
        <w:tc>
          <w:tcPr>
            <w:tcW w:w="320" w:type="dxa"/>
            <w:vAlign w:val="bottom"/>
          </w:tcPr>
          <w:p>
            <w:pPr>
              <w:spacing w:after="0"/>
              <w:rPr>
                <w:sz w:val="16"/>
                <w:szCs w:val="16"/>
                <w:color w:val="auto"/>
              </w:rPr>
            </w:pPr>
          </w:p>
        </w:tc>
        <w:tc>
          <w:tcPr>
            <w:tcW w:w="10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3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675,402</w:t>
            </w:r>
          </w:p>
        </w:tc>
        <w:tc>
          <w:tcPr>
            <w:tcW w:w="14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1,350</w:t>
            </w:r>
          </w:p>
        </w:tc>
        <w:tc>
          <w:tcPr>
            <w:tcW w:w="1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6,331,013</w:t>
            </w:r>
          </w:p>
        </w:tc>
        <w:tc>
          <w:tcPr>
            <w:tcW w:w="14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c>
          <w:tcPr>
            <w:tcW w:w="120" w:type="dxa"/>
            <w:vAlign w:val="bottom"/>
            <w:tcBorders>
              <w:top w:val="single" w:sz="8" w:color="CCEEFF"/>
            </w:tcBorders>
            <w:shd w:val="clear" w:color="auto" w:fill="CCEEFF"/>
          </w:tcPr>
          <w:p>
            <w:pPr>
              <w:spacing w:after="0"/>
              <w:rPr>
                <w:sz w:val="19"/>
                <w:szCs w:val="19"/>
                <w:color w:val="auto"/>
              </w:rPr>
            </w:pPr>
          </w:p>
        </w:tc>
        <w:tc>
          <w:tcPr>
            <w:tcW w:w="320" w:type="dxa"/>
            <w:vAlign w:val="bottom"/>
            <w:tcBorders>
              <w:top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8,435,804</w:t>
            </w:r>
          </w:p>
        </w:tc>
        <w:tc>
          <w:tcPr>
            <w:tcW w:w="0" w:type="dxa"/>
            <w:vAlign w:val="bottom"/>
          </w:tcPr>
          <w:p>
            <w:pPr>
              <w:spacing w:after="0"/>
              <w:rPr>
                <w:sz w:val="1"/>
                <w:szCs w:val="1"/>
                <w:color w:val="auto"/>
              </w:rPr>
            </w:pPr>
          </w:p>
        </w:tc>
      </w:tr>
      <w:tr>
        <w:trPr>
          <w:trHeight w:val="176"/>
        </w:trPr>
        <w:tc>
          <w:tcPr>
            <w:tcW w:w="4340" w:type="dxa"/>
            <w:vAlign w:val="bottom"/>
          </w:tcPr>
          <w:p>
            <w:pPr>
              <w:ind w:left="20"/>
              <w:spacing w:after="0" w:line="176" w:lineRule="exact"/>
              <w:rPr>
                <w:sz w:val="20"/>
                <w:szCs w:val="20"/>
                <w:color w:val="auto"/>
              </w:rPr>
            </w:pPr>
            <w:r>
              <w:rPr>
                <w:rFonts w:ascii="Arial" w:cs="Arial" w:eastAsia="Arial" w:hAnsi="Arial"/>
                <w:sz w:val="18"/>
                <w:szCs w:val="18"/>
                <w:color w:val="auto"/>
              </w:rPr>
              <w:t>Issuance of common stock in connection with equity</w:t>
            </w: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2,179</w:t>
            </w:r>
          </w:p>
        </w:tc>
        <w:tc>
          <w:tcPr>
            <w:tcW w:w="1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0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60" w:type="dxa"/>
            <w:vAlign w:val="bottom"/>
            <w:vMerge w:val="restart"/>
          </w:tcPr>
          <w:p>
            <w:pPr>
              <w:jc w:val="right"/>
              <w:spacing w:after="0"/>
              <w:rPr>
                <w:sz w:val="20"/>
                <w:szCs w:val="20"/>
                <w:color w:val="auto"/>
              </w:rPr>
            </w:pPr>
            <w:r>
              <w:rPr>
                <w:rFonts w:ascii="Arial" w:cs="Arial" w:eastAsia="Arial" w:hAnsi="Arial"/>
                <w:sz w:val="18"/>
                <w:szCs w:val="18"/>
                <w:color w:val="auto"/>
              </w:rPr>
              <w:t>505</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29"/>
        </w:trPr>
        <w:tc>
          <w:tcPr>
            <w:tcW w:w="4340" w:type="dxa"/>
            <w:vAlign w:val="bottom"/>
          </w:tcPr>
          <w:p>
            <w:pPr>
              <w:ind w:left="20"/>
              <w:spacing w:after="0"/>
              <w:rPr>
                <w:sz w:val="20"/>
                <w:szCs w:val="20"/>
                <w:color w:val="auto"/>
              </w:rPr>
            </w:pPr>
            <w:r>
              <w:rPr>
                <w:rFonts w:ascii="Arial" w:cs="Arial" w:eastAsia="Arial" w:hAnsi="Arial"/>
                <w:sz w:val="18"/>
                <w:szCs w:val="18"/>
                <w:color w:val="auto"/>
              </w:rPr>
              <w:t>incentive plans</w:t>
            </w:r>
          </w:p>
        </w:tc>
        <w:tc>
          <w:tcPr>
            <w:tcW w:w="11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vMerge w:val="continue"/>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434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rPr>
              <w:t>Tax withholdings related to net share settlement of</w:t>
            </w: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0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5"/>
                <w:szCs w:val="15"/>
                <w:color w:val="auto"/>
              </w:rPr>
            </w:pPr>
          </w:p>
        </w:tc>
        <w:tc>
          <w:tcPr>
            <w:tcW w:w="12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40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5"/>
                <w:szCs w:val="15"/>
                <w:color w:val="auto"/>
              </w:rPr>
            </w:pP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0" w:type="dxa"/>
            <w:vAlign w:val="bottom"/>
          </w:tcPr>
          <w:p>
            <w:pPr>
              <w:spacing w:after="0"/>
              <w:rPr>
                <w:sz w:val="1"/>
                <w:szCs w:val="1"/>
                <w:color w:val="auto"/>
              </w:rPr>
            </w:pPr>
          </w:p>
        </w:tc>
      </w:tr>
      <w:tr>
        <w:trPr>
          <w:trHeight w:val="229"/>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restricted stock units</w:t>
            </w:r>
          </w:p>
        </w:tc>
        <w:tc>
          <w:tcPr>
            <w:tcW w:w="11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6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vMerge w:val="continue"/>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34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92,705</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92,705</w:t>
            </w:r>
          </w:p>
        </w:tc>
        <w:tc>
          <w:tcPr>
            <w:tcW w:w="0" w:type="dxa"/>
            <w:vAlign w:val="bottom"/>
          </w:tcPr>
          <w:p>
            <w:pPr>
              <w:spacing w:after="0"/>
              <w:rPr>
                <w:sz w:val="1"/>
                <w:szCs w:val="1"/>
                <w:color w:val="auto"/>
              </w:rPr>
            </w:pPr>
          </w:p>
        </w:tc>
      </w:tr>
      <w:tr>
        <w:trPr>
          <w:trHeight w:val="229"/>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 to Inphi common stockholders</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128,030</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5,871,869</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5,872,125</w:t>
            </w:r>
          </w:p>
        </w:tc>
        <w:tc>
          <w:tcPr>
            <w:tcW w:w="0" w:type="dxa"/>
            <w:vAlign w:val="bottom"/>
          </w:tcPr>
          <w:p>
            <w:pPr>
              <w:spacing w:after="0"/>
              <w:rPr>
                <w:sz w:val="1"/>
                <w:szCs w:val="1"/>
                <w:color w:val="auto"/>
              </w:rPr>
            </w:pPr>
          </w:p>
        </w:tc>
      </w:tr>
      <w:tr>
        <w:trPr>
          <w:trHeight w:val="229"/>
        </w:trPr>
        <w:tc>
          <w:tcPr>
            <w:tcW w:w="4340" w:type="dxa"/>
            <w:vAlign w:val="bottom"/>
          </w:tcPr>
          <w:p>
            <w:pPr>
              <w:ind w:left="20"/>
              <w:spacing w:after="0"/>
              <w:rPr>
                <w:sz w:val="20"/>
                <w:szCs w:val="20"/>
                <w:color w:val="auto"/>
              </w:rPr>
            </w:pPr>
            <w:r>
              <w:rPr>
                <w:rFonts w:ascii="Arial" w:cs="Arial" w:eastAsia="Arial" w:hAnsi="Arial"/>
                <w:sz w:val="18"/>
                <w:szCs w:val="18"/>
                <w:color w:val="auto"/>
              </w:rPr>
              <w:t>Stock consideration for Inphi accelerated awards</w:t>
            </w:r>
          </w:p>
        </w:tc>
        <w:tc>
          <w:tcPr>
            <w:tcW w:w="1100" w:type="dxa"/>
            <w:vAlign w:val="bottom"/>
          </w:tcPr>
          <w:p>
            <w:pPr>
              <w:jc w:val="right"/>
              <w:spacing w:after="0"/>
              <w:rPr>
                <w:sz w:val="20"/>
                <w:szCs w:val="20"/>
                <w:color w:val="auto"/>
              </w:rPr>
            </w:pPr>
            <w:r>
              <w:rPr>
                <w:rFonts w:ascii="Arial" w:cs="Arial" w:eastAsia="Arial" w:hAnsi="Arial"/>
                <w:sz w:val="18"/>
                <w:szCs w:val="18"/>
                <w:color w:val="auto"/>
              </w:rPr>
              <w:t>1,192</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39,058</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39,061</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Equity related issuance cost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(8,177)</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(8,177)</w:t>
            </w:r>
          </w:p>
        </w:tc>
        <w:tc>
          <w:tcPr>
            <w:tcW w:w="0" w:type="dxa"/>
            <w:vAlign w:val="bottom"/>
          </w:tcPr>
          <w:p>
            <w:pPr>
              <w:spacing w:after="0"/>
              <w:rPr>
                <w:sz w:val="1"/>
                <w:szCs w:val="1"/>
                <w:color w:val="auto"/>
              </w:rPr>
            </w:pPr>
          </w:p>
        </w:tc>
      </w:tr>
      <w:tr>
        <w:trPr>
          <w:trHeight w:val="175"/>
        </w:trPr>
        <w:tc>
          <w:tcPr>
            <w:tcW w:w="4340" w:type="dxa"/>
            <w:vAlign w:val="bottom"/>
          </w:tcPr>
          <w:p>
            <w:pPr>
              <w:ind w:left="20"/>
              <w:spacing w:after="0" w:line="176" w:lineRule="exact"/>
              <w:rPr>
                <w:sz w:val="20"/>
                <w:szCs w:val="20"/>
                <w:color w:val="auto"/>
              </w:rPr>
            </w:pPr>
            <w:r>
              <w:rPr>
                <w:rFonts w:ascii="Arial" w:cs="Arial" w:eastAsia="Arial" w:hAnsi="Arial"/>
                <w:sz w:val="18"/>
                <w:szCs w:val="18"/>
                <w:color w:val="auto"/>
                <w:w w:val="93"/>
              </w:rPr>
              <w:t>Replacement equity awards attributable to pre-acquisition</w:t>
            </w: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260" w:type="dxa"/>
            <w:vAlign w:val="bottom"/>
            <w:vMerge w:val="restart"/>
          </w:tcPr>
          <w:p>
            <w:pPr>
              <w:jc w:val="right"/>
              <w:spacing w:after="0"/>
              <w:rPr>
                <w:sz w:val="20"/>
                <w:szCs w:val="20"/>
                <w:color w:val="auto"/>
              </w:rPr>
            </w:pPr>
            <w:r>
              <w:rPr>
                <w:rFonts w:ascii="Arial" w:cs="Arial" w:eastAsia="Arial" w:hAnsi="Arial"/>
                <w:sz w:val="18"/>
                <w:szCs w:val="18"/>
                <w:color w:val="auto"/>
              </w:rPr>
              <w:t>82,346</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82,346</w:t>
            </w:r>
          </w:p>
        </w:tc>
        <w:tc>
          <w:tcPr>
            <w:tcW w:w="0" w:type="dxa"/>
            <w:vAlign w:val="bottom"/>
          </w:tcPr>
          <w:p>
            <w:pPr>
              <w:spacing w:after="0"/>
              <w:rPr>
                <w:sz w:val="1"/>
                <w:szCs w:val="1"/>
                <w:color w:val="auto"/>
              </w:rPr>
            </w:pPr>
          </w:p>
        </w:tc>
      </w:tr>
      <w:tr>
        <w:trPr>
          <w:trHeight w:val="230"/>
        </w:trPr>
        <w:tc>
          <w:tcPr>
            <w:tcW w:w="4340" w:type="dxa"/>
            <w:vAlign w:val="bottom"/>
          </w:tcPr>
          <w:p>
            <w:pPr>
              <w:ind w:left="20"/>
              <w:spacing w:after="0"/>
              <w:rPr>
                <w:sz w:val="20"/>
                <w:szCs w:val="20"/>
                <w:color w:val="auto"/>
              </w:rPr>
            </w:pPr>
            <w:r>
              <w:rPr>
                <w:rFonts w:ascii="Arial" w:cs="Arial" w:eastAsia="Arial" w:hAnsi="Arial"/>
                <w:sz w:val="18"/>
                <w:szCs w:val="18"/>
                <w:color w:val="auto"/>
              </w:rPr>
              <w:t>service</w:t>
            </w:r>
          </w:p>
        </w:tc>
        <w:tc>
          <w:tcPr>
            <w:tcW w:w="11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vMerge w:val="continue"/>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244,155</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244,155</w:t>
            </w:r>
          </w:p>
        </w:tc>
        <w:tc>
          <w:tcPr>
            <w:tcW w:w="0" w:type="dxa"/>
            <w:vAlign w:val="bottom"/>
          </w:tcPr>
          <w:p>
            <w:pPr>
              <w:spacing w:after="0"/>
              <w:rPr>
                <w:sz w:val="1"/>
                <w:szCs w:val="1"/>
                <w:color w:val="auto"/>
              </w:rPr>
            </w:pPr>
          </w:p>
        </w:tc>
      </w:tr>
      <w:tr>
        <w:trPr>
          <w:trHeight w:val="229"/>
        </w:trPr>
        <w:tc>
          <w:tcPr>
            <w:tcW w:w="4340" w:type="dxa"/>
            <w:vAlign w:val="bottom"/>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1100" w:type="dxa"/>
            <w:vAlign w:val="bottom"/>
          </w:tcPr>
          <w:p>
            <w:pPr>
              <w:jc w:val="right"/>
              <w:spacing w:after="0"/>
              <w:rPr>
                <w:sz w:val="20"/>
                <w:szCs w:val="20"/>
                <w:color w:val="auto"/>
              </w:rPr>
            </w:pPr>
            <w:r>
              <w:rPr>
                <w:rFonts w:ascii="Arial" w:cs="Arial" w:eastAsia="Arial" w:hAnsi="Arial"/>
                <w:sz w:val="18"/>
                <w:szCs w:val="18"/>
                <w:color w:val="auto"/>
              </w:rPr>
              <w:t>7,115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234,333</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234,347</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59,704</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59,709</w:t>
            </w:r>
          </w:p>
        </w:tc>
        <w:tc>
          <w:tcPr>
            <w:tcW w:w="0" w:type="dxa"/>
            <w:vAlign w:val="bottom"/>
          </w:tcPr>
          <w:p>
            <w:pPr>
              <w:spacing w:after="0"/>
              <w:rPr>
                <w:sz w:val="1"/>
                <w:szCs w:val="1"/>
                <w:color w:val="auto"/>
              </w:rPr>
            </w:pPr>
          </w:p>
        </w:tc>
      </w:tr>
      <w:tr>
        <w:trPr>
          <w:trHeight w:val="229"/>
        </w:trPr>
        <w:tc>
          <w:tcPr>
            <w:tcW w:w="43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(40,557)</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(40,557)</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0" w:type="dxa"/>
            <w:vAlign w:val="bottom"/>
          </w:tcPr>
          <w:p>
            <w:pPr>
              <w:spacing w:after="0"/>
              <w:rPr>
                <w:sz w:val="1"/>
                <w:szCs w:val="1"/>
                <w:color w:val="auto"/>
              </w:rPr>
            </w:pPr>
          </w:p>
        </w:tc>
      </w:tr>
      <w:tr>
        <w:trPr>
          <w:trHeight w:val="223"/>
        </w:trPr>
        <w:tc>
          <w:tcPr>
            <w:tcW w:w="4340" w:type="dxa"/>
            <w:vAlign w:val="bottom"/>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816,420</w:t>
            </w:r>
          </w:p>
        </w:tc>
        <w:tc>
          <w:tcPr>
            <w:tcW w:w="140" w:type="dxa"/>
            <w:vAlign w:val="bottom"/>
          </w:tcPr>
          <w:p>
            <w:pPr>
              <w:spacing w:after="0"/>
              <w:rPr>
                <w:sz w:val="19"/>
                <w:szCs w:val="19"/>
                <w:color w:val="auto"/>
              </w:rPr>
            </w:pPr>
          </w:p>
        </w:tc>
        <w:tc>
          <w:tcPr>
            <w:tcW w:w="200" w:type="dxa"/>
            <w:vAlign w:val="bottom"/>
            <w:tcBorders>
              <w:top w:val="single" w:sz="8" w:color="auto"/>
              <w:bottom w:val="single" w:sz="8" w:color="auto"/>
            </w:tcBorders>
          </w:tcPr>
          <w:p>
            <w:pPr>
              <w:spacing w:after="0"/>
              <w:rPr>
                <w:sz w:val="19"/>
                <w:szCs w:val="19"/>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1,633</w:t>
            </w: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12,879,095</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1,974,642</w:t>
            </w:r>
          </w:p>
        </w:tc>
        <w:tc>
          <w:tcPr>
            <w:tcW w:w="120" w:type="dxa"/>
            <w:vAlign w:val="bottom"/>
          </w:tcPr>
          <w:p>
            <w:pPr>
              <w:spacing w:after="0"/>
              <w:rPr>
                <w:sz w:val="19"/>
                <w:szCs w:val="19"/>
                <w:color w:val="auto"/>
              </w:rPr>
            </w:pPr>
          </w:p>
        </w:tc>
        <w:tc>
          <w:tcPr>
            <w:tcW w:w="320" w:type="dxa"/>
            <w:vAlign w:val="bottom"/>
            <w:tcBorders>
              <w:top w:val="single" w:sz="8" w:color="auto"/>
              <w:bottom w:val="single" w:sz="8" w:color="auto"/>
            </w:tcBorders>
          </w:tcPr>
          <w:p>
            <w:pPr>
              <w:spacing w:after="0"/>
              <w:rPr>
                <w:sz w:val="19"/>
                <w:szCs w:val="19"/>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14,855,370</w:t>
            </w:r>
          </w:p>
        </w:tc>
        <w:tc>
          <w:tcPr>
            <w:tcW w:w="0" w:type="dxa"/>
            <w:vAlign w:val="bottom"/>
          </w:tcPr>
          <w:p>
            <w:pPr>
              <w:spacing w:after="0"/>
              <w:rPr>
                <w:sz w:val="1"/>
                <w:szCs w:val="1"/>
                <w:color w:val="auto"/>
              </w:rPr>
            </w:pPr>
          </w:p>
        </w:tc>
      </w:tr>
      <w:tr>
        <w:trPr>
          <w:trHeight w:val="20"/>
        </w:trPr>
        <w:tc>
          <w:tcPr>
            <w:tcW w:w="4340" w:type="dxa"/>
            <w:vAlign w:val="bottom"/>
            <w:tcBorders>
              <w:bottom w:val="single" w:sz="8" w:color="CCEEFF"/>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434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stock in connection with equity</w:t>
            </w: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2,947</w:t>
            </w:r>
          </w:p>
        </w:tc>
        <w:tc>
          <w:tcPr>
            <w:tcW w:w="14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40,168</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0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2"/>
                <w:szCs w:val="12"/>
                <w:color w:val="auto"/>
              </w:rPr>
            </w:pP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40,173</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incentive plans</w:t>
            </w:r>
          </w:p>
        </w:tc>
        <w:tc>
          <w:tcPr>
            <w:tcW w:w="11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6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vMerge w:val="continue"/>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4340" w:type="dxa"/>
            <w:vAlign w:val="bottom"/>
          </w:tcPr>
          <w:p>
            <w:pPr>
              <w:ind w:left="20"/>
              <w:spacing w:after="0" w:line="176" w:lineRule="exact"/>
              <w:rPr>
                <w:sz w:val="20"/>
                <w:szCs w:val="20"/>
                <w:color w:val="auto"/>
              </w:rPr>
            </w:pPr>
            <w:r>
              <w:rPr>
                <w:rFonts w:ascii="Arial" w:cs="Arial" w:eastAsia="Arial" w:hAnsi="Arial"/>
                <w:sz w:val="18"/>
                <w:szCs w:val="18"/>
                <w:color w:val="auto"/>
              </w:rPr>
              <w:t>Tax withholdings related to net share settlement of</w:t>
            </w: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260" w:type="dxa"/>
            <w:vAlign w:val="bottom"/>
            <w:vMerge w:val="restart"/>
          </w:tcPr>
          <w:p>
            <w:pPr>
              <w:jc w:val="right"/>
              <w:spacing w:after="0"/>
              <w:rPr>
                <w:sz w:val="20"/>
                <w:szCs w:val="20"/>
                <w:color w:val="auto"/>
              </w:rPr>
            </w:pPr>
            <w:r>
              <w:rPr>
                <w:rFonts w:ascii="Arial" w:cs="Arial" w:eastAsia="Arial" w:hAnsi="Arial"/>
                <w:sz w:val="18"/>
                <w:szCs w:val="18"/>
                <w:color w:val="auto"/>
              </w:rPr>
              <w:t>(41,928)</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(41,928)</w:t>
            </w:r>
          </w:p>
        </w:tc>
        <w:tc>
          <w:tcPr>
            <w:tcW w:w="0" w:type="dxa"/>
            <w:vAlign w:val="bottom"/>
          </w:tcPr>
          <w:p>
            <w:pPr>
              <w:spacing w:after="0"/>
              <w:rPr>
                <w:sz w:val="1"/>
                <w:szCs w:val="1"/>
                <w:color w:val="auto"/>
              </w:rPr>
            </w:pPr>
          </w:p>
        </w:tc>
      </w:tr>
      <w:tr>
        <w:trPr>
          <w:trHeight w:val="230"/>
        </w:trPr>
        <w:tc>
          <w:tcPr>
            <w:tcW w:w="4340" w:type="dxa"/>
            <w:vAlign w:val="bottom"/>
          </w:tcPr>
          <w:p>
            <w:pPr>
              <w:ind w:left="20"/>
              <w:spacing w:after="0"/>
              <w:rPr>
                <w:sz w:val="20"/>
                <w:szCs w:val="20"/>
                <w:color w:val="auto"/>
              </w:rPr>
            </w:pPr>
            <w:r>
              <w:rPr>
                <w:rFonts w:ascii="Arial" w:cs="Arial" w:eastAsia="Arial" w:hAnsi="Arial"/>
                <w:sz w:val="18"/>
                <w:szCs w:val="18"/>
                <w:color w:val="auto"/>
              </w:rPr>
              <w:t>restricted stock units</w:t>
            </w:r>
          </w:p>
        </w:tc>
        <w:tc>
          <w:tcPr>
            <w:tcW w:w="11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12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vMerge w:val="continue"/>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122,322</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122,322</w:t>
            </w:r>
          </w:p>
        </w:tc>
        <w:tc>
          <w:tcPr>
            <w:tcW w:w="0" w:type="dxa"/>
            <w:vAlign w:val="bottom"/>
          </w:tcPr>
          <w:p>
            <w:pPr>
              <w:spacing w:after="0"/>
              <w:rPr>
                <w:sz w:val="1"/>
                <w:szCs w:val="1"/>
                <w:color w:val="auto"/>
              </w:rPr>
            </w:pPr>
          </w:p>
        </w:tc>
      </w:tr>
      <w:tr>
        <w:trPr>
          <w:trHeight w:val="229"/>
        </w:trPr>
        <w:tc>
          <w:tcPr>
            <w:tcW w:w="4340" w:type="dxa"/>
            <w:vAlign w:val="bottom"/>
          </w:tcPr>
          <w:p>
            <w:pPr>
              <w:ind w:left="20"/>
              <w:spacing w:after="0"/>
              <w:rPr>
                <w:sz w:val="20"/>
                <w:szCs w:val="20"/>
                <w:color w:val="auto"/>
              </w:rPr>
            </w:pPr>
            <w:r>
              <w:rPr>
                <w:rFonts w:ascii="Arial" w:cs="Arial" w:eastAsia="Arial" w:hAnsi="Arial"/>
                <w:sz w:val="18"/>
                <w:szCs w:val="18"/>
                <w:color w:val="auto"/>
              </w:rPr>
              <w:t>Common stock issued to Inphi common stockholders</w:t>
            </w:r>
          </w:p>
        </w:tc>
        <w:tc>
          <w:tcPr>
            <w:tcW w:w="1100" w:type="dxa"/>
            <w:vAlign w:val="bottom"/>
          </w:tcPr>
          <w:p>
            <w:pPr>
              <w:jc w:val="right"/>
              <w:spacing w:after="0"/>
              <w:rPr>
                <w:sz w:val="20"/>
                <w:szCs w:val="20"/>
                <w:color w:val="auto"/>
              </w:rPr>
            </w:pPr>
            <w:r>
              <w:rPr>
                <w:rFonts w:ascii="Arial" w:cs="Arial" w:eastAsia="Arial" w:hAnsi="Arial"/>
                <w:sz w:val="18"/>
                <w:szCs w:val="18"/>
                <w:color w:val="auto"/>
              </w:rPr>
              <w:t>145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6,625</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6,625</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3,865</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84,387</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84,395</w:t>
            </w:r>
          </w:p>
        </w:tc>
        <w:tc>
          <w:tcPr>
            <w:tcW w:w="0" w:type="dxa"/>
            <w:vAlign w:val="bottom"/>
          </w:tcPr>
          <w:p>
            <w:pPr>
              <w:spacing w:after="0"/>
              <w:rPr>
                <w:sz w:val="1"/>
                <w:szCs w:val="1"/>
                <w:color w:val="auto"/>
              </w:rPr>
            </w:pPr>
          </w:p>
        </w:tc>
      </w:tr>
      <w:tr>
        <w:trPr>
          <w:trHeight w:val="230"/>
        </w:trPr>
        <w:tc>
          <w:tcPr>
            <w:tcW w:w="43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4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(49,332)</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(49,332)</w:t>
            </w:r>
          </w:p>
        </w:tc>
        <w:tc>
          <w:tcPr>
            <w:tcW w:w="0" w:type="dxa"/>
            <w:vAlign w:val="bottom"/>
          </w:tcPr>
          <w:p>
            <w:pPr>
              <w:spacing w:after="0"/>
              <w:rPr>
                <w:sz w:val="1"/>
                <w:szCs w:val="1"/>
                <w:color w:val="auto"/>
              </w:rPr>
            </w:pPr>
          </w:p>
        </w:tc>
      </w:tr>
      <w:tr>
        <w:trPr>
          <w:trHeight w:val="230"/>
        </w:trPr>
        <w:tc>
          <w:tcPr>
            <w:tcW w:w="4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0" w:type="dxa"/>
            <w:vAlign w:val="bottom"/>
          </w:tcPr>
          <w:p>
            <w:pPr>
              <w:spacing w:after="0"/>
              <w:rPr>
                <w:sz w:val="1"/>
                <w:szCs w:val="1"/>
                <w:color w:val="auto"/>
              </w:rPr>
            </w:pPr>
          </w:p>
        </w:tc>
      </w:tr>
      <w:tr>
        <w:trPr>
          <w:trHeight w:val="223"/>
        </w:trPr>
        <w:tc>
          <w:tcPr>
            <w:tcW w:w="4340" w:type="dxa"/>
            <w:vAlign w:val="bottom"/>
          </w:tcPr>
          <w:p>
            <w:pPr>
              <w:ind w:left="20"/>
              <w:spacing w:after="0"/>
              <w:rPr>
                <w:sz w:val="20"/>
                <w:szCs w:val="20"/>
                <w:color w:val="auto"/>
              </w:rPr>
            </w:pPr>
            <w:r>
              <w:rPr>
                <w:rFonts w:ascii="Arial" w:cs="Arial" w:eastAsia="Arial" w:hAnsi="Arial"/>
                <w:sz w:val="18"/>
                <w:szCs w:val="18"/>
                <w:b w:val="1"/>
                <w:bCs w:val="1"/>
                <w:color w:val="auto"/>
              </w:rPr>
              <w:t>Balance at July 31, 2021</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823,377</w:t>
            </w:r>
          </w:p>
        </w:tc>
        <w:tc>
          <w:tcPr>
            <w:tcW w:w="14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1,646</w:t>
            </w: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13,090,669</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1,648,882</w:t>
            </w:r>
          </w:p>
        </w:tc>
        <w:tc>
          <w:tcPr>
            <w:tcW w:w="120" w:type="dxa"/>
            <w:vAlign w:val="bottom"/>
          </w:tcPr>
          <w:p>
            <w:pPr>
              <w:spacing w:after="0"/>
              <w:rPr>
                <w:sz w:val="19"/>
                <w:szCs w:val="19"/>
                <w:color w:val="auto"/>
              </w:rPr>
            </w:pPr>
          </w:p>
        </w:tc>
        <w:tc>
          <w:tcPr>
            <w:tcW w:w="3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14,741,197</w:t>
            </w:r>
          </w:p>
        </w:tc>
        <w:tc>
          <w:tcPr>
            <w:tcW w:w="0" w:type="dxa"/>
            <w:vAlign w:val="bottom"/>
          </w:tcPr>
          <w:p>
            <w:pPr>
              <w:spacing w:after="0"/>
              <w:rPr>
                <w:sz w:val="1"/>
                <w:szCs w:val="1"/>
                <w:color w:val="auto"/>
              </w:rPr>
            </w:pPr>
          </w:p>
        </w:tc>
      </w:tr>
      <w:tr>
        <w:trPr>
          <w:trHeight w:val="20"/>
        </w:trPr>
        <w:tc>
          <w:tcPr>
            <w:tcW w:w="4340" w:type="dxa"/>
            <w:vAlign w:val="bottom"/>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30"/>
        </w:trPr>
        <w:tc>
          <w:tcPr>
            <w:tcW w:w="43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340" w:type="dxa"/>
            <w:vAlign w:val="bottom"/>
            <w:gridSpan w:val="2"/>
          </w:tcPr>
          <w:p>
            <w:pPr>
              <w:jc w:val="right"/>
              <w:ind w:right="30"/>
              <w:spacing w:after="0"/>
              <w:rPr>
                <w:sz w:val="20"/>
                <w:szCs w:val="20"/>
                <w:color w:val="auto"/>
              </w:rPr>
            </w:pPr>
            <w:r>
              <w:rPr>
                <w:rFonts w:ascii="Arial" w:cs="Arial" w:eastAsia="Arial" w:hAnsi="Arial"/>
                <w:sz w:val="18"/>
                <w:szCs w:val="18"/>
                <w:color w:val="auto"/>
              </w:rPr>
              <w:t>5</w:t>
            </w:r>
          </w:p>
        </w:tc>
        <w:tc>
          <w:tcPr>
            <w:tcW w:w="9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4340" w:type="dxa"/>
            <w:vAlign w:val="bottom"/>
            <w:tcBorders>
              <w:bottom w:val="single" w:sz="8" w:color="9A9A9A"/>
            </w:tcBorders>
          </w:tcPr>
          <w:p>
            <w:pPr>
              <w:spacing w:after="0"/>
              <w:rPr>
                <w:sz w:val="10"/>
                <w:szCs w:val="10"/>
                <w:color w:val="auto"/>
              </w:rPr>
            </w:pPr>
          </w:p>
        </w:tc>
        <w:tc>
          <w:tcPr>
            <w:tcW w:w="110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200" w:type="dxa"/>
            <w:vAlign w:val="bottom"/>
            <w:tcBorders>
              <w:bottom w:val="single" w:sz="8" w:color="9A9A9A"/>
            </w:tcBorders>
          </w:tcPr>
          <w:p>
            <w:pPr>
              <w:spacing w:after="0"/>
              <w:rPr>
                <w:sz w:val="10"/>
                <w:szCs w:val="10"/>
                <w:color w:val="auto"/>
              </w:rPr>
            </w:pPr>
          </w:p>
        </w:tc>
        <w:tc>
          <w:tcPr>
            <w:tcW w:w="90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126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128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320" w:type="dxa"/>
            <w:vAlign w:val="bottom"/>
            <w:tcBorders>
              <w:bottom w:val="single" w:sz="8" w:color="9A9A9A"/>
            </w:tcBorders>
          </w:tcPr>
          <w:p>
            <w:pPr>
              <w:spacing w:after="0"/>
              <w:rPr>
                <w:sz w:val="10"/>
                <w:szCs w:val="10"/>
                <w:color w:val="auto"/>
              </w:rPr>
            </w:pPr>
          </w:p>
        </w:tc>
        <w:tc>
          <w:tcPr>
            <w:tcW w:w="108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tbl>
      <w:tblPr>
        <w:tblLayout w:type="fixed"/>
        <w:tblInd w:w="3580" w:type="dxa"/>
        <w:tblCellMar>
          <w:top w:w="0" w:type="dxa"/>
          <w:left w:w="0" w:type="dxa"/>
          <w:bottom w:w="0" w:type="dxa"/>
          <w:right w:w="0" w:type="dxa"/>
        </w:tblCellMar>
      </w:tblPr>
      <w:tr>
        <w:trPr>
          <w:trHeight w:val="192"/>
        </w:trPr>
        <w:tc>
          <w:tcPr>
            <w:tcW w:w="1900" w:type="dxa"/>
            <w:vAlign w:val="bottom"/>
            <w:tcBorders>
              <w:bottom w:val="single" w:sz="8" w:color="auto"/>
            </w:tcBorders>
            <w:gridSpan w:val="2"/>
          </w:tcPr>
          <w:p>
            <w:pPr>
              <w:ind w:left="480"/>
              <w:spacing w:after="0"/>
              <w:rPr>
                <w:sz w:val="20"/>
                <w:szCs w:val="20"/>
                <w:color w:val="auto"/>
              </w:rPr>
            </w:pPr>
            <w:r>
              <w:rPr>
                <w:rFonts w:ascii="Arial" w:cs="Arial" w:eastAsia="Arial" w:hAnsi="Arial"/>
                <w:sz w:val="14"/>
                <w:szCs w:val="14"/>
                <w:b w:val="1"/>
                <w:bCs w:val="1"/>
                <w:color w:val="auto"/>
              </w:rPr>
              <w:t>Common Stock</w:t>
            </w:r>
          </w:p>
        </w:tc>
        <w:tc>
          <w:tcPr>
            <w:tcW w:w="1560" w:type="dxa"/>
            <w:vAlign w:val="bottom"/>
          </w:tcPr>
          <w:p>
            <w:pPr>
              <w:spacing w:after="0"/>
              <w:rPr>
                <w:sz w:val="16"/>
                <w:szCs w:val="16"/>
                <w:color w:val="auto"/>
              </w:rPr>
            </w:pPr>
          </w:p>
        </w:tc>
        <w:tc>
          <w:tcPr>
            <w:tcW w:w="15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Accumulated Other</w:t>
            </w:r>
          </w:p>
        </w:tc>
        <w:tc>
          <w:tcPr>
            <w:tcW w:w="1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1"/>
        </w:trPr>
        <w:tc>
          <w:tcPr>
            <w:tcW w:w="920" w:type="dxa"/>
            <w:vAlign w:val="bottom"/>
          </w:tcPr>
          <w:p>
            <w:pPr>
              <w:spacing w:after="0"/>
              <w:rPr>
                <w:sz w:val="3"/>
                <w:szCs w:val="3"/>
                <w:color w:val="auto"/>
              </w:rPr>
            </w:pPr>
          </w:p>
        </w:tc>
        <w:tc>
          <w:tcPr>
            <w:tcW w:w="980" w:type="dxa"/>
            <w:vAlign w:val="bottom"/>
          </w:tcPr>
          <w:p>
            <w:pPr>
              <w:spacing w:after="0"/>
              <w:rPr>
                <w:sz w:val="3"/>
                <w:szCs w:val="3"/>
                <w:color w:val="auto"/>
              </w:rPr>
            </w:pPr>
          </w:p>
        </w:tc>
        <w:tc>
          <w:tcPr>
            <w:tcW w:w="15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5"/>
              </w:rPr>
              <w:t>Additional Paid-in</w:t>
            </w:r>
          </w:p>
        </w:tc>
        <w:tc>
          <w:tcPr>
            <w:tcW w:w="1540" w:type="dxa"/>
            <w:vAlign w:val="bottom"/>
            <w:vMerge w:val="continue"/>
          </w:tcPr>
          <w:p>
            <w:pPr>
              <w:spacing w:after="0"/>
              <w:rPr>
                <w:sz w:val="3"/>
                <w:szCs w:val="3"/>
                <w:color w:val="auto"/>
              </w:rPr>
            </w:pPr>
          </w:p>
        </w:tc>
        <w:tc>
          <w:tcPr>
            <w:tcW w:w="1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35"/>
        </w:trPr>
        <w:tc>
          <w:tcPr>
            <w:tcW w:w="92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Shares</w:t>
            </w:r>
          </w:p>
        </w:tc>
        <w:tc>
          <w:tcPr>
            <w:tcW w:w="9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Amount</w:t>
            </w:r>
          </w:p>
        </w:tc>
        <w:tc>
          <w:tcPr>
            <w:tcW w:w="1560" w:type="dxa"/>
            <w:vAlign w:val="bottom"/>
            <w:vMerge w:val="continue"/>
          </w:tcPr>
          <w:p>
            <w:pPr>
              <w:spacing w:after="0"/>
              <w:rPr>
                <w:sz w:val="11"/>
                <w:szCs w:val="11"/>
                <w:color w:val="auto"/>
              </w:rPr>
            </w:pPr>
          </w:p>
        </w:tc>
        <w:tc>
          <w:tcPr>
            <w:tcW w:w="15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9"/>
              </w:rPr>
              <w:t>Comprehensive</w:t>
            </w:r>
          </w:p>
        </w:tc>
        <w:tc>
          <w:tcPr>
            <w:tcW w:w="160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Retained Earnings</w:t>
            </w:r>
          </w:p>
        </w:tc>
        <w:tc>
          <w:tcPr>
            <w:tcW w:w="620" w:type="dxa"/>
            <w:vAlign w:val="bottom"/>
            <w:vMerge w:val="restart"/>
          </w:tcPr>
          <w:p>
            <w:pPr>
              <w:ind w:left="30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86"/>
        </w:trPr>
        <w:tc>
          <w:tcPr>
            <w:tcW w:w="920" w:type="dxa"/>
            <w:vAlign w:val="bottom"/>
            <w:vMerge w:val="continue"/>
          </w:tcPr>
          <w:p>
            <w:pPr>
              <w:spacing w:after="0"/>
              <w:rPr>
                <w:sz w:val="16"/>
                <w:szCs w:val="16"/>
                <w:color w:val="auto"/>
              </w:rPr>
            </w:pPr>
          </w:p>
        </w:tc>
        <w:tc>
          <w:tcPr>
            <w:tcW w:w="980" w:type="dxa"/>
            <w:vAlign w:val="bottom"/>
            <w:vMerge w:val="continue"/>
          </w:tcPr>
          <w:p>
            <w:pPr>
              <w:spacing w:after="0"/>
              <w:rPr>
                <w:sz w:val="16"/>
                <w:szCs w:val="16"/>
                <w:color w:val="auto"/>
              </w:rPr>
            </w:pP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98"/>
              </w:rPr>
              <w:t>Capital</w:t>
            </w:r>
          </w:p>
        </w:tc>
        <w:tc>
          <w:tcPr>
            <w:tcW w:w="1540" w:type="dxa"/>
            <w:vAlign w:val="bottom"/>
          </w:tcPr>
          <w:p>
            <w:pPr>
              <w:jc w:val="center"/>
              <w:spacing w:after="0"/>
              <w:rPr>
                <w:sz w:val="20"/>
                <w:szCs w:val="20"/>
                <w:color w:val="auto"/>
              </w:rPr>
            </w:pPr>
            <w:r>
              <w:rPr>
                <w:rFonts w:ascii="Arial" w:cs="Arial" w:eastAsia="Arial" w:hAnsi="Arial"/>
                <w:sz w:val="14"/>
                <w:szCs w:val="14"/>
                <w:b w:val="1"/>
                <w:bCs w:val="1"/>
                <w:color w:val="auto"/>
                <w:w w:val="90"/>
              </w:rPr>
              <w:t>Income (Loss)</w:t>
            </w:r>
          </w:p>
        </w:tc>
        <w:tc>
          <w:tcPr>
            <w:tcW w:w="1600" w:type="dxa"/>
            <w:vAlign w:val="bottom"/>
            <w:vMerge w:val="continue"/>
          </w:tcPr>
          <w:p>
            <w:pPr>
              <w:spacing w:after="0"/>
              <w:rPr>
                <w:sz w:val="16"/>
                <w:szCs w:val="16"/>
                <w:color w:val="auto"/>
              </w:rPr>
            </w:pPr>
          </w:p>
        </w:tc>
        <w:tc>
          <w:tcPr>
            <w:tcW w:w="6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1905</wp:posOffset>
            </wp:positionV>
            <wp:extent cx="7132320" cy="1543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tbl>
      <w:tblPr>
        <w:tblLayout w:type="fixed"/>
        <w:tblInd w:w="20" w:type="dxa"/>
        <w:tblCellMar>
          <w:top w:w="0" w:type="dxa"/>
          <w:left w:w="0" w:type="dxa"/>
          <w:bottom w:w="0" w:type="dxa"/>
          <w:right w:w="0" w:type="dxa"/>
        </w:tblCellMar>
      </w:tblPr>
      <w:tr>
        <w:trPr>
          <w:trHeight w:val="225"/>
        </w:trPr>
        <w:tc>
          <w:tcPr>
            <w:tcW w:w="3560" w:type="dxa"/>
            <w:vAlign w:val="bottom"/>
          </w:tcPr>
          <w:p>
            <w:pPr>
              <w:spacing w:after="0"/>
              <w:rPr>
                <w:sz w:val="20"/>
                <w:szCs w:val="20"/>
                <w:color w:val="auto"/>
              </w:rPr>
            </w:pPr>
            <w:r>
              <w:rPr>
                <w:rFonts w:ascii="Arial" w:cs="Arial" w:eastAsia="Arial" w:hAnsi="Arial"/>
                <w:sz w:val="18"/>
                <w:szCs w:val="18"/>
                <w:b w:val="1"/>
                <w:bCs w:val="1"/>
                <w:color w:val="auto"/>
              </w:rPr>
              <w:t>Balance at February 1, 2020</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663,481</w:t>
            </w:r>
          </w:p>
        </w:tc>
        <w:tc>
          <w:tcPr>
            <w:tcW w:w="140" w:type="dxa"/>
            <w:vAlign w:val="bottom"/>
          </w:tcPr>
          <w:p>
            <w:pPr>
              <w:spacing w:after="0"/>
              <w:rPr>
                <w:sz w:val="19"/>
                <w:szCs w:val="19"/>
                <w:color w:val="auto"/>
              </w:rPr>
            </w:pPr>
          </w:p>
        </w:tc>
        <w:tc>
          <w:tcPr>
            <w:tcW w:w="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1,328</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76"/>
        </w:trPr>
        <w:tc>
          <w:tcPr>
            <w:tcW w:w="3560" w:type="dxa"/>
            <w:vAlign w:val="bottom"/>
          </w:tcPr>
          <w:p>
            <w:pPr>
              <w:spacing w:after="0" w:line="176" w:lineRule="exact"/>
              <w:rPr>
                <w:sz w:val="20"/>
                <w:szCs w:val="20"/>
                <w:color w:val="auto"/>
              </w:rPr>
            </w:pPr>
            <w:r>
              <w:rPr>
                <w:rFonts w:ascii="Arial" w:cs="Arial" w:eastAsia="Arial" w:hAnsi="Arial"/>
                <w:sz w:val="18"/>
                <w:szCs w:val="18"/>
                <w:color w:val="auto"/>
                <w:w w:val="98"/>
              </w:rPr>
              <w:t>Issuance of common stock in connection with</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2,993</w:t>
            </w: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equity incentive plans</w:t>
            </w:r>
          </w:p>
        </w:tc>
        <w:tc>
          <w:tcPr>
            <w:tcW w:w="8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60" w:type="dxa"/>
            <w:vAlign w:val="bottom"/>
          </w:tcPr>
          <w:p>
            <w:pPr>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of restricted stock units</w:t>
            </w:r>
          </w:p>
        </w:tc>
        <w:tc>
          <w:tcPr>
            <w:tcW w:w="102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(1,251)</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60" w:type="dxa"/>
            <w:vAlign w:val="bottom"/>
          </w:tcPr>
          <w:p>
            <w:pPr>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share)</w:t>
            </w:r>
          </w:p>
        </w:tc>
        <w:tc>
          <w:tcPr>
            <w:tcW w:w="102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560" w:type="dxa"/>
            <w:vAlign w:val="bottom"/>
          </w:tcPr>
          <w:p>
            <w:pPr>
              <w:spacing w:after="0"/>
              <w:rPr>
                <w:sz w:val="20"/>
                <w:szCs w:val="20"/>
                <w:color w:val="auto"/>
              </w:rPr>
            </w:pPr>
            <w:r>
              <w:rPr>
                <w:rFonts w:ascii="Arial" w:cs="Arial" w:eastAsia="Arial" w:hAnsi="Arial"/>
                <w:sz w:val="18"/>
                <w:szCs w:val="18"/>
                <w:b w:val="1"/>
                <w:bCs w:val="1"/>
                <w:color w:val="auto"/>
              </w:rPr>
              <w:t>Balance at May 2, 2020</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665,223</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1,330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
        </w:trPr>
        <w:tc>
          <w:tcPr>
            <w:tcW w:w="3560" w:type="dxa"/>
            <w:vAlign w:val="bottom"/>
            <w:vMerge w:val="restart"/>
          </w:tcPr>
          <w:p>
            <w:pPr>
              <w:spacing w:after="0" w:line="182" w:lineRule="exact"/>
              <w:rPr>
                <w:sz w:val="20"/>
                <w:szCs w:val="20"/>
                <w:color w:val="auto"/>
              </w:rPr>
            </w:pPr>
            <w:r>
              <w:rPr>
                <w:rFonts w:ascii="Arial" w:cs="Arial" w:eastAsia="Arial" w:hAnsi="Arial"/>
                <w:sz w:val="18"/>
                <w:szCs w:val="18"/>
                <w:color w:val="auto"/>
                <w:w w:val="98"/>
              </w:rPr>
              <w:t>Issuance of common stock in connection with</w:t>
            </w: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2"/>
        </w:trPr>
        <w:tc>
          <w:tcPr>
            <w:tcW w:w="3560" w:type="dxa"/>
            <w:vAlign w:val="bottom"/>
            <w:vMerge w:val="continue"/>
          </w:tcPr>
          <w:p>
            <w:pPr>
              <w:spacing w:after="0"/>
              <w:rPr>
                <w:sz w:val="12"/>
                <w:szCs w:val="12"/>
                <w:color w:val="auto"/>
              </w:rPr>
            </w:pP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4,794</w:t>
            </w:r>
          </w:p>
        </w:tc>
        <w:tc>
          <w:tcPr>
            <w:tcW w:w="1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10</w:t>
            </w: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equity incentive plans</w:t>
            </w:r>
          </w:p>
        </w:tc>
        <w:tc>
          <w:tcPr>
            <w:tcW w:w="8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60" w:type="dxa"/>
            <w:vAlign w:val="bottom"/>
          </w:tcPr>
          <w:p>
            <w:pPr>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of restricted stock units</w:t>
            </w:r>
          </w:p>
        </w:tc>
        <w:tc>
          <w:tcPr>
            <w:tcW w:w="102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60" w:type="dxa"/>
            <w:vAlign w:val="bottom"/>
          </w:tcPr>
          <w:p>
            <w:pPr>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62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3560" w:type="dxa"/>
            <w:vAlign w:val="bottom"/>
          </w:tcPr>
          <w:p>
            <w:pPr>
              <w:spacing w:after="0"/>
              <w:rPr>
                <w:sz w:val="20"/>
                <w:szCs w:val="20"/>
                <w:color w:val="auto"/>
              </w:rPr>
            </w:pPr>
            <w:r>
              <w:rPr>
                <w:rFonts w:ascii="Arial" w:cs="Arial" w:eastAsia="Arial" w:hAnsi="Arial"/>
                <w:sz w:val="18"/>
                <w:szCs w:val="18"/>
                <w:color w:val="auto"/>
              </w:rPr>
              <w:t>share)</w:t>
            </w:r>
          </w:p>
        </w:tc>
        <w:tc>
          <w:tcPr>
            <w:tcW w:w="102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62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560" w:type="dxa"/>
            <w:vAlign w:val="bottom"/>
          </w:tcPr>
          <w:p>
            <w:pPr>
              <w:spacing w:after="0"/>
              <w:rPr>
                <w:sz w:val="20"/>
                <w:szCs w:val="20"/>
                <w:color w:val="auto"/>
              </w:rPr>
            </w:pPr>
            <w:r>
              <w:rPr>
                <w:rFonts w:ascii="Arial" w:cs="Arial" w:eastAsia="Arial" w:hAnsi="Arial"/>
                <w:sz w:val="18"/>
                <w:szCs w:val="18"/>
                <w:b w:val="1"/>
                <w:bCs w:val="1"/>
                <w:color w:val="auto"/>
              </w:rPr>
              <w:t>Balance at August 1, 2020</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670,017</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1,340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
        </w:trPr>
        <w:tc>
          <w:tcPr>
            <w:tcW w:w="356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-2665095</wp:posOffset>
            </wp:positionV>
            <wp:extent cx="7132320" cy="257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25717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-2262505</wp:posOffset>
            </wp:positionV>
            <wp:extent cx="7132320" cy="1454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4541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-1859280</wp:posOffset>
            </wp:positionV>
            <wp:extent cx="7132320" cy="1454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4541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-1139190</wp:posOffset>
            </wp:positionV>
            <wp:extent cx="7132320" cy="2571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25717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-736600</wp:posOffset>
            </wp:positionV>
            <wp:extent cx="7132320" cy="2571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25717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-334010</wp:posOffset>
            </wp:positionV>
            <wp:extent cx="713232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4605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-1567815</wp:posOffset>
            </wp:positionV>
            <wp:extent cx="7132320" cy="171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w w:val="87"/>
              </w:rPr>
              <w:t>6,135,939</w:t>
            </w:r>
          </w:p>
        </w:tc>
        <w:tc>
          <w:tcPr>
            <w:tcW w:w="580" w:type="dxa"/>
            <w:vAlign w:val="bottom"/>
            <w:tcBorders>
              <w:top w:val="single" w:sz="8" w:color="auto"/>
            </w:tcBorders>
          </w:tcPr>
          <w:p>
            <w:pPr>
              <w:jc w:val="right"/>
              <w:ind w:right="390"/>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2,541,313</w:t>
            </w:r>
          </w:p>
        </w:tc>
        <w:tc>
          <w:tcPr>
            <w:tcW w:w="140" w:type="dxa"/>
            <w:vAlign w:val="bottom"/>
          </w:tcPr>
          <w:p>
            <w:pPr>
              <w:spacing w:after="0"/>
              <w:rPr>
                <w:sz w:val="20"/>
                <w:szCs w:val="20"/>
                <w:color w:val="auto"/>
              </w:rPr>
            </w:pPr>
          </w:p>
        </w:tc>
        <w:tc>
          <w:tcPr>
            <w:tcW w:w="26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8,678,580</w:t>
            </w:r>
          </w:p>
        </w:tc>
      </w:tr>
      <w:tr>
        <w:trPr>
          <w:trHeight w:val="40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5,466</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5,471</w:t>
            </w:r>
          </w:p>
        </w:tc>
      </w:tr>
      <w:tr>
        <w:trPr>
          <w:trHeight w:val="404"/>
        </w:trPr>
        <w:tc>
          <w:tcPr>
            <w:tcW w:w="940" w:type="dxa"/>
            <w:vAlign w:val="bottom"/>
          </w:tcPr>
          <w:p>
            <w:pPr>
              <w:jc w:val="right"/>
              <w:ind w:right="70"/>
              <w:spacing w:after="0"/>
              <w:rPr>
                <w:sz w:val="20"/>
                <w:szCs w:val="20"/>
                <w:color w:val="auto"/>
              </w:rPr>
            </w:pPr>
            <w:r>
              <w:rPr>
                <w:rFonts w:ascii="Arial" w:cs="Arial" w:eastAsia="Arial" w:hAnsi="Arial"/>
                <w:sz w:val="18"/>
                <w:szCs w:val="18"/>
                <w:color w:val="auto"/>
              </w:rPr>
              <w:t>(31,498)</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(31,498)</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60,199</w:t>
            </w:r>
          </w:p>
        </w:tc>
        <w:tc>
          <w:tcPr>
            <w:tcW w:w="5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60,199</w:t>
            </w:r>
          </w:p>
        </w:tc>
      </w:tr>
      <w:tr>
        <w:trPr>
          <w:trHeight w:val="230"/>
        </w:trPr>
        <w:tc>
          <w:tcPr>
            <w:tcW w:w="940" w:type="dxa"/>
            <w:vAlign w:val="bottom"/>
          </w:tcPr>
          <w:p>
            <w:pPr>
              <w:jc w:val="right"/>
              <w:ind w:right="70"/>
              <w:spacing w:after="0"/>
              <w:rPr>
                <w:sz w:val="20"/>
                <w:szCs w:val="20"/>
                <w:color w:val="auto"/>
              </w:rPr>
            </w:pPr>
            <w:r>
              <w:rPr>
                <w:rFonts w:ascii="Arial" w:cs="Arial" w:eastAsia="Arial" w:hAnsi="Arial"/>
                <w:sz w:val="18"/>
                <w:szCs w:val="18"/>
                <w:color w:val="auto"/>
              </w:rPr>
              <w:t>(25,199)</w:t>
            </w:r>
          </w:p>
        </w:tc>
        <w:tc>
          <w:tcPr>
            <w:tcW w:w="58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(25,202)</w:t>
            </w:r>
          </w:p>
        </w:tc>
      </w:tr>
      <w:tr>
        <w:trPr>
          <w:trHeight w:val="404"/>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(39,763)</w:t>
            </w: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(39,763)</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(113,033)</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868</w:t>
            </w:r>
          </w:p>
        </w:tc>
      </w:tr>
      <w:tr>
        <w:trPr>
          <w:trHeight w:val="223"/>
        </w:trPr>
        <w:tc>
          <w:tcPr>
            <w:tcW w:w="940" w:type="dxa"/>
            <w:vAlign w:val="bottom"/>
          </w:tcPr>
          <w:p>
            <w:pPr>
              <w:jc w:val="right"/>
              <w:ind w:right="130"/>
              <w:spacing w:after="0"/>
              <w:rPr>
                <w:sz w:val="20"/>
                <w:szCs w:val="20"/>
                <w:color w:val="auto"/>
              </w:rPr>
            </w:pPr>
            <w:r>
              <w:rPr>
                <w:rFonts w:ascii="Arial" w:cs="Arial" w:eastAsia="Arial" w:hAnsi="Arial"/>
                <w:sz w:val="18"/>
                <w:szCs w:val="18"/>
                <w:color w:val="auto"/>
                <w:w w:val="87"/>
              </w:rPr>
              <w:t>6,144,907</w:t>
            </w:r>
          </w:p>
        </w:tc>
        <w:tc>
          <w:tcPr>
            <w:tcW w:w="580" w:type="dxa"/>
            <w:vAlign w:val="bottom"/>
            <w:tcBorders>
              <w:top w:val="single" w:sz="8" w:color="auto"/>
              <w:bottom w:val="single" w:sz="8" w:color="auto"/>
            </w:tcBorders>
          </w:tcPr>
          <w:p>
            <w:pPr>
              <w:jc w:val="right"/>
              <w:ind w:right="390"/>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2,388,517</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8,535,622</w:t>
            </w:r>
          </w:p>
        </w:tc>
      </w:tr>
      <w:tr>
        <w:trPr>
          <w:trHeight w:val="21"/>
        </w:trPr>
        <w:tc>
          <w:tcPr>
            <w:tcW w:w="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r>
      <w:tr>
        <w:trPr>
          <w:trHeight w:val="372"/>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42,763</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42,773</w:t>
            </w:r>
          </w:p>
        </w:tc>
      </w:tr>
      <w:tr>
        <w:trPr>
          <w:trHeight w:val="404"/>
        </w:trPr>
        <w:tc>
          <w:tcPr>
            <w:tcW w:w="940" w:type="dxa"/>
            <w:vAlign w:val="bottom"/>
          </w:tcPr>
          <w:p>
            <w:pPr>
              <w:jc w:val="right"/>
              <w:ind w:right="70"/>
              <w:spacing w:after="0"/>
              <w:rPr>
                <w:sz w:val="20"/>
                <w:szCs w:val="20"/>
                <w:color w:val="auto"/>
              </w:rPr>
            </w:pPr>
            <w:r>
              <w:rPr>
                <w:rFonts w:ascii="Arial" w:cs="Arial" w:eastAsia="Arial" w:hAnsi="Arial"/>
                <w:sz w:val="18"/>
                <w:szCs w:val="18"/>
                <w:color w:val="auto"/>
              </w:rPr>
              <w:t>(25,212)</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(25,212)</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62,784</w:t>
            </w:r>
          </w:p>
        </w:tc>
        <w:tc>
          <w:tcPr>
            <w:tcW w:w="580" w:type="dxa"/>
            <w:vAlign w:val="bottom"/>
          </w:tcPr>
          <w:p>
            <w:pPr>
              <w:spacing w:after="0"/>
              <w:rPr>
                <w:sz w:val="20"/>
                <w:szCs w:val="20"/>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62,784</w:t>
            </w:r>
          </w:p>
        </w:tc>
      </w:tr>
      <w:tr>
        <w:trPr>
          <w:trHeight w:val="404"/>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4"/>
                <w:szCs w:val="24"/>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(40,119)</w:t>
            </w: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(40,119)</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(157,893)</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(157,893)</w:t>
            </w:r>
          </w:p>
        </w:tc>
      </w:tr>
      <w:tr>
        <w:trPr>
          <w:trHeight w:val="230"/>
        </w:trPr>
        <w:tc>
          <w:tcPr>
            <w:tcW w:w="9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20"/>
                <w:szCs w:val="20"/>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(418)</w:t>
            </w: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(418)</w:t>
            </w:r>
          </w:p>
        </w:tc>
      </w:tr>
      <w:tr>
        <w:trPr>
          <w:trHeight w:val="223"/>
        </w:trPr>
        <w:tc>
          <w:tcPr>
            <w:tcW w:w="940" w:type="dxa"/>
            <w:vAlign w:val="bottom"/>
          </w:tcPr>
          <w:p>
            <w:pPr>
              <w:jc w:val="right"/>
              <w:ind w:right="130"/>
              <w:spacing w:after="0"/>
              <w:rPr>
                <w:sz w:val="20"/>
                <w:szCs w:val="20"/>
                <w:color w:val="auto"/>
              </w:rPr>
            </w:pPr>
            <w:r>
              <w:rPr>
                <w:rFonts w:ascii="Arial" w:cs="Arial" w:eastAsia="Arial" w:hAnsi="Arial"/>
                <w:sz w:val="18"/>
                <w:szCs w:val="18"/>
                <w:color w:val="auto"/>
                <w:w w:val="87"/>
              </w:rPr>
              <w:t>6,225,242</w:t>
            </w:r>
          </w:p>
        </w:tc>
        <w:tc>
          <w:tcPr>
            <w:tcW w:w="580" w:type="dxa"/>
            <w:vAlign w:val="bottom"/>
            <w:tcBorders>
              <w:top w:val="single" w:sz="8" w:color="auto"/>
              <w:bottom w:val="single" w:sz="8" w:color="auto"/>
            </w:tcBorders>
          </w:tcPr>
          <w:p>
            <w:pPr>
              <w:jc w:val="right"/>
              <w:ind w:right="390"/>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2,190,505</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8,417,537</w:t>
            </w:r>
          </w:p>
        </w:tc>
      </w:tr>
      <w:tr>
        <w:trPr>
          <w:trHeight w:val="21"/>
        </w:trPr>
        <w:tc>
          <w:tcPr>
            <w:tcW w:w="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-348615</wp:posOffset>
            </wp:positionH>
            <wp:positionV relativeFrom="paragraph">
              <wp:posOffset>-187960</wp:posOffset>
            </wp:positionV>
            <wp:extent cx="85725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857250" cy="8255"/>
                    </a:xfrm>
                    <a:prstGeom prst="rect">
                      <a:avLst/>
                    </a:prstGeom>
                    <a:noFill/>
                  </pic:spPr>
                </pic:pic>
              </a:graphicData>
            </a:graphic>
          </wp:anchor>
        </w:drawing>
        <w:drawing>
          <wp:anchor simplePos="0" relativeHeight="251657728" behindDoc="1" locked="0" layoutInCell="0" allowOverlap="1">
            <wp:simplePos x="0" y="0"/>
            <wp:positionH relativeFrom="column">
              <wp:posOffset>-348615</wp:posOffset>
            </wp:positionH>
            <wp:positionV relativeFrom="paragraph">
              <wp:posOffset>-33655</wp:posOffset>
            </wp:positionV>
            <wp:extent cx="85725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857250" cy="8890"/>
                    </a:xfrm>
                    <a:prstGeom prst="rect">
                      <a:avLst/>
                    </a:prstGeom>
                    <a:noFill/>
                  </pic:spPr>
                </pic:pic>
              </a:graphicData>
            </a:graphic>
          </wp:anchor>
        </w:drawing>
        <w:drawing>
          <wp:anchor simplePos="0" relativeHeight="251657728" behindDoc="1" locked="0" layoutInCell="0" allowOverlap="1">
            <wp:simplePos x="0" y="0"/>
            <wp:positionH relativeFrom="column">
              <wp:posOffset>-348615</wp:posOffset>
            </wp:positionH>
            <wp:positionV relativeFrom="paragraph">
              <wp:posOffset>-7620</wp:posOffset>
            </wp:positionV>
            <wp:extent cx="85725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857250" cy="8255"/>
                    </a:xfrm>
                    <a:prstGeom prst="rect">
                      <a:avLst/>
                    </a:prstGeom>
                    <a:noFill/>
                  </pic:spPr>
                </pic:pic>
              </a:graphicData>
            </a:graphic>
          </wp:anchor>
        </w:drawing>
        <w:drawing>
          <wp:anchor simplePos="0" relativeHeight="251657728" behindDoc="1" locked="0" layoutInCell="0" allowOverlap="1">
            <wp:simplePos x="0" y="0"/>
            <wp:positionH relativeFrom="column">
              <wp:posOffset>-348615</wp:posOffset>
            </wp:positionH>
            <wp:positionV relativeFrom="paragraph">
              <wp:posOffset>-1388110</wp:posOffset>
            </wp:positionV>
            <wp:extent cx="85725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857250"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720" w:space="440"/>
            <w:col w:w="5080"/>
          </w:cols>
          <w:pgMar w:left="320" w:top="130" w:right="339" w:bottom="1440" w:gutter="0" w:footer="0" w:header="0"/>
          <w:type w:val="continuous"/>
        </w:sectPr>
      </w:pPr>
    </w:p>
    <w:p>
      <w:pPr>
        <w:spacing w:after="0" w:line="1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See accompanying notes to unaudited condensed consolidated financial statements</w:t>
      </w:r>
    </w:p>
    <w:p>
      <w:pPr>
        <w:spacing w:after="0" w:line="200" w:lineRule="exact"/>
        <w:rPr>
          <w:sz w:val="20"/>
          <w:szCs w:val="20"/>
          <w:color w:val="auto"/>
        </w:rPr>
      </w:pPr>
    </w:p>
    <w:p>
      <w:pPr>
        <w:spacing w:after="0" w:line="3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831"/>
              <w:spacing w:after="0"/>
              <w:rPr>
                <w:sz w:val="20"/>
                <w:szCs w:val="20"/>
                <w:color w:val="auto"/>
              </w:rPr>
            </w:pPr>
            <w:r>
              <w:rPr>
                <w:rFonts w:ascii="Arial" w:cs="Arial" w:eastAsia="Arial" w:hAnsi="Arial"/>
                <w:sz w:val="14"/>
                <w:szCs w:val="14"/>
                <w:b w:val="1"/>
                <w:bCs w:val="1"/>
                <w:color w:val="auto"/>
              </w:rPr>
              <w:t>Six Months Ended</w:t>
            </w:r>
          </w:p>
        </w:tc>
      </w:tr>
      <w:tr>
        <w:trPr>
          <w:trHeight w:val="134"/>
        </w:trPr>
        <w:tc>
          <w:tcPr>
            <w:tcW w:w="82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6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1160" w:type="dxa"/>
            <w:vAlign w:val="bottom"/>
          </w:tcPr>
          <w:p>
            <w:pPr>
              <w:jc w:val="right"/>
              <w:ind w:right="331"/>
              <w:spacing w:after="0" w:line="135" w:lineRule="exact"/>
              <w:rPr>
                <w:sz w:val="20"/>
                <w:szCs w:val="20"/>
                <w:color w:val="auto"/>
              </w:rPr>
            </w:pPr>
            <w:r>
              <w:rPr>
                <w:rFonts w:ascii="Arial" w:cs="Arial" w:eastAsia="Arial" w:hAnsi="Arial"/>
                <w:sz w:val="14"/>
                <w:szCs w:val="14"/>
                <w:b w:val="1"/>
                <w:bCs w:val="1"/>
                <w:color w:val="auto"/>
              </w:rPr>
              <w:t>August 1,</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(364,670)</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(270,926)</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118,085</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102,088</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206,832</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122,273</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405,311</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224,501</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169,560</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4,156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117,546</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61,870</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14,910</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(51,586)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(444)</w:t>
            </w:r>
          </w:p>
        </w:tc>
      </w:tr>
      <w:tr>
        <w:trPr>
          <w:trHeight w:val="230"/>
        </w:trPr>
        <w:tc>
          <w:tcPr>
            <w:tcW w:w="82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 net of acquisition: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Accounts receivable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(149,215)</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8,804</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(46,190)</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(3,015)</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(82,287)</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35,801</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29,647</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Accrued employee compensation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(56,309)</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(18,539)</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(7,765)</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21,528</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208,380</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401,458</w:t>
            </w:r>
          </w:p>
        </w:tc>
      </w:tr>
      <w:tr>
        <w:trPr>
          <w:trHeight w:val="20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(6,640)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(6,764)</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(53,679)</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(52,883)</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(3,600,165)</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(2,404)</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699</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(3,662,888)</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(58,948)</w:t>
            </w:r>
          </w:p>
        </w:tc>
      </w:tr>
      <w:tr>
        <w:trPr>
          <w:trHeight w:val="21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Repurchases of common stock</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(25,202)</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40,356</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48,234</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(116,150)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(56,714)</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stockholders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(89,889)</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(79,882)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(67,307)</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(42,509)</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issuance of debt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3,806,096</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Principal payments of debt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(275,000)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 for repurchases and settlement of convertible notes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(180,891)</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capped calls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160,286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 of equity and debt financing costs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(11,843)</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(2,507)</w:t>
            </w:r>
          </w:p>
        </w:tc>
      </w:tr>
      <w:tr>
        <w:trPr>
          <w:trHeight w:val="223"/>
        </w:trPr>
        <w:tc>
          <w:tcPr>
            <w:tcW w:w="8240" w:type="dxa"/>
            <w:vAlign w:val="bottom"/>
            <w:tcBorders>
              <w:top w:val="single" w:sz="8" w:color="CCEEFF"/>
            </w:tcBorders>
            <w:shd w:val="clear" w:color="auto" w:fill="CCEEFF"/>
          </w:tcPr>
          <w:p>
            <w:pPr>
              <w:ind w:left="1220"/>
              <w:spacing w:after="0"/>
              <w:rPr>
                <w:sz w:val="20"/>
                <w:szCs w:val="20"/>
                <w:color w:val="auto"/>
              </w:rPr>
            </w:pPr>
            <w:r>
              <w:rPr>
                <w:rFonts w:ascii="Arial" w:cs="Arial" w:eastAsia="Arial" w:hAnsi="Arial"/>
                <w:sz w:val="18"/>
                <w:szCs w:val="18"/>
                <w:color w:val="auto"/>
              </w:rPr>
              <w:t>Net cash provided by (used in) financing activities</w:t>
            </w: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3,265,658</w:t>
            </w:r>
          </w:p>
        </w:tc>
        <w:tc>
          <w:tcPr>
            <w:tcW w:w="12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bottom w:val="single" w:sz="8" w:color="auto"/>
            </w:tcBorders>
            <w:shd w:val="clear" w:color="auto" w:fill="CCEEFF"/>
          </w:tcPr>
          <w:p>
            <w:pPr>
              <w:spacing w:after="0"/>
              <w:rPr>
                <w:sz w:val="19"/>
                <w:szCs w:val="19"/>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(158,580)</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(188,850)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183,930</w:t>
            </w: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559,617</w:t>
            </w:r>
          </w:p>
        </w:tc>
        <w:tc>
          <w:tcPr>
            <w:tcW w:w="120" w:type="dxa"/>
            <w:vAlign w:val="bottom"/>
          </w:tcPr>
          <w:p>
            <w:pPr>
              <w:spacing w:after="0"/>
              <w:rPr>
                <w:sz w:val="19"/>
                <w:szCs w:val="19"/>
                <w:color w:val="auto"/>
              </w:rPr>
            </w:pPr>
          </w:p>
        </w:tc>
        <w:tc>
          <w:tcPr>
            <w:tcW w:w="2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831,534</w:t>
            </w:r>
          </w:p>
        </w:tc>
      </w:tr>
      <w:tr>
        <w:trPr>
          <w:trHeight w:val="21"/>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The unaudited condensed consolidated financial statements of Marvell Technology, Inc. (“MTI”), a Delaware corporation, and its wholly owned subsidiaries (the “Company”), as of and for the three and six months ended July 31, 2021,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2021 audited financial statements included in the Company’s Annual Report on Form 10-K for the fiscal year ended January 30, 2021.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These financial statements should also be read in conjunction with the Company’s critical accounting policies included in the Company’s Annual Report on Form 10-K for the year ended January 30, 2021 and those included in this Form 10-Q below.</w:t>
      </w:r>
    </w:p>
    <w:p>
      <w:pPr>
        <w:spacing w:after="0" w:line="21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2021 had a 52-week year. Fiscal 2022 is a 52-week year.</w:t>
      </w:r>
    </w:p>
    <w:p>
      <w:pPr>
        <w:spacing w:after="0" w:line="209"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On April 20, 2021, the Company completed its acquisition of Inphi Corporation (“Inphi”). Inphi is a global leader in high-speed data movement enabled by optical interconnects. The unaudited condensed consolidated financial statements include the operating results of Inphi for the period from the date of acquisition through the Company’s second quarter ended July 31, 2021. See “Note 3 - Business Combination” for more information.</w:t>
      </w:r>
    </w:p>
    <w:p>
      <w:pPr>
        <w:spacing w:after="0" w:line="174"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conjunction with the acquisition transaction, Marvell Technology Group Ltd and Inphi became wholly owned subsidiaries of the new parent company, MTI, on April 20, 2021. The parent company is domiciled in and subject to taxation in the United States. See “Note 11 - Income Taxes” for more information.</w:t>
      </w:r>
    </w:p>
    <w:p>
      <w:pPr>
        <w:spacing w:after="0" w:line="195" w:lineRule="exact"/>
        <w:rPr>
          <w:sz w:val="20"/>
          <w:szCs w:val="20"/>
          <w:color w:val="auto"/>
        </w:rPr>
      </w:pPr>
    </w:p>
    <w:p>
      <w:pPr>
        <w:ind w:firstLine="405"/>
        <w:spacing w:after="0"/>
        <w:rPr>
          <w:sz w:val="20"/>
          <w:szCs w:val="20"/>
          <w:color w:val="auto"/>
        </w:rPr>
      </w:pPr>
      <w:r>
        <w:rPr>
          <w:rFonts w:ascii="Arial" w:cs="Arial" w:eastAsia="Arial" w:hAnsi="Arial"/>
          <w:sz w:val="17"/>
          <w:szCs w:val="17"/>
          <w:color w:val="auto"/>
        </w:rPr>
        <w:t>Subsequent to quarter end, on August 3, 2021, the Company announced its intent to acquire Innovium, Inc. (“Innovium”), a leading provider of networking solutions for cloud and edge data centers, in an all-stock transaction. The estimated acquisition price of $1.1 billion consists of approximately 19.05 million shares of the Company's common stock and is based on the Company's 10-day volume weighted average price as of July 30, 2021. The acquisition price includes Innovium cash and exercise proceeds expected at closing of approximately $145 million, resulting in an estimated net cost to the Company of $955 million. The transaction is expected to close by the end of calendar year 2021, subject to the satisfaction of customary closing conditions, including approval by Innovium’s stockholders and applicable regulatory approvals.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right="100" w:firstLine="405"/>
        <w:spacing w:after="0" w:line="242" w:lineRule="auto"/>
        <w:rPr>
          <w:sz w:val="20"/>
          <w:szCs w:val="20"/>
          <w:color w:val="auto"/>
        </w:rPr>
      </w:pPr>
      <w:r>
        <w:rPr>
          <w:rFonts w:ascii="Arial" w:cs="Arial" w:eastAsia="Arial" w:hAnsi="Arial"/>
          <w:sz w:val="17"/>
          <w:szCs w:val="17"/>
          <w:color w:val="auto"/>
        </w:rPr>
        <w:t>In December 2019, the Financial Accounting Standards Board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new standard was adopted by the Company on January 31, 2021 on a prospective basis and did not have a material effect on the Company’s consolidated financial statements.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140" w:firstLine="405"/>
        <w:spacing w:after="0" w:line="255" w:lineRule="auto"/>
        <w:rPr>
          <w:sz w:val="20"/>
          <w:szCs w:val="20"/>
          <w:color w:val="auto"/>
        </w:rPr>
      </w:pPr>
      <w:r>
        <w:rPr>
          <w:rFonts w:ascii="Arial" w:cs="Arial" w:eastAsia="Arial" w:hAnsi="Arial"/>
          <w:sz w:val="17"/>
          <w:szCs w:val="17"/>
          <w:color w:val="auto"/>
        </w:rPr>
        <w:t>In August 2020, the FASB issued an accounting standards update that simplifies the accounting for convertible debt instruments by reducing the number of accounting models and the number of embedded conversion features that could be recognized separately from the primary contract. The standard requires a convertible debt instrument to be accounted for as a single liability measured at its amortized cost as long as no other features require bifurcation and recognition as derivatives. It also made changes to the disclosures for convertible instruments and earnings-per-share guidance, among other updates. The guidance is effective for the Company beginning in the first quarter of fiscal year 2023, with early adoption permitted and permits the use of either the modified retrospective or fully retrospective method of transition. The Company is evaluating the impact that this new standard will have on the Company’s consolidated financial statements.</w:t>
      </w: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5 - Debt” for additional information.</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thousands):</w:t>
            </w:r>
          </w:p>
        </w:tc>
        <w:tc>
          <w:tcPr>
            <w:tcW w:w="1020" w:type="dxa"/>
            <w:vAlign w:val="bottom"/>
          </w:tcPr>
          <w:p>
            <w:pPr>
              <w:spacing w:after="0"/>
              <w:rPr>
                <w:sz w:val="20"/>
                <w:szCs w:val="20"/>
                <w:color w:val="auto"/>
              </w:rPr>
            </w:pPr>
          </w:p>
        </w:tc>
        <w:tc>
          <w:tcPr>
            <w:tcW w:w="1720" w:type="dxa"/>
            <w:vAlign w:val="bottom"/>
          </w:tcPr>
          <w:p>
            <w:pPr>
              <w:spacing w:after="0"/>
              <w:rPr>
                <w:sz w:val="20"/>
                <w:szCs w:val="20"/>
                <w:color w:val="auto"/>
              </w:rPr>
            </w:pPr>
          </w:p>
        </w:tc>
      </w:tr>
      <w:tr>
        <w:trPr>
          <w:trHeight w:val="257"/>
        </w:trPr>
        <w:tc>
          <w:tcPr>
            <w:tcW w:w="85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720" w:type="dxa"/>
            <w:vAlign w:val="bottom"/>
          </w:tcPr>
          <w:p>
            <w:pPr>
              <w:spacing w:after="0"/>
              <w:rPr>
                <w:sz w:val="22"/>
                <w:szCs w:val="22"/>
                <w:color w:val="auto"/>
              </w:rPr>
            </w:pP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Inphi common stockholders</w:t>
            </w:r>
          </w:p>
        </w:tc>
        <w:tc>
          <w:tcPr>
            <w:tcW w:w="1020" w:type="dxa"/>
            <w:vAlign w:val="bottom"/>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3,639,559</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Common stock (128,100,446 shares of the Company’s common stock at $45.84 per share)</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5,872,125</w:t>
            </w: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for director and employee accelerated equity awards</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33,658</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Stock consideration for director and employee accelerated equity awards</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45,686</w:t>
            </w: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82,346</w:t>
            </w:r>
          </w:p>
        </w:tc>
      </w:tr>
      <w:tr>
        <w:trPr>
          <w:trHeight w:val="230"/>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244,155</w:t>
            </w: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r>
      <w:tr>
        <w:trPr>
          <w:trHeight w:val="20"/>
        </w:trPr>
        <w:tc>
          <w:tcPr>
            <w:tcW w:w="850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72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4 - Goodwill and Acquired Intangible Assets, Net” for additional information.</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2"/>
              </w:rPr>
              <w:t>Previously Reported</w:t>
            </w:r>
          </w:p>
        </w:tc>
        <w:tc>
          <w:tcPr>
            <w:tcW w:w="220" w:type="dxa"/>
            <w:vAlign w:val="bottom"/>
          </w:tcPr>
          <w:p>
            <w:pPr>
              <w:spacing w:after="0"/>
              <w:rPr>
                <w:sz w:val="14"/>
                <w:szCs w:val="14"/>
                <w:color w:val="auto"/>
              </w:rPr>
            </w:pPr>
          </w:p>
        </w:tc>
        <w:tc>
          <w:tcPr>
            <w:tcW w:w="192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92"/>
              </w:rPr>
              <w:t>Measurement Period</w:t>
            </w:r>
          </w:p>
        </w:tc>
        <w:tc>
          <w:tcPr>
            <w:tcW w:w="42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4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80" w:type="dxa"/>
            <w:vAlign w:val="bottom"/>
            <w:gridSpan w:val="2"/>
          </w:tcPr>
          <w:p>
            <w:pPr>
              <w:jc w:val="center"/>
              <w:ind w:right="420"/>
              <w:spacing w:after="0" w:line="135" w:lineRule="exact"/>
              <w:rPr>
                <w:sz w:val="20"/>
                <w:szCs w:val="20"/>
                <w:color w:val="auto"/>
              </w:rPr>
            </w:pPr>
            <w:r>
              <w:rPr>
                <w:rFonts w:ascii="Arial" w:cs="Arial" w:eastAsia="Arial" w:hAnsi="Arial"/>
                <w:sz w:val="14"/>
                <w:szCs w:val="14"/>
                <w:b w:val="1"/>
                <w:bCs w:val="1"/>
                <w:color w:val="auto"/>
                <w:w w:val="95"/>
              </w:rPr>
              <w:t>May 1, 2021</w:t>
            </w:r>
          </w:p>
        </w:tc>
        <w:tc>
          <w:tcPr>
            <w:tcW w:w="220" w:type="dxa"/>
            <w:vAlign w:val="bottom"/>
          </w:tcPr>
          <w:p>
            <w:pPr>
              <w:spacing w:after="0"/>
              <w:rPr>
                <w:sz w:val="11"/>
                <w:szCs w:val="11"/>
                <w:color w:val="auto"/>
              </w:rPr>
            </w:pPr>
          </w:p>
        </w:tc>
        <w:tc>
          <w:tcPr>
            <w:tcW w:w="1920" w:type="dxa"/>
            <w:vAlign w:val="bottom"/>
            <w:gridSpan w:val="2"/>
            <w:vMerge w:val="continue"/>
          </w:tcPr>
          <w:p>
            <w:pPr>
              <w:spacing w:after="0"/>
              <w:rPr>
                <w:sz w:val="11"/>
                <w:szCs w:val="11"/>
                <w:color w:val="auto"/>
              </w:rPr>
            </w:pPr>
          </w:p>
        </w:tc>
        <w:tc>
          <w:tcPr>
            <w:tcW w:w="420" w:type="dxa"/>
            <w:vAlign w:val="bottom"/>
          </w:tcPr>
          <w:p>
            <w:pPr>
              <w:spacing w:after="0"/>
              <w:rPr>
                <w:sz w:val="11"/>
                <w:szCs w:val="11"/>
                <w:color w:val="auto"/>
              </w:rPr>
            </w:pPr>
          </w:p>
        </w:tc>
        <w:tc>
          <w:tcPr>
            <w:tcW w:w="1820" w:type="dxa"/>
            <w:vAlign w:val="bottom"/>
            <w:vMerge w:val="restart"/>
          </w:tcPr>
          <w:p>
            <w:pPr>
              <w:jc w:val="right"/>
              <w:ind w:right="631"/>
              <w:spacing w:after="0"/>
              <w:rPr>
                <w:sz w:val="20"/>
                <w:szCs w:val="20"/>
                <w:color w:val="auto"/>
              </w:rPr>
            </w:pPr>
            <w:r>
              <w:rPr>
                <w:rFonts w:ascii="Arial" w:cs="Arial" w:eastAsia="Arial" w:hAnsi="Arial"/>
                <w:sz w:val="14"/>
                <w:szCs w:val="14"/>
                <w:b w:val="1"/>
                <w:bCs w:val="1"/>
                <w:color w:val="auto"/>
              </w:rPr>
              <w:t>July 31, 2021</w:t>
            </w:r>
          </w:p>
        </w:tc>
        <w:tc>
          <w:tcPr>
            <w:tcW w:w="0" w:type="dxa"/>
            <w:vAlign w:val="bottom"/>
          </w:tcPr>
          <w:p>
            <w:pPr>
              <w:spacing w:after="0"/>
              <w:rPr>
                <w:sz w:val="1"/>
                <w:szCs w:val="1"/>
                <w:color w:val="auto"/>
              </w:rPr>
            </w:pPr>
          </w:p>
        </w:tc>
      </w:tr>
      <w:tr>
        <w:trPr>
          <w:trHeight w:val="188"/>
        </w:trPr>
        <w:tc>
          <w:tcPr>
            <w:tcW w:w="44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4"/>
              </w:rPr>
              <w:t>(Provisional)</w:t>
            </w:r>
          </w:p>
        </w:tc>
        <w:tc>
          <w:tcPr>
            <w:tcW w:w="220" w:type="dxa"/>
            <w:vAlign w:val="bottom"/>
          </w:tcPr>
          <w:p>
            <w:pPr>
              <w:spacing w:after="0"/>
              <w:rPr>
                <w:sz w:val="16"/>
                <w:szCs w:val="16"/>
                <w:color w:val="auto"/>
              </w:rPr>
            </w:pPr>
          </w:p>
        </w:tc>
        <w:tc>
          <w:tcPr>
            <w:tcW w:w="19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Adjustment</w:t>
            </w:r>
          </w:p>
        </w:tc>
        <w:tc>
          <w:tcPr>
            <w:tcW w:w="420" w:type="dxa"/>
            <w:vAlign w:val="bottom"/>
          </w:tcPr>
          <w:p>
            <w:pPr>
              <w:spacing w:after="0"/>
              <w:rPr>
                <w:sz w:val="16"/>
                <w:szCs w:val="16"/>
                <w:color w:val="auto"/>
              </w:rPr>
            </w:pPr>
          </w:p>
        </w:tc>
        <w:tc>
          <w:tcPr>
            <w:tcW w:w="18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4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30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72,251</w:t>
            </w:r>
          </w:p>
        </w:tc>
        <w:tc>
          <w:tcPr>
            <w:tcW w:w="14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420" w:type="dxa"/>
            <w:vAlign w:val="bottom"/>
            <w:tcBorders>
              <w:top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72,251</w:t>
            </w:r>
          </w:p>
        </w:tc>
        <w:tc>
          <w:tcPr>
            <w:tcW w:w="0" w:type="dxa"/>
            <w:vAlign w:val="bottom"/>
          </w:tcPr>
          <w:p>
            <w:pPr>
              <w:spacing w:after="0"/>
              <w:rPr>
                <w:sz w:val="1"/>
                <w:szCs w:val="1"/>
                <w:color w:val="auto"/>
              </w:rPr>
            </w:pPr>
          </w:p>
        </w:tc>
      </w:tr>
      <w:tr>
        <w:trPr>
          <w:trHeight w:val="229"/>
        </w:trPr>
        <w:tc>
          <w:tcPr>
            <w:tcW w:w="448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99,728</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99,728</w:t>
            </w:r>
          </w:p>
        </w:tc>
        <w:tc>
          <w:tcPr>
            <w:tcW w:w="0" w:type="dxa"/>
            <w:vAlign w:val="bottom"/>
          </w:tcPr>
          <w:p>
            <w:pPr>
              <w:spacing w:after="0"/>
              <w:rPr>
                <w:sz w:val="1"/>
                <w:szCs w:val="1"/>
                <w:color w:val="auto"/>
              </w:rPr>
            </w:pPr>
          </w:p>
        </w:tc>
      </w:tr>
      <w:tr>
        <w:trPr>
          <w:trHeight w:val="229"/>
        </w:trPr>
        <w:tc>
          <w:tcPr>
            <w:tcW w:w="4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270,382</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270,382</w:t>
            </w:r>
          </w:p>
        </w:tc>
        <w:tc>
          <w:tcPr>
            <w:tcW w:w="0" w:type="dxa"/>
            <w:vAlign w:val="bottom"/>
          </w:tcPr>
          <w:p>
            <w:pPr>
              <w:spacing w:after="0"/>
              <w:rPr>
                <w:sz w:val="1"/>
                <w:szCs w:val="1"/>
                <w:color w:val="auto"/>
              </w:rPr>
            </w:pPr>
          </w:p>
        </w:tc>
      </w:tr>
      <w:tr>
        <w:trPr>
          <w:trHeight w:val="230"/>
        </w:trPr>
        <w:tc>
          <w:tcPr>
            <w:tcW w:w="448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213,292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213,292</w:t>
            </w:r>
          </w:p>
        </w:tc>
        <w:tc>
          <w:tcPr>
            <w:tcW w:w="0" w:type="dxa"/>
            <w:vAlign w:val="bottom"/>
          </w:tcPr>
          <w:p>
            <w:pPr>
              <w:spacing w:after="0"/>
              <w:rPr>
                <w:sz w:val="1"/>
                <w:szCs w:val="1"/>
                <w:color w:val="auto"/>
              </w:rPr>
            </w:pPr>
          </w:p>
        </w:tc>
      </w:tr>
      <w:tr>
        <w:trPr>
          <w:trHeight w:val="229"/>
        </w:trPr>
        <w:tc>
          <w:tcPr>
            <w:tcW w:w="4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98,528</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98,528</w:t>
            </w:r>
          </w:p>
        </w:tc>
        <w:tc>
          <w:tcPr>
            <w:tcW w:w="0" w:type="dxa"/>
            <w:vAlign w:val="bottom"/>
          </w:tcPr>
          <w:p>
            <w:pPr>
              <w:spacing w:after="0"/>
              <w:rPr>
                <w:sz w:val="1"/>
                <w:szCs w:val="1"/>
                <w:color w:val="auto"/>
              </w:rPr>
            </w:pPr>
          </w:p>
        </w:tc>
      </w:tr>
      <w:tr>
        <w:trPr>
          <w:trHeight w:val="229"/>
        </w:trPr>
        <w:tc>
          <w:tcPr>
            <w:tcW w:w="448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4,420,000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4,420,000</w:t>
            </w:r>
          </w:p>
        </w:tc>
        <w:tc>
          <w:tcPr>
            <w:tcW w:w="0" w:type="dxa"/>
            <w:vAlign w:val="bottom"/>
          </w:tcPr>
          <w:p>
            <w:pPr>
              <w:spacing w:after="0"/>
              <w:rPr>
                <w:sz w:val="1"/>
                <w:szCs w:val="1"/>
                <w:color w:val="auto"/>
              </w:rPr>
            </w:pPr>
          </w:p>
        </w:tc>
      </w:tr>
      <w:tr>
        <w:trPr>
          <w:trHeight w:val="230"/>
        </w:trPr>
        <w:tc>
          <w:tcPr>
            <w:tcW w:w="4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145,856</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145,856</w:t>
            </w:r>
          </w:p>
        </w:tc>
        <w:tc>
          <w:tcPr>
            <w:tcW w:w="0" w:type="dxa"/>
            <w:vAlign w:val="bottom"/>
          </w:tcPr>
          <w:p>
            <w:pPr>
              <w:spacing w:after="0"/>
              <w:rPr>
                <w:sz w:val="1"/>
                <w:szCs w:val="1"/>
                <w:color w:val="auto"/>
              </w:rPr>
            </w:pPr>
          </w:p>
        </w:tc>
      </w:tr>
      <w:tr>
        <w:trPr>
          <w:trHeight w:val="229"/>
        </w:trPr>
        <w:tc>
          <w:tcPr>
            <w:tcW w:w="4480" w:type="dxa"/>
            <w:vAlign w:val="bottom"/>
          </w:tcPr>
          <w:p>
            <w:pPr>
              <w:ind w:left="20"/>
              <w:spacing w:after="0"/>
              <w:rPr>
                <w:sz w:val="20"/>
                <w:szCs w:val="20"/>
                <w:color w:val="auto"/>
              </w:rPr>
            </w:pPr>
            <w:r>
              <w:rPr>
                <w:rFonts w:ascii="Arial" w:cs="Arial" w:eastAsia="Arial" w:hAnsi="Arial"/>
                <w:sz w:val="18"/>
                <w:szCs w:val="18"/>
                <w:color w:val="auto"/>
              </w:rPr>
              <w:t>Goodwill</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5,628,705</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10,778</w:t>
            </w: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5,639,483</w:t>
            </w:r>
          </w:p>
        </w:tc>
        <w:tc>
          <w:tcPr>
            <w:tcW w:w="0" w:type="dxa"/>
            <w:vAlign w:val="bottom"/>
          </w:tcPr>
          <w:p>
            <w:pPr>
              <w:spacing w:after="0"/>
              <w:rPr>
                <w:sz w:val="1"/>
                <w:szCs w:val="1"/>
                <w:color w:val="auto"/>
              </w:rPr>
            </w:pPr>
          </w:p>
        </w:tc>
      </w:tr>
      <w:tr>
        <w:trPr>
          <w:trHeight w:val="230"/>
        </w:trPr>
        <w:tc>
          <w:tcPr>
            <w:tcW w:w="4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(189,807)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(189,807)</w:t>
            </w:r>
          </w:p>
        </w:tc>
        <w:tc>
          <w:tcPr>
            <w:tcW w:w="0" w:type="dxa"/>
            <w:vAlign w:val="bottom"/>
          </w:tcPr>
          <w:p>
            <w:pPr>
              <w:spacing w:after="0"/>
              <w:rPr>
                <w:sz w:val="1"/>
                <w:szCs w:val="1"/>
                <w:color w:val="auto"/>
              </w:rPr>
            </w:pPr>
          </w:p>
        </w:tc>
      </w:tr>
      <w:tr>
        <w:trPr>
          <w:trHeight w:val="229"/>
        </w:trPr>
        <w:tc>
          <w:tcPr>
            <w:tcW w:w="448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(313,664)</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(313,664)</w:t>
            </w:r>
          </w:p>
        </w:tc>
        <w:tc>
          <w:tcPr>
            <w:tcW w:w="0" w:type="dxa"/>
            <w:vAlign w:val="bottom"/>
          </w:tcPr>
          <w:p>
            <w:pPr>
              <w:spacing w:after="0"/>
              <w:rPr>
                <w:sz w:val="1"/>
                <w:szCs w:val="1"/>
                <w:color w:val="auto"/>
              </w:rPr>
            </w:pPr>
          </w:p>
        </w:tc>
      </w:tr>
      <w:tr>
        <w:trPr>
          <w:trHeight w:val="229"/>
        </w:trPr>
        <w:tc>
          <w:tcPr>
            <w:tcW w:w="4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(240,317)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(240,317)</w:t>
            </w:r>
          </w:p>
        </w:tc>
        <w:tc>
          <w:tcPr>
            <w:tcW w:w="0" w:type="dxa"/>
            <w:vAlign w:val="bottom"/>
          </w:tcPr>
          <w:p>
            <w:pPr>
              <w:spacing w:after="0"/>
              <w:rPr>
                <w:sz w:val="1"/>
                <w:szCs w:val="1"/>
                <w:color w:val="auto"/>
              </w:rPr>
            </w:pPr>
          </w:p>
        </w:tc>
      </w:tr>
      <w:tr>
        <w:trPr>
          <w:trHeight w:val="230"/>
        </w:trPr>
        <w:tc>
          <w:tcPr>
            <w:tcW w:w="44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liabilities</w:t>
            </w:r>
          </w:p>
        </w:tc>
        <w:tc>
          <w:tcPr>
            <w:tcW w:w="300" w:type="dxa"/>
            <w:vAlign w:val="bottom"/>
            <w:tcBorders>
              <w:bottom w:val="single" w:sz="8" w:color="auto"/>
            </w:tcBorders>
          </w:tcPr>
          <w:p>
            <w:pPr>
              <w:spacing w:after="0"/>
              <w:rPr>
                <w:sz w:val="19"/>
                <w:szCs w:val="19"/>
                <w:color w:val="auto"/>
              </w:rPr>
            </w:pPr>
          </w:p>
        </w:tc>
        <w:tc>
          <w:tcPr>
            <w:tcW w:w="1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(287,425)</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(10,778)</w:t>
            </w:r>
          </w:p>
        </w:tc>
        <w:tc>
          <w:tcPr>
            <w:tcW w:w="140" w:type="dxa"/>
            <w:vAlign w:val="bottom"/>
            <w:tcBorders>
              <w:bottom w:val="single" w:sz="8" w:color="CCEEFF"/>
            </w:tcBorders>
          </w:tcPr>
          <w:p>
            <w:pPr>
              <w:spacing w:after="0"/>
              <w:rPr>
                <w:sz w:val="19"/>
                <w:szCs w:val="19"/>
                <w:color w:val="auto"/>
              </w:rPr>
            </w:pPr>
          </w:p>
        </w:tc>
        <w:tc>
          <w:tcPr>
            <w:tcW w:w="420" w:type="dxa"/>
            <w:vAlign w:val="bottom"/>
            <w:tcBorders>
              <w:bottom w:val="single" w:sz="8" w:color="auto"/>
            </w:tcBorders>
          </w:tcPr>
          <w:p>
            <w:pPr>
              <w:spacing w:after="0"/>
              <w:rPr>
                <w:sz w:val="19"/>
                <w:szCs w:val="19"/>
                <w:color w:val="auto"/>
              </w:rPr>
            </w:pPr>
          </w:p>
        </w:tc>
        <w:tc>
          <w:tcPr>
            <w:tcW w:w="1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(298,203)</w:t>
            </w:r>
          </w:p>
        </w:tc>
        <w:tc>
          <w:tcPr>
            <w:tcW w:w="0" w:type="dxa"/>
            <w:vAlign w:val="bottom"/>
          </w:tcPr>
          <w:p>
            <w:pPr>
              <w:spacing w:after="0"/>
              <w:rPr>
                <w:sz w:val="1"/>
                <w:szCs w:val="1"/>
                <w:color w:val="auto"/>
              </w:rPr>
            </w:pPr>
          </w:p>
        </w:tc>
      </w:tr>
      <w:tr>
        <w:trPr>
          <w:trHeight w:val="248"/>
        </w:trPr>
        <w:tc>
          <w:tcPr>
            <w:tcW w:w="44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7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CCEEFF"/>
              <w:bottom w:val="single" w:sz="8" w:color="auto"/>
            </w:tcBorders>
          </w:tcPr>
          <w:p>
            <w:pPr>
              <w:spacing w:after="0" w:line="20" w:lineRule="exact"/>
              <w:rPr>
                <w:sz w:val="1"/>
                <w:szCs w:val="1"/>
                <w:color w:val="auto"/>
              </w:rPr>
            </w:pPr>
          </w:p>
        </w:tc>
        <w:tc>
          <w:tcPr>
            <w:tcW w:w="18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jc w:val="both"/>
        <w:ind w:right="20" w:firstLine="405"/>
        <w:spacing w:after="0" w:line="231" w:lineRule="auto"/>
        <w:rPr>
          <w:sz w:val="20"/>
          <w:szCs w:val="20"/>
          <w:color w:val="auto"/>
        </w:rPr>
      </w:pPr>
      <w:r>
        <w:rPr>
          <w:rFonts w:ascii="Arial" w:cs="Arial" w:eastAsia="Arial" w:hAnsi="Arial"/>
          <w:sz w:val="18"/>
          <w:szCs w:val="18"/>
          <w:color w:val="auto"/>
        </w:rPr>
        <w:t>The provisional amounts presented in the table above pertained to the preliminary purchase price allocation reported in the Company’s Form 10-Q for the first quarter ended May 1, 2021. The measurement period adjustment was associated with deferred tax liabilities on certain purchased intangible assets. The Company does not believe that the measurement period adjustment had a material impact on its consolidated statements of operations, balance sheets, or cash flows in any periods previously reported.</w:t>
      </w:r>
    </w:p>
    <w:p>
      <w:pPr>
        <w:spacing w:after="0" w:line="216"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The Company incurred $5.0 million and $50.8 million in acquisition related costs which were recorded in selling, general and administrative expense in the unaudited condensed consolidated statements of operations for the three and six months ended July 31, 2021, respectively. The Company also incurred $39.8 million of aggregate debt financing costs. As of July 31, 2021, $2.5 million is included in short-term debt, and $35.1 million is included in long-term debt on the accompanying unaudited condensed consolidated balance sheets. See “Note 5 - Debt” for additional information. Additionally, the Company incurred $8.2 million of equity issuance costs, which were recorded in additional paid-in capital in the unaudited condensed consolidated balance sheets.</w:t>
      </w:r>
    </w:p>
    <w:p>
      <w:pPr>
        <w:spacing w:after="0" w:line="216"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Post acquisition revenue and income (loss) on a standalone basis is impracticable to determine as the Company integrated Inphi into its existing systems and operations in the second quarter ended July 31, 2021.</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Inphi had been acquired as of the beginning of fiscal year 2021.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2021, non-recurring pro forma adjustments directly attributable to the Inphi acquisition in the pro forma information presented below included (i) share-based compensation expense of $43.8 million, (ii) the purchase accounting effect of inventories acquired of $187.2 million, (iii) interest expense of $11.4 million, and (iv) transaction costs of $69.0 million. The unaudited supplemental pro forma information presented below is for informational purposes only and is not necessarily indicative of our unaudited condensed consolidated results of operations of the combined business had the Inphi acquisition actually occurred at the beginning of fiscal year 2021 or of the results of our future operations of the combined business.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40" w:type="dxa"/>
            <w:vAlign w:val="bottom"/>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4220" w:type="dxa"/>
            <w:vAlign w:val="bottom"/>
            <w:tcBorders>
              <w:bottom w:val="single" w:sz="8" w:color="auto"/>
            </w:tcBorders>
            <w:gridSpan w:val="3"/>
          </w:tcPr>
          <w:p>
            <w:pPr>
              <w:jc w:val="right"/>
              <w:ind w:right="490"/>
              <w:spacing w:after="0"/>
              <w:rPr>
                <w:sz w:val="20"/>
                <w:szCs w:val="20"/>
                <w:color w:val="auto"/>
              </w:rPr>
            </w:pPr>
            <w:r>
              <w:rPr>
                <w:rFonts w:ascii="Arial" w:cs="Arial" w:eastAsia="Arial" w:hAnsi="Arial"/>
                <w:sz w:val="14"/>
                <w:szCs w:val="14"/>
                <w:b w:val="1"/>
                <w:bCs w:val="1"/>
                <w:color w:val="auto"/>
              </w:rPr>
              <w:t>Six Months Ended</w:t>
            </w:r>
          </w:p>
        </w:tc>
        <w:tc>
          <w:tcPr>
            <w:tcW w:w="2700" w:type="dxa"/>
            <w:vAlign w:val="bottom"/>
            <w:tcBorders>
              <w:bottom w:val="single" w:sz="8" w:color="auto"/>
            </w:tcBorders>
          </w:tcPr>
          <w:p>
            <w:pPr>
              <w:spacing w:after="0"/>
              <w:rPr>
                <w:sz w:val="16"/>
                <w:szCs w:val="16"/>
                <w:color w:val="auto"/>
              </w:rPr>
            </w:pPr>
          </w:p>
        </w:tc>
      </w:tr>
      <w:tr>
        <w:trPr>
          <w:trHeight w:val="135"/>
        </w:trPr>
        <w:tc>
          <w:tcPr>
            <w:tcW w:w="31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940" w:type="dxa"/>
            <w:vAlign w:val="bottom"/>
            <w:gridSpan w:val="2"/>
          </w:tcPr>
          <w:p>
            <w:pPr>
              <w:ind w:left="780"/>
              <w:spacing w:after="0" w:line="135" w:lineRule="exact"/>
              <w:rPr>
                <w:sz w:val="20"/>
                <w:szCs w:val="20"/>
                <w:color w:val="auto"/>
              </w:rPr>
            </w:pPr>
            <w:r>
              <w:rPr>
                <w:rFonts w:ascii="Arial" w:cs="Arial" w:eastAsia="Arial" w:hAnsi="Arial"/>
                <w:sz w:val="14"/>
                <w:szCs w:val="14"/>
                <w:b w:val="1"/>
                <w:bCs w:val="1"/>
                <w:color w:val="auto"/>
              </w:rPr>
              <w:t>July 31,</w:t>
            </w:r>
          </w:p>
        </w:tc>
        <w:tc>
          <w:tcPr>
            <w:tcW w:w="1280" w:type="dxa"/>
            <w:vAlign w:val="bottom"/>
          </w:tcPr>
          <w:p>
            <w:pPr>
              <w:spacing w:after="0"/>
              <w:rPr>
                <w:sz w:val="11"/>
                <w:szCs w:val="11"/>
                <w:color w:val="auto"/>
              </w:rPr>
            </w:pPr>
          </w:p>
        </w:tc>
        <w:tc>
          <w:tcPr>
            <w:tcW w:w="2700" w:type="dxa"/>
            <w:vAlign w:val="bottom"/>
          </w:tcPr>
          <w:p>
            <w:pPr>
              <w:jc w:val="right"/>
              <w:ind w:right="1419"/>
              <w:spacing w:after="0" w:line="135" w:lineRule="exact"/>
              <w:rPr>
                <w:sz w:val="20"/>
                <w:szCs w:val="20"/>
                <w:color w:val="auto"/>
              </w:rPr>
            </w:pPr>
            <w:r>
              <w:rPr>
                <w:rFonts w:ascii="Arial" w:cs="Arial" w:eastAsia="Arial" w:hAnsi="Arial"/>
                <w:sz w:val="14"/>
                <w:szCs w:val="14"/>
                <w:b w:val="1"/>
                <w:bCs w:val="1"/>
                <w:color w:val="auto"/>
              </w:rPr>
              <w:t>August 1,</w:t>
            </w:r>
          </w:p>
        </w:tc>
      </w:tr>
      <w:tr>
        <w:trPr>
          <w:trHeight w:val="188"/>
        </w:trPr>
        <w:tc>
          <w:tcPr>
            <w:tcW w:w="3140" w:type="dxa"/>
            <w:vAlign w:val="bottom"/>
            <w:tcBorders>
              <w:bottom w:val="single" w:sz="8" w:color="CCEEFF"/>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tcPr>
          <w:p>
            <w:pPr>
              <w:jc w:val="right"/>
              <w:ind w:right="1761"/>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tcPr>
          <w:p>
            <w:pPr>
              <w:jc w:val="right"/>
              <w:ind w:right="1759"/>
              <w:spacing w:after="0"/>
              <w:rPr>
                <w:sz w:val="20"/>
                <w:szCs w:val="20"/>
                <w:color w:val="auto"/>
              </w:rPr>
            </w:pPr>
            <w:r>
              <w:rPr>
                <w:rFonts w:ascii="Arial" w:cs="Arial" w:eastAsia="Arial" w:hAnsi="Arial"/>
                <w:sz w:val="14"/>
                <w:szCs w:val="14"/>
                <w:b w:val="1"/>
                <w:bCs w:val="1"/>
                <w:color w:val="auto"/>
              </w:rPr>
              <w:t>2020</w:t>
            </w:r>
          </w:p>
        </w:tc>
      </w:tr>
      <w:tr>
        <w:trPr>
          <w:trHeight w:val="224"/>
        </w:trPr>
        <w:tc>
          <w:tcPr>
            <w:tcW w:w="31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Pro forma net revenue</w:t>
            </w:r>
          </w:p>
        </w:tc>
        <w:tc>
          <w:tcPr>
            <w:tcW w:w="1180" w:type="dxa"/>
            <w:vAlign w:val="bottom"/>
            <w:shd w:val="clear" w:color="auto" w:fill="CCEEFF"/>
          </w:tcPr>
          <w:p>
            <w:pPr>
              <w:jc w:val="right"/>
              <w:ind w:right="570"/>
              <w:spacing w:after="0"/>
              <w:rPr>
                <w:sz w:val="20"/>
                <w:szCs w:val="20"/>
                <w:color w:val="auto"/>
              </w:rPr>
            </w:pPr>
            <w:r>
              <w:rPr>
                <w:rFonts w:ascii="Arial" w:cs="Arial" w:eastAsia="Arial" w:hAnsi="Arial"/>
                <w:sz w:val="18"/>
                <w:szCs w:val="18"/>
                <w:color w:val="auto"/>
              </w:rPr>
              <w:t>$</w:t>
            </w:r>
          </w:p>
        </w:tc>
        <w:tc>
          <w:tcPr>
            <w:tcW w:w="2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2,058,224</w:t>
            </w:r>
          </w:p>
        </w:tc>
        <w:tc>
          <w:tcPr>
            <w:tcW w:w="140" w:type="dxa"/>
            <w:vAlign w:val="bottom"/>
            <w:shd w:val="clear" w:color="auto" w:fill="CCEEFF"/>
          </w:tcPr>
          <w:p>
            <w:pPr>
              <w:spacing w:after="0"/>
              <w:rPr>
                <w:sz w:val="19"/>
                <w:szCs w:val="19"/>
                <w:color w:val="auto"/>
              </w:rPr>
            </w:pPr>
          </w:p>
        </w:tc>
        <w:tc>
          <w:tcPr>
            <w:tcW w:w="1280" w:type="dxa"/>
            <w:vAlign w:val="bottom"/>
            <w:shd w:val="clear" w:color="auto" w:fill="CCEEFF"/>
          </w:tcPr>
          <w:p>
            <w:pPr>
              <w:jc w:val="right"/>
              <w:ind w:right="670"/>
              <w:spacing w:after="0"/>
              <w:rPr>
                <w:sz w:val="20"/>
                <w:szCs w:val="20"/>
                <w:color w:val="auto"/>
              </w:rPr>
            </w:pPr>
            <w:r>
              <w:rPr>
                <w:rFonts w:ascii="Arial" w:cs="Arial" w:eastAsia="Arial" w:hAnsi="Arial"/>
                <w:sz w:val="18"/>
                <w:szCs w:val="18"/>
                <w:color w:val="auto"/>
              </w:rPr>
              <w:t>$</w:t>
            </w:r>
          </w:p>
        </w:tc>
        <w:tc>
          <w:tcPr>
            <w:tcW w:w="2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1,735,660</w:t>
            </w:r>
          </w:p>
        </w:tc>
      </w:tr>
      <w:tr>
        <w:trPr>
          <w:trHeight w:val="230"/>
        </w:trPr>
        <w:tc>
          <w:tcPr>
            <w:tcW w:w="3140" w:type="dxa"/>
            <w:vAlign w:val="bottom"/>
          </w:tcPr>
          <w:p>
            <w:pPr>
              <w:ind w:left="440"/>
              <w:spacing w:after="0"/>
              <w:rPr>
                <w:sz w:val="20"/>
                <w:szCs w:val="20"/>
                <w:color w:val="auto"/>
              </w:rPr>
            </w:pPr>
            <w:r>
              <w:rPr>
                <w:rFonts w:ascii="Arial" w:cs="Arial" w:eastAsia="Arial" w:hAnsi="Arial"/>
                <w:sz w:val="18"/>
                <w:szCs w:val="18"/>
                <w:color w:val="auto"/>
              </w:rPr>
              <w:t>Pro forma net loss</w:t>
            </w:r>
          </w:p>
        </w:tc>
        <w:tc>
          <w:tcPr>
            <w:tcW w:w="1180" w:type="dxa"/>
            <w:vAlign w:val="bottom"/>
          </w:tcPr>
          <w:p>
            <w:pPr>
              <w:jc w:val="right"/>
              <w:ind w:right="570"/>
              <w:spacing w:after="0"/>
              <w:rPr>
                <w:sz w:val="20"/>
                <w:szCs w:val="20"/>
                <w:color w:val="auto"/>
              </w:rPr>
            </w:pPr>
            <w:r>
              <w:rPr>
                <w:rFonts w:ascii="Arial" w:cs="Arial" w:eastAsia="Arial" w:hAnsi="Arial"/>
                <w:sz w:val="18"/>
                <w:szCs w:val="18"/>
                <w:color w:val="auto"/>
              </w:rPr>
              <w:t>$</w:t>
            </w:r>
          </w:p>
        </w:tc>
        <w:tc>
          <w:tcPr>
            <w:tcW w:w="2800" w:type="dxa"/>
            <w:vAlign w:val="bottom"/>
          </w:tcPr>
          <w:p>
            <w:pPr>
              <w:jc w:val="right"/>
              <w:spacing w:after="0"/>
              <w:rPr>
                <w:sz w:val="20"/>
                <w:szCs w:val="20"/>
                <w:color w:val="auto"/>
              </w:rPr>
            </w:pPr>
            <w:r>
              <w:rPr>
                <w:rFonts w:ascii="Arial" w:cs="Arial" w:eastAsia="Arial" w:hAnsi="Arial"/>
                <w:sz w:val="18"/>
                <w:szCs w:val="18"/>
                <w:color w:val="auto"/>
              </w:rPr>
              <w:t>(191,740)</w:t>
            </w:r>
          </w:p>
        </w:tc>
        <w:tc>
          <w:tcPr>
            <w:tcW w:w="140" w:type="dxa"/>
            <w:vAlign w:val="bottom"/>
          </w:tcPr>
          <w:p>
            <w:pPr>
              <w:spacing w:after="0"/>
              <w:rPr>
                <w:sz w:val="20"/>
                <w:szCs w:val="20"/>
                <w:color w:val="auto"/>
              </w:rPr>
            </w:pPr>
          </w:p>
        </w:tc>
        <w:tc>
          <w:tcPr>
            <w:tcW w:w="1280" w:type="dxa"/>
            <w:vAlign w:val="bottom"/>
          </w:tcPr>
          <w:p>
            <w:pPr>
              <w:jc w:val="right"/>
              <w:ind w:right="670"/>
              <w:spacing w:after="0"/>
              <w:rPr>
                <w:sz w:val="20"/>
                <w:szCs w:val="20"/>
                <w:color w:val="auto"/>
              </w:rPr>
            </w:pPr>
            <w:r>
              <w:rPr>
                <w:rFonts w:ascii="Arial" w:cs="Arial" w:eastAsia="Arial" w:hAnsi="Arial"/>
                <w:sz w:val="18"/>
                <w:szCs w:val="18"/>
                <w:color w:val="auto"/>
              </w:rPr>
              <w:t>$</w:t>
            </w:r>
          </w:p>
        </w:tc>
        <w:tc>
          <w:tcPr>
            <w:tcW w:w="2700" w:type="dxa"/>
            <w:vAlign w:val="bottom"/>
          </w:tcPr>
          <w:p>
            <w:pPr>
              <w:jc w:val="right"/>
              <w:spacing w:after="0"/>
              <w:rPr>
                <w:sz w:val="20"/>
                <w:szCs w:val="20"/>
                <w:color w:val="auto"/>
              </w:rPr>
            </w:pPr>
            <w:r>
              <w:rPr>
                <w:rFonts w:ascii="Arial" w:cs="Arial" w:eastAsia="Arial" w:hAnsi="Arial"/>
                <w:sz w:val="18"/>
                <w:szCs w:val="18"/>
                <w:color w:val="auto"/>
              </w:rPr>
              <w:t>(918,576)</w:t>
            </w:r>
          </w:p>
        </w:tc>
      </w:tr>
    </w:tbl>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July 31, 2021 and January 30, 2021 is $11.0 billion and $5.3 billion respectively. See “Note 3 - Business Combination” for discussion of acquisitions and changes to the carrying value of goodwill.</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firstLine="405"/>
        <w:spacing w:after="0" w:line="253" w:lineRule="auto"/>
        <w:rPr>
          <w:sz w:val="20"/>
          <w:szCs w:val="20"/>
          <w:color w:val="auto"/>
        </w:rPr>
      </w:pPr>
      <w:r>
        <w:rPr>
          <w:rFonts w:ascii="Arial" w:cs="Arial" w:eastAsia="Arial" w:hAnsi="Arial"/>
          <w:sz w:val="18"/>
          <w:szCs w:val="18"/>
          <w:color w:val="auto"/>
        </w:rPr>
        <w:t>In connection with the Inphi acquisition on April 20, 2021, the Company acquired $4.4 billion of intangible assets as follows (in thousands, except for weighted-average useful life as of acquisition date):</w:t>
      </w:r>
    </w:p>
    <w:tbl>
      <w:tblPr>
        <w:tblLayout w:type="fixed"/>
        <w:tblInd w:w="0" w:type="dxa"/>
        <w:tblCellMar>
          <w:top w:w="0" w:type="dxa"/>
          <w:left w:w="0" w:type="dxa"/>
          <w:bottom w:w="0" w:type="dxa"/>
          <w:right w:w="0" w:type="dxa"/>
        </w:tblCellMar>
      </w:tblPr>
      <w:tr>
        <w:trPr>
          <w:trHeight w:val="145"/>
        </w:trPr>
        <w:tc>
          <w:tcPr>
            <w:tcW w:w="5440" w:type="dxa"/>
            <w:vAlign w:val="bottom"/>
          </w:tcPr>
          <w:p>
            <w:pPr>
              <w:spacing w:after="0"/>
              <w:rPr>
                <w:sz w:val="12"/>
                <w:szCs w:val="12"/>
                <w:color w:val="auto"/>
              </w:rPr>
            </w:pPr>
          </w:p>
        </w:tc>
        <w:tc>
          <w:tcPr>
            <w:tcW w:w="326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Preliminary Estimated Asset Fair Value</w:t>
            </w: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88"/>
        </w:trPr>
        <w:tc>
          <w:tcPr>
            <w:tcW w:w="5440" w:type="dxa"/>
            <w:vAlign w:val="bottom"/>
            <w:tcBorders>
              <w:bottom w:val="single" w:sz="8" w:color="CCEEFF"/>
            </w:tcBorders>
          </w:tcPr>
          <w:p>
            <w:pPr>
              <w:spacing w:after="0"/>
              <w:rPr>
                <w:sz w:val="16"/>
                <w:szCs w:val="16"/>
                <w:color w:val="auto"/>
              </w:rPr>
            </w:pPr>
          </w:p>
        </w:tc>
        <w:tc>
          <w:tcPr>
            <w:tcW w:w="3260" w:type="dxa"/>
            <w:vAlign w:val="bottom"/>
            <w:tcBorders>
              <w:bottom w:val="single" w:sz="8" w:color="auto"/>
            </w:tcBorders>
            <w:vMerge w:val="continue"/>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24"/>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260" w:type="dxa"/>
            <w:vAlign w:val="bottom"/>
            <w:shd w:val="clear" w:color="auto" w:fill="CCEEFF"/>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2,010,000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30"/>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87"/>
              </w:rPr>
              <w:t>1,470,000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326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0.80</w:t>
            </w:r>
          </w:p>
        </w:tc>
        <w:tc>
          <w:tcPr>
            <w:tcW w:w="0" w:type="dxa"/>
            <w:vAlign w:val="bottom"/>
          </w:tcPr>
          <w:p>
            <w:pPr>
              <w:spacing w:after="0"/>
              <w:rPr>
                <w:sz w:val="1"/>
                <w:szCs w:val="1"/>
                <w:color w:val="auto"/>
              </w:rPr>
            </w:pPr>
          </w:p>
        </w:tc>
      </w:tr>
      <w:tr>
        <w:trPr>
          <w:trHeight w:val="230"/>
        </w:trPr>
        <w:tc>
          <w:tcPr>
            <w:tcW w:w="5440" w:type="dxa"/>
            <w:vAlign w:val="bottom"/>
          </w:tcPr>
          <w:p>
            <w:pPr>
              <w:ind w:left="20"/>
              <w:spacing w:after="0"/>
              <w:rPr>
                <w:sz w:val="20"/>
                <w:szCs w:val="20"/>
                <w:color w:val="auto"/>
              </w:rPr>
            </w:pPr>
            <w:r>
              <w:rPr>
                <w:rFonts w:ascii="Arial" w:cs="Arial" w:eastAsia="Arial" w:hAnsi="Arial"/>
                <w:sz w:val="18"/>
                <w:szCs w:val="18"/>
                <w:color w:val="auto"/>
              </w:rPr>
              <w:t>Trade name</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26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260" w:type="dxa"/>
            <w:vAlign w:val="bottom"/>
            <w:tcBorders>
              <w:bottom w:val="single" w:sz="8" w:color="auto"/>
            </w:tcBorders>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4,420,000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40" w:type="dxa"/>
            <w:vAlign w:val="bottom"/>
          </w:tcPr>
          <w:p>
            <w:pPr>
              <w:spacing w:after="0" w:line="20" w:lineRule="exact"/>
              <w:rPr>
                <w:sz w:val="1"/>
                <w:szCs w:val="1"/>
                <w:color w:val="auto"/>
              </w:rPr>
            </w:pPr>
          </w:p>
        </w:tc>
        <w:tc>
          <w:tcPr>
            <w:tcW w:w="32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right="100" w:firstLine="405"/>
        <w:spacing w:after="0" w:line="261"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acquired a total of $3.3 billion of intangible assets.</w:t>
      </w:r>
    </w:p>
    <w:p>
      <w:pPr>
        <w:spacing w:after="0" w:line="198"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As of July 31, 2021 and January 30, 2021, net carrying amounts are as follows (in thousands, except for weighted-average remaining amortization period):</w:t>
      </w:r>
    </w:p>
    <w:p>
      <w:pPr>
        <w:spacing w:after="0" w:line="200" w:lineRule="exact"/>
        <w:rPr>
          <w:sz w:val="20"/>
          <w:szCs w:val="20"/>
          <w:color w:val="auto"/>
        </w:rPr>
      </w:pP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674"/>
              <w:spacing w:after="0"/>
              <w:rPr>
                <w:sz w:val="20"/>
                <w:szCs w:val="20"/>
                <w:color w:val="auto"/>
              </w:rPr>
            </w:pPr>
            <w:r>
              <w:rPr>
                <w:rFonts w:ascii="Arial" w:cs="Arial" w:eastAsia="Arial" w:hAnsi="Arial"/>
                <w:sz w:val="14"/>
                <w:szCs w:val="14"/>
                <w:b w:val="1"/>
                <w:bCs w:val="1"/>
                <w:color w:val="auto"/>
              </w:rPr>
              <w:t>July 31, 2021</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4,466,000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(985,280)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3,480,720</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5.44</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2,113,000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(343,587)</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1,769,413</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5.60</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(24,122)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45,878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0.53</w:t>
            </w:r>
          </w:p>
        </w:tc>
        <w:tc>
          <w:tcPr>
            <w:tcW w:w="0" w:type="dxa"/>
            <w:vAlign w:val="bottom"/>
          </w:tcPr>
          <w:p>
            <w:pPr>
              <w:spacing w:after="0"/>
              <w:rPr>
                <w:sz w:val="1"/>
                <w:szCs w:val="1"/>
                <w:color w:val="auto"/>
              </w:rPr>
            </w:pPr>
          </w:p>
        </w:tc>
      </w:tr>
      <w:tr>
        <w:trPr>
          <w:trHeight w:val="230"/>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73,000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(19,623)</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53,377</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4.40</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6,722,000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(1,372,612)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5,349,388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5.44</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936,000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936,000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7,658,000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(1,372,612)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6,285,388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00" w:type="dxa"/>
            <w:vAlign w:val="bottom"/>
            <w:tcBorders>
              <w:top w:val="single" w:sz="8" w:color="CCEEFF"/>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7"/>
        </w:trPr>
        <w:tc>
          <w:tcPr>
            <w:tcW w:w="538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52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January 30, 2021</w:t>
            </w:r>
          </w:p>
        </w:tc>
        <w:tc>
          <w:tcPr>
            <w:tcW w:w="12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4"/>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2,454,000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(724,215)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1,729,785</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(228,845)</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414,155</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5.62</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(14,240)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8,760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2.20</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3,120,000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2,152,700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2,270,700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right="660" w:firstLine="405"/>
        <w:spacing w:after="0" w:line="248" w:lineRule="auto"/>
        <w:rPr>
          <w:sz w:val="20"/>
          <w:szCs w:val="20"/>
          <w:color w:val="auto"/>
        </w:rPr>
      </w:pPr>
      <w:r>
        <w:rPr>
          <w:rFonts w:ascii="Arial" w:cs="Arial" w:eastAsia="Arial" w:hAnsi="Arial"/>
          <w:sz w:val="18"/>
          <w:szCs w:val="18"/>
          <w:color w:val="auto"/>
        </w:rPr>
        <w:t>Amortization expense for acquired intangible assets for the three and six months ended July 31, 2021 was $276.7 million and $405.3 million, respectively. Amortization expense for acquired intangible assets for the three and six months ended August 1, 2020 was $111.6 million and $224.5 million, respectively.</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July 31, 2021 (in thousands):</w:t>
      </w: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40" w:type="dxa"/>
            <w:vAlign w:val="bottom"/>
            <w:gridSpan w:val="2"/>
          </w:tcPr>
          <w:p>
            <w:pPr>
              <w:ind w:left="440"/>
              <w:spacing w:after="0"/>
              <w:rPr>
                <w:sz w:val="20"/>
                <w:szCs w:val="20"/>
                <w:color w:val="auto"/>
              </w:rPr>
            </w:pPr>
            <w:r>
              <w:rPr>
                <w:rFonts w:ascii="Arial" w:cs="Arial" w:eastAsia="Arial" w:hAnsi="Arial"/>
                <w:sz w:val="14"/>
                <w:szCs w:val="14"/>
                <w:b w:val="1"/>
                <w:bCs w:val="1"/>
                <w:color w:val="auto"/>
              </w:rPr>
              <w:t>Fiscal Year</w:t>
            </w:r>
          </w:p>
        </w:tc>
        <w:tc>
          <w:tcPr>
            <w:tcW w:w="1220" w:type="dxa"/>
            <w:vAlign w:val="bottom"/>
          </w:tcPr>
          <w:p>
            <w:pPr>
              <w:spacing w:after="0"/>
              <w:rPr>
                <w:sz w:val="16"/>
                <w:szCs w:val="16"/>
                <w:color w:val="auto"/>
              </w:rPr>
            </w:pPr>
          </w:p>
        </w:tc>
        <w:tc>
          <w:tcPr>
            <w:tcW w:w="2740" w:type="dxa"/>
            <w:vAlign w:val="bottom"/>
          </w:tcPr>
          <w:p>
            <w:pPr>
              <w:jc w:val="right"/>
              <w:ind w:right="145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0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rPr>
              <w:t>Remainder of 2022</w:t>
            </w:r>
          </w:p>
        </w:tc>
        <w:tc>
          <w:tcPr>
            <w:tcW w:w="220" w:type="dxa"/>
            <w:vAlign w:val="bottom"/>
            <w:tcBorders>
              <w:top w:val="single" w:sz="8" w:color="CCEEFF"/>
            </w:tcBorders>
            <w:shd w:val="clear" w:color="auto" w:fill="CCEEFF"/>
          </w:tcPr>
          <w:p>
            <w:pPr>
              <w:spacing w:after="0"/>
              <w:rPr>
                <w:sz w:val="19"/>
                <w:szCs w:val="19"/>
                <w:color w:val="auto"/>
              </w:rPr>
            </w:pPr>
          </w:p>
        </w:tc>
        <w:tc>
          <w:tcPr>
            <w:tcW w:w="1220" w:type="dxa"/>
            <w:vAlign w:val="bottom"/>
            <w:tcBorders>
              <w:top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551,353</w:t>
            </w:r>
          </w:p>
        </w:tc>
      </w:tr>
      <w:tr>
        <w:trPr>
          <w:trHeight w:val="229"/>
        </w:trPr>
        <w:tc>
          <w:tcPr>
            <w:tcW w:w="7020" w:type="dxa"/>
            <w:vAlign w:val="bottom"/>
          </w:tcPr>
          <w:p>
            <w:pPr>
              <w:ind w:left="440"/>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1,008,542</w:t>
            </w:r>
          </w:p>
        </w:tc>
      </w:tr>
      <w:tr>
        <w:trPr>
          <w:trHeight w:val="230"/>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2024</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995,991</w:t>
            </w:r>
          </w:p>
        </w:tc>
      </w:tr>
      <w:tr>
        <w:trPr>
          <w:trHeight w:val="230"/>
        </w:trPr>
        <w:tc>
          <w:tcPr>
            <w:tcW w:w="7020" w:type="dxa"/>
            <w:vAlign w:val="bottom"/>
          </w:tcPr>
          <w:p>
            <w:pPr>
              <w:ind w:left="440"/>
              <w:spacing w:after="0"/>
              <w:rPr>
                <w:sz w:val="20"/>
                <w:szCs w:val="20"/>
                <w:color w:val="auto"/>
              </w:rPr>
            </w:pPr>
            <w:r>
              <w:rPr>
                <w:rFonts w:ascii="Arial" w:cs="Arial" w:eastAsia="Arial" w:hAnsi="Arial"/>
                <w:sz w:val="18"/>
                <w:szCs w:val="18"/>
                <w:color w:val="auto"/>
              </w:rPr>
              <w:t>2025</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944,779</w:t>
            </w:r>
          </w:p>
        </w:tc>
      </w:tr>
      <w:tr>
        <w:trPr>
          <w:trHeight w:val="230"/>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2026</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859,923</w:t>
            </w:r>
          </w:p>
        </w:tc>
      </w:tr>
      <w:tr>
        <w:trPr>
          <w:trHeight w:val="230"/>
        </w:trPr>
        <w:tc>
          <w:tcPr>
            <w:tcW w:w="7240" w:type="dxa"/>
            <w:vAlign w:val="bottom"/>
            <w:tcBorders>
              <w:bottom w:val="single" w:sz="8" w:color="CCEEFF"/>
            </w:tcBorders>
            <w:gridSpan w:val="2"/>
          </w:tcPr>
          <w:p>
            <w:pPr>
              <w:ind w:left="440"/>
              <w:spacing w:after="0"/>
              <w:rPr>
                <w:sz w:val="20"/>
                <w:szCs w:val="20"/>
                <w:color w:val="auto"/>
              </w:rPr>
            </w:pPr>
            <w:r>
              <w:rPr>
                <w:rFonts w:ascii="Arial" w:cs="Arial" w:eastAsia="Arial" w:hAnsi="Arial"/>
                <w:sz w:val="18"/>
                <w:szCs w:val="18"/>
                <w:color w:val="auto"/>
              </w:rPr>
              <w:t>Thereafter</w:t>
            </w:r>
          </w:p>
        </w:tc>
        <w:tc>
          <w:tcPr>
            <w:tcW w:w="1220" w:type="dxa"/>
            <w:vAlign w:val="bottom"/>
            <w:tcBorders>
              <w:bottom w:val="single" w:sz="8" w:color="auto"/>
            </w:tcBorders>
          </w:tcPr>
          <w:p>
            <w:pPr>
              <w:spacing w:after="0"/>
              <w:rPr>
                <w:sz w:val="19"/>
                <w:szCs w:val="19"/>
                <w:color w:val="auto"/>
              </w:rPr>
            </w:pPr>
          </w:p>
        </w:tc>
        <w:tc>
          <w:tcPr>
            <w:tcW w:w="2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988,800</w:t>
            </w:r>
          </w:p>
        </w:tc>
      </w:tr>
      <w:tr>
        <w:trPr>
          <w:trHeight w:val="248"/>
        </w:trPr>
        <w:tc>
          <w:tcPr>
            <w:tcW w:w="70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5,349,388</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27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July 31, 2021 and January 30, 2021 (in thousands):</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31,</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r>
      <w:tr>
        <w:trPr>
          <w:trHeight w:val="211"/>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3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2018 Term Loan</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200,000</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2020 Term Loan - 3 Year Tranche</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2020 Term Loan - 5 Year Tranche</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875,000</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Term Loan Total</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1,750,000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2023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499,952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30"/>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2028 Senior Notes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499,915</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tcPr>
          <w:p>
            <w:pPr>
              <w:ind w:left="20"/>
              <w:spacing w:after="0"/>
              <w:rPr>
                <w:sz w:val="20"/>
                <w:szCs w:val="20"/>
                <w:color w:val="auto"/>
              </w:rPr>
            </w:pPr>
            <w:r>
              <w:rPr>
                <w:rFonts w:ascii="Arial" w:cs="Arial" w:eastAsia="Arial" w:hAnsi="Arial"/>
                <w:sz w:val="18"/>
                <w:szCs w:val="18"/>
                <w:color w:val="auto"/>
              </w:rPr>
              <w:t>2026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500,000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 Senior Notes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2031 Senior Notes</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750,000</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Senior Notes Total</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2,999,867</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w:t>
            </w:r>
          </w:p>
        </w:tc>
      </w:tr>
      <w:tr>
        <w:trPr>
          <w:trHeight w:val="230"/>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0.75% Inphi 2021 Convertible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422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0.75% Inphi 2025 Convertible Notes</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tcBorders>
              <w:bottom w:val="single" w:sz="8" w:color="CCEEFF"/>
            </w:tcBorders>
            <w:gridSpan w:val="2"/>
          </w:tcPr>
          <w:p>
            <w:pPr>
              <w:ind w:left="260"/>
              <w:spacing w:after="0"/>
              <w:rPr>
                <w:sz w:val="20"/>
                <w:szCs w:val="20"/>
                <w:color w:val="auto"/>
              </w:rPr>
            </w:pPr>
            <w:r>
              <w:rPr>
                <w:rFonts w:ascii="Arial" w:cs="Arial" w:eastAsia="Arial" w:hAnsi="Arial"/>
                <w:sz w:val="18"/>
                <w:szCs w:val="18"/>
                <w:color w:val="auto"/>
              </w:rPr>
              <w:t>Inphi Convertible Notes Total</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425</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4,750,292</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(46,058)</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4,704,234</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1,192,811</w:t>
            </w: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Less: Current portion - Term Loan (1)</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41,252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199,641</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Less: Current portion - Inphi Convertible Notes (2)</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Non-current portion</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4,662,844</w:t>
            </w:r>
          </w:p>
        </w:tc>
        <w:tc>
          <w:tcPr>
            <w:tcW w:w="2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993,170</w:t>
            </w:r>
          </w:p>
        </w:tc>
      </w:tr>
      <w:tr>
        <w:trPr>
          <w:trHeight w:val="20"/>
        </w:trPr>
        <w:tc>
          <w:tcPr>
            <w:tcW w:w="600" w:type="dxa"/>
            <w:vAlign w:val="bottom"/>
          </w:tcPr>
          <w:p>
            <w:pPr>
              <w:spacing w:after="0" w:line="20" w:lineRule="exact"/>
              <w:rPr>
                <w:sz w:val="1"/>
                <w:szCs w:val="1"/>
                <w:color w:val="auto"/>
              </w:rPr>
            </w:pPr>
          </w:p>
        </w:tc>
        <w:tc>
          <w:tcPr>
            <w:tcW w:w="75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660" w:right="20" w:hanging="652"/>
        <w:spacing w:after="0" w:line="244" w:lineRule="auto"/>
        <w:tabs>
          <w:tab w:leader="none" w:pos="65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July 31, 2021, the current portion of outstanding debt includes the 2020 Term Loan - 5 Year Tranche, which is due within twelve months. The Company intends to repay the amount with operating cash flow.</w:t>
      </w:r>
    </w:p>
    <w:p>
      <w:pPr>
        <w:ind w:left="660" w:hanging="652"/>
        <w:spacing w:after="0" w:line="303" w:lineRule="auto"/>
        <w:tabs>
          <w:tab w:leader="none" w:pos="654" w:val="left"/>
        </w:tabs>
        <w:numPr>
          <w:ilvl w:val="0"/>
          <w:numId w:val="3"/>
        </w:numPr>
        <w:rPr>
          <w:rFonts w:ascii="Arial" w:cs="Arial" w:eastAsia="Arial" w:hAnsi="Arial"/>
          <w:sz w:val="16"/>
          <w:szCs w:val="16"/>
          <w:color w:val="auto"/>
        </w:rPr>
      </w:pPr>
      <w:r>
        <w:rPr>
          <w:rFonts w:ascii="Arial" w:cs="Arial" w:eastAsia="Arial" w:hAnsi="Arial"/>
          <w:sz w:val="16"/>
          <w:szCs w:val="16"/>
          <w:color w:val="auto"/>
        </w:rPr>
        <w:t>As of July 31, 2021, as the Inphi 2021 Convertible Notes are currently convertible, the Company has classified $0.1 million, which is the cash portion the Company would be required to pay upon conversion, as current. The Company intends to repay the amount with operating cash flow.</w:t>
      </w:r>
    </w:p>
    <w:p>
      <w:pPr>
        <w:spacing w:after="0" w:line="167" w:lineRule="exact"/>
        <w:rPr>
          <w:sz w:val="20"/>
          <w:szCs w:val="20"/>
          <w:color w:val="auto"/>
        </w:rPr>
      </w:pPr>
    </w:p>
    <w:p>
      <w:pPr>
        <w:ind w:right="40" w:firstLine="405"/>
        <w:spacing w:after="0" w:line="238" w:lineRule="auto"/>
        <w:rPr>
          <w:sz w:val="20"/>
          <w:szCs w:val="20"/>
          <w:color w:val="auto"/>
        </w:rPr>
      </w:pPr>
      <w:r>
        <w:rPr>
          <w:rFonts w:ascii="Arial" w:cs="Arial" w:eastAsia="Arial" w:hAnsi="Arial"/>
          <w:sz w:val="18"/>
          <w:szCs w:val="18"/>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See “Note 3 - Business Combination” for more information. 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quarter ended May 1, 2021.</w:t>
      </w:r>
    </w:p>
    <w:p>
      <w:pPr>
        <w:spacing w:after="0" w:line="221" w:lineRule="exact"/>
        <w:rPr>
          <w:sz w:val="20"/>
          <w:szCs w:val="20"/>
          <w:color w:val="auto"/>
        </w:rPr>
      </w:pPr>
    </w:p>
    <w:p>
      <w:pPr>
        <w:jc w:val="both"/>
        <w:ind w:right="20" w:firstLine="405"/>
        <w:spacing w:after="0" w:line="284" w:lineRule="auto"/>
        <w:rPr>
          <w:sz w:val="20"/>
          <w:szCs w:val="20"/>
          <w:color w:val="auto"/>
        </w:rPr>
      </w:pPr>
      <w:r>
        <w:rPr>
          <w:rFonts w:ascii="Arial" w:cs="Arial" w:eastAsia="Arial" w:hAnsi="Arial"/>
          <w:sz w:val="16"/>
          <w:szCs w:val="16"/>
          <w:color w:val="auto"/>
        </w:rPr>
        <w:t>In December 2020, the Company executed a debt agreement to obtain an $875.0 million 3-year term loan and an $875.0 million 5-year term loan. The Company also executed a debt agreement to obtain a 5-year $750.0 million revolving credit facility in December 2020, replacing its previous $500 million revolving credit facility. On April 12, 2021, the Company completed a debt offering and issued (i) $500.0 million of Senior Notes with a 5 year term due in 2026, (ii) $750.0 million of Senior Notes with a 7 year term due in 2028, and (iii) $750.0 million of Senior Notes with a 10 year term due in 2031.</w:t>
      </w:r>
    </w:p>
    <w:p>
      <w:pPr>
        <w:spacing w:after="0" w:line="182"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On May 4, 2021, in conjunction with the U.S. domiciliation, the Company exchanged certain existing senior notes due in 2023 and 2028 that were previously issued by the Bermuda-domiciled Marvell Technology Group Ltd. with like notes that are now issued by the Delaware-domiciled Marvell Technology, Inc. Below is further discussion of the terms of the various debt agreements.</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Term Loan Agreement</w:t>
      </w:r>
    </w:p>
    <w:p>
      <w:pPr>
        <w:spacing w:after="0" w:line="239" w:lineRule="exact"/>
        <w:rPr>
          <w:sz w:val="20"/>
          <w:szCs w:val="20"/>
          <w:color w:val="auto"/>
        </w:rPr>
      </w:pPr>
    </w:p>
    <w:p>
      <w:pPr>
        <w:ind w:right="480" w:firstLine="405"/>
        <w:spacing w:after="0" w:line="274" w:lineRule="auto"/>
        <w:rPr>
          <w:sz w:val="20"/>
          <w:szCs w:val="20"/>
          <w:color w:val="auto"/>
        </w:rPr>
      </w:pPr>
      <w:r>
        <w:rPr>
          <w:rFonts w:ascii="Arial" w:cs="Arial" w:eastAsia="Arial" w:hAnsi="Arial"/>
          <w:sz w:val="16"/>
          <w:szCs w:val="16"/>
          <w:color w:val="auto"/>
        </w:rPr>
        <w:t>On December 7, 2020, the Company entered into a term loan credit agreement with a lending syndicate led by JPMorgan Chase Bank, N.A (the “2020 Term Loan Agreement”) in order to finance the expected merger with Inphi. The 2020 Term Loan Agreement provided for borrowings of</w:t>
      </w:r>
    </w:p>
    <w:p>
      <w:pPr>
        <w:spacing w:after="0" w:line="1" w:lineRule="exact"/>
        <w:rPr>
          <w:sz w:val="20"/>
          <w:szCs w:val="20"/>
          <w:color w:val="auto"/>
        </w:rPr>
      </w:pPr>
    </w:p>
    <w:p>
      <w:pPr>
        <w:ind w:right="220"/>
        <w:spacing w:after="0" w:line="271" w:lineRule="auto"/>
        <w:rPr>
          <w:sz w:val="20"/>
          <w:szCs w:val="20"/>
          <w:color w:val="auto"/>
        </w:rPr>
      </w:pPr>
      <w:r>
        <w:rPr>
          <w:rFonts w:ascii="Arial" w:cs="Arial" w:eastAsia="Arial" w:hAnsi="Arial"/>
          <w:sz w:val="17"/>
          <w:szCs w:val="17"/>
          <w:color w:val="auto"/>
        </w:rPr>
        <w:t>$1.75 billion consisting of: (i) $875.0 million loan with a three-year term from the funding date (the “3-Year Tranche Loan”) and (ii) $875.0 million loan with a five-year term from the funding date (the “5-Year Tranche Loan” and, together with the 3-Year Tranche Loan, the “2020 Term Loans”).</w:t>
      </w:r>
    </w:p>
    <w:p>
      <w:pPr>
        <w:spacing w:after="0" w:line="191"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The 3-Year Tranche Loan has a stated floating interest rate which equates to reserve-adjusted LIBOR + 125 bps. The effective interest rate for the 3-Year Tranche Loan was 1.687% as of July 31, 2021. The 5-Year Tranche Loan has a stated floating interest rate which equates to reserve-adjusted LIBOR + 137.5 bps. The effective interest rate for the 5-Year Tranche Loan was 1.798% as of July 31, 2021. The 3-Year Tranche Loan does not require any scheduled principal payments prior to final maturity but do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w:t>
      </w:r>
    </w:p>
    <w:p>
      <w:pPr>
        <w:spacing w:after="0" w:line="195"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July 31, 2021, the Company has $1.75 billion Term Loan borrowings outstanding, and is in compliance with its debt covenants.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39"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On December 7, 2020, the Company entered into a revolving line of credit agreement (the “2020 Revolving Credit Facility”) with a lending syndicate led by JPMorgan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through December 7, 2025. An unused commitment fee is payable quarterly based on unused balances at a rate that is based on the ratings of the Company’s senior unsecured long-term indebtedness. This annual rate was 0.175% at July 31, 2021.</w:t>
      </w:r>
    </w:p>
    <w:p>
      <w:pPr>
        <w:spacing w:after="0" w:line="207"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On May 4, 2021, the Company drew down $75.0 million on the 2020 Revolving Credit Facility. On July 6, 2021, the Company repaid the outstanding balance of the 2020 Revolving Credit Facility in full. As of July 31, 2021, the 2020 Revolving Credit Facility is undrawn.</w:t>
      </w:r>
    </w:p>
    <w:p>
      <w:pPr>
        <w:spacing w:after="0" w:line="198" w:lineRule="exact"/>
        <w:rPr>
          <w:sz w:val="20"/>
          <w:szCs w:val="20"/>
          <w:color w:val="auto"/>
        </w:rPr>
      </w:pPr>
    </w:p>
    <w:p>
      <w:pPr>
        <w:ind w:right="66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2020 Term Loan covenants discussed above.</w:t>
      </w:r>
    </w:p>
    <w:p>
      <w:pPr>
        <w:spacing w:after="0" w:line="19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Company currently carries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On April 12, 2021, the Company completed an offering of (i) $500.0 million aggregate principal amount of the Company’s 1.650% Senior Notes due 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The Senior Notes were sold pursuant to Rule 144A under the Securities Act of 1933, as amended (the “Securities Act”), to purchasers in the United States and pursuant to Regulation S under the Securities Act to purchasers outside of the United States.</w:t>
      </w: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maturity at the redemption prices set forth in associated debt agreements.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July 31, 2021, the Company has $2.0 billion Senior Notes borrowings outstanding.</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39"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On June 22, 2018, the Company’s Bermuda-based parent company Marvell Technology Group, Ltd. (“MTG”) completed a public offering of (i) $500.0 million aggregate principal amount of the Company’s 4.200% Senior Notes due 2023 (the “MTG 2023 Notes”) and (ii) $500.0 million aggregate principal amount of the Company’s 4.875% Senior Notes due 2028 (the “MTG 2028 Notes” and, together with the 2023 Notes, the “MTG Senior Notes”). The proceeds of the MTG Senior Notes were used to fund a portion of the cash consideration for the Cavium acquisition, repay Cavium’s debt, and pay transaction expenses in connection with the Cavium acquisition.</w:t>
      </w:r>
    </w:p>
    <w:p>
      <w:pPr>
        <w:spacing w:after="0" w:line="216"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will have the same interest rate, maturity date, redemption terms and interest payment dates and will be subject to substantially similar covenants as the corresponding series of the MTG Senior Notes for which they are being offered in exchange.</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exchanged. The exchange was accounted for as a debt modification in accordance with</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applicable accounting guidance.</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20"/>
        <w:spacing w:after="0" w:line="251"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71" w:lineRule="auto"/>
        <w:rPr>
          <w:sz w:val="20"/>
          <w:szCs w:val="20"/>
          <w:color w:val="auto"/>
        </w:rPr>
      </w:pPr>
      <w:r>
        <w:rPr>
          <w:rFonts w:ascii="Arial" w:cs="Arial" w:eastAsia="Arial" w:hAnsi="Arial"/>
          <w:sz w:val="16"/>
          <w:szCs w:val="16"/>
          <w:color w:val="auto"/>
        </w:rPr>
        <w:t>The MTG 2023 Notes mature on June 22, 2023 and the MTG 2028 Notes mature on June 22, 2028. The stated and effective interest rates for the MTG 2023 Notes are 4.200% and 4.360%, respectively. The stated and effective interest rates for the MTI 2028 Notes are 4.875% and 4.940%, respectively. The Company may redeem the MTG Senior Notes, in whole or in part, at any time prior to their maturity at the redemption prices set forth in MTG Senior Notes. In addition, upon the occurrence of a change of control repurchase event (which involves the occurrence of both a change of control and a ratings event involving the MTG Senior Notes being rated below investment grade), the Company will be required to make an offer to repurchase the MTG Senior Notes at a price equal to 101% of the principal amount of the notes, plus accrued and unpaid interest to, but excluding, the repurchase date. The indenture governing the MTG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19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July 31, 2021, the Company has $1.0 billion MTG/MTI Senior Notes borrowings outstanding.</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As a result of the Inphi acquisition, the Company assumed all of Inphi’s outstanding convertible notes. Convertible debt is included in the aggregate short-term and long-term debt in the accompanying unaudited condensed consolidated balance sheet, as applicable.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39" w:lineRule="exact"/>
        <w:rPr>
          <w:sz w:val="20"/>
          <w:szCs w:val="20"/>
          <w:color w:val="auto"/>
        </w:rPr>
      </w:pPr>
    </w:p>
    <w:p>
      <w:pPr>
        <w:ind w:right="60" w:firstLine="405"/>
        <w:spacing w:after="0" w:line="294" w:lineRule="auto"/>
        <w:rPr>
          <w:sz w:val="20"/>
          <w:szCs w:val="20"/>
          <w:color w:val="auto"/>
        </w:rPr>
      </w:pPr>
      <w:r>
        <w:rPr>
          <w:rFonts w:ascii="Arial" w:cs="Arial" w:eastAsia="Arial" w:hAnsi="Arial"/>
          <w:sz w:val="16"/>
          <w:szCs w:val="16"/>
          <w:color w:val="auto"/>
        </w:rPr>
        <w:t>In September 2016, Inphi issued $287.5 million of 0.75% convertible senior notes due 2021. The Inphi 2021 Convertible Notes are governed by the terms of an indenture dated September 12, 2016 (the “Inphi 2021 Convertible Notes Indenture”). The Inphi 2021 Convertible Notes will mature September 1, 2021, unless earlier converted or repurchased. Interest on the Inphi 2021 Convertible Notes is payable on March 1 and September 1 of each year.</w:t>
      </w:r>
    </w:p>
    <w:p>
      <w:pPr>
        <w:spacing w:after="0" w:line="174"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Under the Inphi 2021 Convertible Notes Indenture, on or after March 1, 2021, until the close of business on the second scheduled trading day immediately preceding the maturity date, holders may convert their notes at any time. Upon conversion, the Company will pay or deliver, as the case may be, cash, shares of common stock or a combination of cash and shares of common stock, at the Company’s election. The Inphi 2021 Convertible Notes are not redeemable at the Company’s option prior to maturity.</w:t>
      </w:r>
    </w:p>
    <w:p>
      <w:pPr>
        <w:spacing w:after="0" w:line="215" w:lineRule="exact"/>
        <w:rPr>
          <w:sz w:val="20"/>
          <w:szCs w:val="20"/>
          <w:color w:val="auto"/>
        </w:rPr>
      </w:pPr>
    </w:p>
    <w:p>
      <w:pPr>
        <w:ind w:right="140" w:firstLine="405"/>
        <w:spacing w:after="0" w:line="272" w:lineRule="auto"/>
        <w:rPr>
          <w:sz w:val="20"/>
          <w:szCs w:val="20"/>
          <w:color w:val="auto"/>
        </w:rPr>
      </w:pPr>
      <w:r>
        <w:rPr>
          <w:rFonts w:ascii="Arial" w:cs="Arial" w:eastAsia="Arial" w:hAnsi="Arial"/>
          <w:sz w:val="16"/>
          <w:szCs w:val="16"/>
          <w:color w:val="auto"/>
        </w:rPr>
        <w:t>The initial conversion rate at issuance in September 2016 was 17.7508 shares of Inphi common stock per $1,000 principal amount of Inphi 2021 Convertible Notes, which represented an initial conversion price of approximately $56.34 per Inphi share. The conversion rate for the Inphi 2021 Convertible Notes is subject to adjustment in some events but will not be adjusted for any accrued and unpaid interest. In addition, following certain fundamental changes that occur prior to the maturity date, the Company will increase the conversion rate of the Inphi 2021 Convertible Notes for a holder who elects to convert in connection with such a fundamental change in certain circumstances. Upon the occurrence of certain fundamental changes, the holders of the Inphi 2021 Convertible Notes may require the Company to repurchase all or a portion of their Inphi 2021 Convertible Notes for cash at a price equal to 100% of the principal amount of the Inphi 2021 Convertible notes, plus accrued and unpaid interest to, but excluding, the fundamental change repurchase date. The Inphi 2021 Convertible Notes are not redeemable at the Company’s option prior to maturity.</w:t>
      </w:r>
    </w:p>
    <w:p>
      <w:pPr>
        <w:spacing w:after="0" w:line="181" w:lineRule="exact"/>
        <w:rPr>
          <w:sz w:val="20"/>
          <w:szCs w:val="20"/>
          <w:color w:val="auto"/>
        </w:rPr>
      </w:pPr>
    </w:p>
    <w:p>
      <w:pPr>
        <w:ind w:firstLine="405"/>
        <w:spacing w:after="0" w:line="238" w:lineRule="auto"/>
        <w:rPr>
          <w:sz w:val="20"/>
          <w:szCs w:val="20"/>
          <w:color w:val="auto"/>
        </w:rPr>
      </w:pPr>
      <w:r>
        <w:rPr>
          <w:rFonts w:ascii="Arial" w:cs="Arial" w:eastAsia="Arial" w:hAnsi="Arial"/>
          <w:sz w:val="17"/>
          <w:szCs w:val="17"/>
          <w:color w:val="auto"/>
        </w:rPr>
        <w:t>As part of the Inphi acquisition, the Company assumed $15.7 million principal amount of Inphi’s 2021 Convertible Notes with a fair value of $48.0 million. The Inphi acquisition constituted a fundamental change under the Inphi 2021 Convertible Notes Indenture. As a result, the Inphi 2021 Convertibles Notes were convertible into Inphi conversion units of 17.7522 per $1,000 in principal amount of such notes from April 20, 2021 through June 3, 2021. Based on the terms of the Inphi merger agreement, the holders of the Inphi 2021 Convertible Notes received 41.2384 shares of the Company's common stock and $1,171.65 in cash per $1,000 in principal amount of such notes upon conversion. The Inphi 2021 Convertible Notes are currently convertible into Inphi conversion units of 17.7508 per $1,000 in principal amount of such notes. Based on the terms of the merger agreement, the holders of the Inphi 2021 Convertible Notes would receive 41.2351 shares of the Company’s common stock and $1,171.55 in cash per $1,000 in principal amount of such notes upon conversion. The Company has elected to measure the Inphi 2021 Convertible Notes at fair value.</w:t>
      </w:r>
    </w:p>
    <w:p>
      <w:pPr>
        <w:spacing w:after="0" w:line="218" w:lineRule="exact"/>
        <w:rPr>
          <w:sz w:val="20"/>
          <w:szCs w:val="20"/>
          <w:color w:val="auto"/>
        </w:rPr>
      </w:pPr>
    </w:p>
    <w:p>
      <w:pPr>
        <w:ind w:right="80" w:firstLine="405"/>
        <w:spacing w:after="0" w:line="286" w:lineRule="auto"/>
        <w:rPr>
          <w:sz w:val="20"/>
          <w:szCs w:val="20"/>
          <w:color w:val="auto"/>
        </w:rPr>
      </w:pPr>
      <w:r>
        <w:rPr>
          <w:rFonts w:ascii="Arial" w:cs="Arial" w:eastAsia="Arial" w:hAnsi="Arial"/>
          <w:sz w:val="17"/>
          <w:szCs w:val="17"/>
          <w:color w:val="auto"/>
        </w:rPr>
        <w:t>A total of $9.6 million in aggregate principal of the Inphi 2021 Convertible Notes was settled pursuant to the Exchange Agreements (discussed below). Between April 20 and July 31, 2021, $6.0 million in aggregate principal of the Inphi 2021 Convertible Notes was converted into 0.2 million shares of the Company’s common stock and $7.0 million in cash pursuant to the contractual terms of the Inphi 2021 Convertible Notes Indenture.</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In April 2020, Inphi issued $506.0 million 0.75% convertible senior notes due 2025. The Inphi 2025 Convertible Notes are governed by an indenture dated April 24, 2020 (the “Inphi 2025 Notes Indenture”). The Inphi 2025 Convertible Notes will mature on April 15, 2025, unless earlier converted or repurchased. Interest on the Inphi 2025 Convertible Notes is payable on April 15 and October 15 of each year.</w:t>
      </w:r>
    </w:p>
    <w:p>
      <w:pPr>
        <w:spacing w:after="0" w:line="209" w:lineRule="exact"/>
        <w:rPr>
          <w:sz w:val="20"/>
          <w:szCs w:val="20"/>
          <w:color w:val="auto"/>
        </w:rPr>
      </w:pPr>
    </w:p>
    <w:p>
      <w:pPr>
        <w:ind w:right="40" w:firstLine="405"/>
        <w:spacing w:after="0" w:line="268" w:lineRule="auto"/>
        <w:rPr>
          <w:sz w:val="20"/>
          <w:szCs w:val="20"/>
          <w:color w:val="auto"/>
        </w:rPr>
      </w:pPr>
      <w:r>
        <w:rPr>
          <w:rFonts w:ascii="Arial" w:cs="Arial" w:eastAsia="Arial" w:hAnsi="Arial"/>
          <w:sz w:val="16"/>
          <w:szCs w:val="16"/>
          <w:color w:val="auto"/>
        </w:rPr>
        <w:t>Under the Inphi 2025 Notes Indenture, the Inphi 2025 Convertible Notes are convertible at the option of the holders at any time, prior to the close of business on the business day immediately preceding October 15, 2024, only under the following circumstances: (i) during any calendar quarter commencing after the calendar quarter ending on June 30, 2020 (and only during such calendar quarter), if the last reported sale price of the Company’s common stock, for at least 20 trading days (whether or not consecutive) during a period of 30 consecutive trading days ending on the last trading day of the immediately preceding calendar quarter is greater than or equal to 130% of the conversion price for the Inphi 2025 Notes on each applicable trading day;</w:t>
      </w:r>
    </w:p>
    <w:p>
      <w:pPr>
        <w:spacing w:after="0" w:line="1" w:lineRule="exact"/>
        <w:rPr>
          <w:sz w:val="20"/>
          <w:szCs w:val="20"/>
          <w:color w:val="auto"/>
        </w:rPr>
      </w:pPr>
    </w:p>
    <w:p>
      <w:pPr>
        <w:ind w:right="100" w:firstLine="8"/>
        <w:spacing w:after="0" w:line="272" w:lineRule="auto"/>
        <w:tabs>
          <w:tab w:leader="none" w:pos="265" w:val="left"/>
        </w:tabs>
        <w:numPr>
          <w:ilvl w:val="0"/>
          <w:numId w:val="4"/>
        </w:numPr>
        <w:rPr>
          <w:rFonts w:ascii="Arial" w:cs="Arial" w:eastAsia="Arial" w:hAnsi="Arial"/>
          <w:sz w:val="16"/>
          <w:szCs w:val="16"/>
          <w:color w:val="auto"/>
        </w:rPr>
      </w:pPr>
      <w:r>
        <w:rPr>
          <w:rFonts w:ascii="Arial" w:cs="Arial" w:eastAsia="Arial" w:hAnsi="Arial"/>
          <w:sz w:val="16"/>
          <w:szCs w:val="16"/>
          <w:color w:val="auto"/>
        </w:rPr>
        <w:t>during the five business day period after any five consecutive trading day period (the “measurement period”) in which the trading per $1,000 principal amount of Inphi 2025 Convertible Notes for each trading day of the measurement period was less than 98% of the product of the last reported sale price of the common stock and the conversion rate on each such trading day; (iii) if the Company calls any or all of the Inphi 2025 Convertible Notes for redemption, at any time prior to the close of business on the second scheduled trading day immediately preceding the redemption date; or (iv) upon the occurrence of specified corporate events. On or after October 15, 2024 until the close of business on the second scheduled trading day immediately preceding the maturity date, holders may convert their Inphi 2025 Convertible Notes at any time, regardless of the foregoing circumstances.</w:t>
      </w:r>
    </w:p>
    <w:p>
      <w:pPr>
        <w:spacing w:after="0" w:line="191"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Upon the occurrence of certain fundamental changes, the holders of the Inphi 2025 Convertible Notes may require the Company to repurchase all or a portion of the Inphi 2025 Convertible Notes for cash at a price equal to 100% of the principal amount of the Inphi 2025 Convertible Notes, plus accrued and unpaid interest to, but excluding, the fundamental change repurchase date.</w:t>
      </w:r>
    </w:p>
    <w:p>
      <w:pPr>
        <w:spacing w:after="0" w:line="209"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The initial conversion rate at issuance in April 2020 was 8.0059 shares of Inphi common stock per $1,000 principal amount of Inphi 2025 Convertible Notes, which represented an initial conversion price of approximately $124.91 per Inphi share. The conversion rate for the Inphi 2025 Convertible Notes is subject to adjustment in some events but will not be adjusted for any accrued and unpaid interest. In addition, following certain fundamental changes that occur prior to the maturity date or following the Company’s issuance of a notice of redemption, the Company will, in certain circumstances, increase the conversion rate of the Inphi 2025 Convertible Notes for a holder who elects to convert in connection with such a fundamental change or notice of redemption, as the case may be.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part of the Inphi acquisition, the Company assumed $506.0 million in principal of Inphi 2025 Convertible Notes with a fair value of</w:t>
      </w:r>
    </w:p>
    <w:p>
      <w:pPr>
        <w:spacing w:after="0" w:line="12" w:lineRule="exact"/>
        <w:rPr>
          <w:sz w:val="20"/>
          <w:szCs w:val="20"/>
          <w:color w:val="auto"/>
        </w:rPr>
      </w:pPr>
    </w:p>
    <w:p>
      <w:pPr>
        <w:spacing w:after="0"/>
        <w:rPr>
          <w:sz w:val="20"/>
          <w:szCs w:val="20"/>
          <w:color w:val="auto"/>
        </w:rPr>
      </w:pPr>
      <w:r>
        <w:rPr>
          <w:rFonts w:ascii="Arial" w:cs="Arial" w:eastAsia="Arial" w:hAnsi="Arial"/>
          <w:sz w:val="17"/>
          <w:szCs w:val="17"/>
          <w:color w:val="auto"/>
        </w:rPr>
        <w:t>$750.2 million. The Inphi acquisition constituted a fundamental change under the Inphi 2025 Convertible Notes Indenture. As a result, the Inphi 2025</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Convertible Notes were convertible into Inphi conversion units of 8.595 per $1,000 in principal amount of such notes. Based on the terms of the Inphi</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merger agreement, the holders of the Inphi 2025 Convertible Notes would receive 19.9662 shares of the Company’s common stock and $567.27 in cash per</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$1,000 in principal amount of such notes upon conversion.</w:t>
      </w:r>
    </w:p>
    <w:p>
      <w:pPr>
        <w:spacing w:after="0" w:line="209" w:lineRule="exact"/>
        <w:rPr>
          <w:sz w:val="20"/>
          <w:szCs w:val="20"/>
          <w:color w:val="auto"/>
        </w:rPr>
      </w:pPr>
    </w:p>
    <w:p>
      <w:pPr>
        <w:ind w:right="360" w:firstLine="405"/>
        <w:spacing w:after="0" w:line="261" w:lineRule="auto"/>
        <w:rPr>
          <w:sz w:val="20"/>
          <w:szCs w:val="20"/>
          <w:color w:val="auto"/>
        </w:rPr>
      </w:pPr>
      <w:r>
        <w:rPr>
          <w:rFonts w:ascii="Arial" w:cs="Arial" w:eastAsia="Arial" w:hAnsi="Arial"/>
          <w:sz w:val="16"/>
          <w:szCs w:val="16"/>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w:t>
      </w:r>
    </w:p>
    <w:p>
      <w:pPr>
        <w:spacing w:after="0" w:line="201"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In accounting for the Inphi 2025 Convertible Notes as of April 20, 2021, the Company separated the Inphi 2025 Convertible Notes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fair value of the Inphi 2025 Convertible Notes as a whole. The fair value of $750.2 million was accordingly allocated between debt for $506.0 million and stockholders’ equity for $244.2 million.</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39"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Under the Inphi Capped Calls, Inphi purchased capped call options that in aggregate relate to 100% of the total number of shares of the Company’s common stock underlying the Inphi Convertible Notes, with a strike price approximately equal to the conversion price of the Inphi 2021 Convertible Notes and the Inphi 2025 Convertible Notes, respectively, and with a capped price equal to $73.03 per Inphi share and $188.54 per Inphi share, respectively.</w:t>
      </w:r>
    </w:p>
    <w:p>
      <w:pPr>
        <w:spacing w:after="0" w:line="20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purchased Inphi Capped Calls allowed Inphi to receive shares of its common stock and/or cash from counterparties equal to the amounts of common stock and/or cash related to the excess of the market price per share of the common stock, as measured under the terms of the Inphi Capped Calls, over the strike prices of the Inphi Capped Calls during the relevant valuation period. The purchased Inphi Capped Calls were intended to reduce the potential dilution to common stock upon future conversion of the Inphi 2021 Convertible Notes and Inphi 2025 Convertible Notes by effectively increasing the initial conversion price to approximately $73.03 and $188.54, respectively, as well as to offset potential cash payments that Inphi would be required to make in excess of the principal amount of the Inphi Convertible Notes in applicable events.</w:t>
      </w:r>
    </w:p>
    <w:p>
      <w:pPr>
        <w:spacing w:after="0" w:line="20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Inphi Capped Calls were separate transactions entered into by Inphi with the option counterparties, are not part of the terms of the Inphi Convertible Notes, and will not change the holders’ rights under the Inphi Convertible Notes.</w:t>
      </w:r>
    </w:p>
    <w:p>
      <w:pPr>
        <w:spacing w:after="0" w:line="198" w:lineRule="exact"/>
        <w:rPr>
          <w:sz w:val="20"/>
          <w:szCs w:val="20"/>
          <w:color w:val="auto"/>
        </w:rPr>
      </w:pPr>
    </w:p>
    <w:p>
      <w:pPr>
        <w:ind w:right="200" w:firstLine="405"/>
        <w:spacing w:after="0" w:line="269" w:lineRule="auto"/>
        <w:rPr>
          <w:sz w:val="20"/>
          <w:szCs w:val="20"/>
          <w:color w:val="auto"/>
        </w:rPr>
      </w:pPr>
      <w:r>
        <w:rPr>
          <w:rFonts w:ascii="Arial" w:cs="Arial" w:eastAsia="Arial" w:hAnsi="Arial"/>
          <w:sz w:val="16"/>
          <w:szCs w:val="16"/>
          <w:color w:val="auto"/>
        </w:rPr>
        <w:t>In connection with the Inphi acquisition, the Company entered into unwind agreements related to the Inphi Capped Calls. Based on the terms of the unwind agreements, the Inphi Capped Calls do not qualify for equity classification. As such, the Company has classified the Inphi Capped Calls as assets and included in “prepaid expenses and other current assets” in the unaudited condensed consolidated balance sheet. Under the unwind agreements, the Company and the counterparties agreed to settle a portion of Inphi Capped Calls for a fixed payment of $74.1 million, which were settled on April 23,</w:t>
      </w:r>
    </w:p>
    <w:p>
      <w:pPr>
        <w:spacing w:after="0" w:line="1" w:lineRule="exact"/>
        <w:rPr>
          <w:sz w:val="20"/>
          <w:szCs w:val="20"/>
          <w:color w:val="auto"/>
        </w:rPr>
      </w:pPr>
    </w:p>
    <w:p>
      <w:pPr>
        <w:spacing w:after="0" w:line="238" w:lineRule="auto"/>
        <w:rPr>
          <w:sz w:val="20"/>
          <w:szCs w:val="20"/>
          <w:color w:val="auto"/>
        </w:rPr>
      </w:pPr>
      <w:r>
        <w:rPr>
          <w:rFonts w:ascii="Arial" w:cs="Arial" w:eastAsia="Arial" w:hAnsi="Arial"/>
          <w:sz w:val="18"/>
          <w:szCs w:val="18"/>
          <w:color w:val="auto"/>
        </w:rPr>
        <w:t>2021. The remaining Inphi Capped Calls provide for variable cash settlement based on the Company’s stock price. These capped calls qualify as derivatives and, accordingly, the Company measures these capped calls at fair value, with changes in fair value reported in earnings. The Company reports cash flows from capped calls in cash flows from financing activities. In connection with the Exchange Agreements (discussed below), a portion of the remaining Inphi Capped Calls were settled for $35.5 million on April 29, 2021.</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16"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The Exchange Agreements were accounted for as liabilities and measured at fair value, with changes in fair value recorded in earnings. For the three months ended May 1, 2021, the Company recognized interest expense of $5.0 million on the remeasurement of the Exchange Agreements in its unaudited condensed statements of operations.</w:t>
      </w:r>
    </w:p>
    <w:p>
      <w:pPr>
        <w:spacing w:after="0" w:line="209"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During the three and six months ended July 31, 2021, the Company recognized $30.9 million and $53.0 million, respectively, of interest expense in its unaudited condensed consolidated statements of operations related to interest, amortization of debt issuance costs and accretion of discount associated with the outstanding borrowings.</w:t>
      </w:r>
    </w:p>
    <w:p>
      <w:pPr>
        <w:spacing w:after="0" w:line="209"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During the three and six months ended August 1, 2020, the Company recognized $14.1 million and $29.5 million, respectively, of interest expense in its unaudited condensed consolidated statements of operations related to interest, amortization of debt issuance costs and accretion of discount associated with the outstanding borrowings.</w:t>
      </w: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jc w:val="center"/>
        <w:ind w:right="-39"/>
        <w:spacing w:after="0"/>
        <w:rPr>
          <w:sz w:val="20"/>
          <w:szCs w:val="20"/>
          <w:color w:val="auto"/>
        </w:rPr>
      </w:pPr>
      <w:r>
        <w:rPr>
          <w:rFonts w:ascii="Arial" w:cs="Arial" w:eastAsia="Arial" w:hAnsi="Arial"/>
          <w:sz w:val="17"/>
          <w:szCs w:val="17"/>
          <w:color w:val="auto"/>
        </w:rPr>
        <w:t>As of July 31, 2021, the aggregate future contractual maturities of the Company’s outstanding debt, at face value, were as follows (in thousands):</w:t>
      </w:r>
    </w:p>
    <w:p>
      <w:pPr>
        <w:spacing w:after="0" w:line="3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40" w:type="dxa"/>
            <w:vAlign w:val="bottom"/>
            <w:gridSpan w:val="2"/>
          </w:tcPr>
          <w:p>
            <w:pPr>
              <w:ind w:left="440"/>
              <w:spacing w:after="0"/>
              <w:rPr>
                <w:sz w:val="20"/>
                <w:szCs w:val="20"/>
                <w:color w:val="auto"/>
              </w:rPr>
            </w:pPr>
            <w:r>
              <w:rPr>
                <w:rFonts w:ascii="Arial" w:cs="Arial" w:eastAsia="Arial" w:hAnsi="Arial"/>
                <w:sz w:val="14"/>
                <w:szCs w:val="14"/>
                <w:b w:val="1"/>
                <w:bCs w:val="1"/>
                <w:color w:val="auto"/>
              </w:rPr>
              <w:t>Fiscal Year</w:t>
            </w:r>
          </w:p>
        </w:tc>
        <w:tc>
          <w:tcPr>
            <w:tcW w:w="1220" w:type="dxa"/>
            <w:vAlign w:val="bottom"/>
          </w:tcPr>
          <w:p>
            <w:pPr>
              <w:spacing w:after="0"/>
              <w:rPr>
                <w:sz w:val="16"/>
                <w:szCs w:val="16"/>
                <w:color w:val="auto"/>
              </w:rPr>
            </w:pPr>
          </w:p>
        </w:tc>
        <w:tc>
          <w:tcPr>
            <w:tcW w:w="2760" w:type="dxa"/>
            <w:vAlign w:val="bottom"/>
          </w:tcPr>
          <w:p>
            <w:pPr>
              <w:jc w:val="right"/>
              <w:ind w:right="145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0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rPr>
              <w:t>Remainder of 2022</w:t>
            </w:r>
          </w:p>
        </w:tc>
        <w:tc>
          <w:tcPr>
            <w:tcW w:w="220" w:type="dxa"/>
            <w:vAlign w:val="bottom"/>
            <w:tcBorders>
              <w:top w:val="single" w:sz="8" w:color="CCEEFF"/>
            </w:tcBorders>
            <w:shd w:val="clear" w:color="auto" w:fill="CCEEFF"/>
          </w:tcPr>
          <w:p>
            <w:pPr>
              <w:spacing w:after="0"/>
              <w:rPr>
                <w:sz w:val="19"/>
                <w:szCs w:val="19"/>
                <w:color w:val="auto"/>
              </w:rPr>
            </w:pPr>
          </w:p>
        </w:tc>
        <w:tc>
          <w:tcPr>
            <w:tcW w:w="1220" w:type="dxa"/>
            <w:vAlign w:val="bottom"/>
            <w:tcBorders>
              <w:top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22,300</w:t>
            </w:r>
          </w:p>
        </w:tc>
      </w:tr>
      <w:tr>
        <w:trPr>
          <w:trHeight w:val="230"/>
        </w:trPr>
        <w:tc>
          <w:tcPr>
            <w:tcW w:w="7020" w:type="dxa"/>
            <w:vAlign w:val="bottom"/>
          </w:tcPr>
          <w:p>
            <w:pPr>
              <w:ind w:left="440"/>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60" w:type="dxa"/>
            <w:vAlign w:val="bottom"/>
          </w:tcPr>
          <w:p>
            <w:pPr>
              <w:jc w:val="right"/>
              <w:spacing w:after="0"/>
              <w:rPr>
                <w:sz w:val="20"/>
                <w:szCs w:val="20"/>
                <w:color w:val="auto"/>
              </w:rPr>
            </w:pPr>
            <w:r>
              <w:rPr>
                <w:rFonts w:ascii="Arial" w:cs="Arial" w:eastAsia="Arial" w:hAnsi="Arial"/>
                <w:sz w:val="18"/>
                <w:szCs w:val="18"/>
                <w:color w:val="auto"/>
              </w:rPr>
              <w:t>65,625</w:t>
            </w:r>
          </w:p>
        </w:tc>
      </w:tr>
      <w:tr>
        <w:trPr>
          <w:trHeight w:val="229"/>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2024</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1,462,452</w:t>
            </w:r>
          </w:p>
        </w:tc>
      </w:tr>
      <w:tr>
        <w:trPr>
          <w:trHeight w:val="230"/>
        </w:trPr>
        <w:tc>
          <w:tcPr>
            <w:tcW w:w="7020" w:type="dxa"/>
            <w:vAlign w:val="bottom"/>
          </w:tcPr>
          <w:p>
            <w:pPr>
              <w:ind w:left="440"/>
              <w:spacing w:after="0"/>
              <w:rPr>
                <w:sz w:val="20"/>
                <w:szCs w:val="20"/>
                <w:color w:val="auto"/>
              </w:rPr>
            </w:pPr>
            <w:r>
              <w:rPr>
                <w:rFonts w:ascii="Arial" w:cs="Arial" w:eastAsia="Arial" w:hAnsi="Arial"/>
                <w:sz w:val="18"/>
                <w:szCs w:val="18"/>
                <w:color w:val="auto"/>
              </w:rPr>
              <w:t>2025</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60" w:type="dxa"/>
            <w:vAlign w:val="bottom"/>
          </w:tcPr>
          <w:p>
            <w:pPr>
              <w:jc w:val="right"/>
              <w:spacing w:after="0"/>
              <w:rPr>
                <w:sz w:val="20"/>
                <w:szCs w:val="20"/>
                <w:color w:val="auto"/>
              </w:rPr>
            </w:pPr>
            <w:r>
              <w:rPr>
                <w:rFonts w:ascii="Arial" w:cs="Arial" w:eastAsia="Arial" w:hAnsi="Arial"/>
                <w:sz w:val="18"/>
                <w:szCs w:val="18"/>
                <w:color w:val="auto"/>
              </w:rPr>
              <w:t>109,375</w:t>
            </w:r>
          </w:p>
        </w:tc>
      </w:tr>
      <w:tr>
        <w:trPr>
          <w:trHeight w:val="229"/>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2026</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131,250</w:t>
            </w:r>
          </w:p>
        </w:tc>
      </w:tr>
      <w:tr>
        <w:trPr>
          <w:trHeight w:val="229"/>
        </w:trPr>
        <w:tc>
          <w:tcPr>
            <w:tcW w:w="7240" w:type="dxa"/>
            <w:vAlign w:val="bottom"/>
            <w:tcBorders>
              <w:bottom w:val="single" w:sz="8" w:color="CCEEFF"/>
            </w:tcBorders>
            <w:gridSpan w:val="2"/>
          </w:tcPr>
          <w:p>
            <w:pPr>
              <w:ind w:left="440"/>
              <w:spacing w:after="0"/>
              <w:rPr>
                <w:sz w:val="20"/>
                <w:szCs w:val="20"/>
                <w:color w:val="auto"/>
              </w:rPr>
            </w:pPr>
            <w:r>
              <w:rPr>
                <w:rFonts w:ascii="Arial" w:cs="Arial" w:eastAsia="Arial" w:hAnsi="Arial"/>
                <w:sz w:val="18"/>
                <w:szCs w:val="18"/>
                <w:color w:val="auto"/>
              </w:rPr>
              <w:t>Thereafter</w:t>
            </w:r>
          </w:p>
        </w:tc>
        <w:tc>
          <w:tcPr>
            <w:tcW w:w="1220" w:type="dxa"/>
            <w:vAlign w:val="bottom"/>
            <w:tcBorders>
              <w:bottom w:val="single" w:sz="8" w:color="auto"/>
            </w:tcBorders>
          </w:tcPr>
          <w:p>
            <w:pPr>
              <w:spacing w:after="0"/>
              <w:rPr>
                <w:sz w:val="19"/>
                <w:szCs w:val="19"/>
                <w:color w:val="auto"/>
              </w:rPr>
            </w:pPr>
          </w:p>
        </w:tc>
        <w:tc>
          <w:tcPr>
            <w:tcW w:w="2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2,959,290</w:t>
            </w:r>
          </w:p>
        </w:tc>
      </w:tr>
      <w:tr>
        <w:trPr>
          <w:trHeight w:val="248"/>
        </w:trPr>
        <w:tc>
          <w:tcPr>
            <w:tcW w:w="7240" w:type="dxa"/>
            <w:vAlign w:val="bottom"/>
            <w:tcBorders>
              <w:bottom w:val="single" w:sz="8" w:color="CCEEFF"/>
            </w:tcBorders>
            <w:gridSpan w:val="2"/>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220" w:type="dxa"/>
            <w:vAlign w:val="bottom"/>
            <w:tcBorders>
              <w:bottom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4,750,292</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276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end market (in thousands,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6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40" w:type="dxa"/>
            <w:vAlign w:val="bottom"/>
            <w:tcBorders>
              <w:bottom w:val="single" w:sz="8" w:color="auto"/>
            </w:tcBorders>
            <w:gridSpan w:val="4"/>
          </w:tcPr>
          <w:p>
            <w:pPr>
              <w:jc w:val="right"/>
              <w:ind w:right="43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gridSpan w:val="4"/>
          </w:tcPr>
          <w:p>
            <w:pPr>
              <w:jc w:val="right"/>
              <w:ind w:right="555"/>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6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Pr>
          <w:p>
            <w:pPr>
              <w:jc w:val="right"/>
              <w:ind w:right="255"/>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175"/>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18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55"/>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95"/>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84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920" w:type="dxa"/>
            <w:vAlign w:val="bottom"/>
          </w:tcPr>
          <w:p>
            <w:pPr>
              <w:jc w:val="right"/>
              <w:ind w:right="315"/>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40" w:type="dxa"/>
            <w:vAlign w:val="bottom"/>
          </w:tcPr>
          <w:p>
            <w:pPr>
              <w:jc w:val="right"/>
              <w:ind w:right="35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60" w:type="dxa"/>
            <w:vAlign w:val="bottom"/>
          </w:tcPr>
          <w:p>
            <w:pPr>
              <w:jc w:val="right"/>
              <w:ind w:right="355"/>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260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60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433,722</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40 %  $</w:t>
            </w:r>
          </w:p>
        </w:tc>
        <w:tc>
          <w:tcPr>
            <w:tcW w:w="920" w:type="dxa"/>
            <w:vAlign w:val="bottom"/>
          </w:tcPr>
          <w:p>
            <w:pPr>
              <w:jc w:val="right"/>
              <w:spacing w:after="0"/>
              <w:rPr>
                <w:sz w:val="20"/>
                <w:szCs w:val="20"/>
                <w:color w:val="auto"/>
              </w:rPr>
            </w:pPr>
            <w:r>
              <w:rPr>
                <w:rFonts w:ascii="Arial" w:cs="Arial" w:eastAsia="Arial" w:hAnsi="Arial"/>
                <w:sz w:val="18"/>
                <w:szCs w:val="18"/>
                <w:color w:val="auto"/>
              </w:rPr>
              <w:t>266,920</w:t>
            </w:r>
          </w:p>
        </w:tc>
        <w:tc>
          <w:tcPr>
            <w:tcW w:w="1280" w:type="dxa"/>
            <w:vAlign w:val="bottom"/>
            <w:gridSpan w:val="4"/>
          </w:tcPr>
          <w:p>
            <w:pPr>
              <w:jc w:val="right"/>
              <w:ind w:right="10"/>
              <w:spacing w:after="0"/>
              <w:rPr>
                <w:sz w:val="20"/>
                <w:szCs w:val="20"/>
                <w:color w:val="auto"/>
              </w:rPr>
            </w:pPr>
            <w:r>
              <w:rPr>
                <w:rFonts w:ascii="Arial" w:cs="Arial" w:eastAsia="Arial" w:hAnsi="Arial"/>
                <w:sz w:val="18"/>
                <w:szCs w:val="18"/>
                <w:color w:val="auto"/>
              </w:rPr>
              <w:t>37 %  $</w:t>
            </w:r>
          </w:p>
        </w:tc>
        <w:tc>
          <w:tcPr>
            <w:tcW w:w="940" w:type="dxa"/>
            <w:vAlign w:val="bottom"/>
          </w:tcPr>
          <w:p>
            <w:pPr>
              <w:jc w:val="right"/>
              <w:spacing w:after="0"/>
              <w:rPr>
                <w:sz w:val="20"/>
                <w:szCs w:val="20"/>
                <w:color w:val="auto"/>
              </w:rPr>
            </w:pPr>
            <w:r>
              <w:rPr>
                <w:rFonts w:ascii="Arial" w:cs="Arial" w:eastAsia="Arial" w:hAnsi="Arial"/>
                <w:sz w:val="18"/>
                <w:szCs w:val="18"/>
                <w:color w:val="auto"/>
              </w:rPr>
              <w:t>710,788</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37 %  $</w:t>
            </w:r>
          </w:p>
        </w:tc>
        <w:tc>
          <w:tcPr>
            <w:tcW w:w="960" w:type="dxa"/>
            <w:vAlign w:val="bottom"/>
          </w:tcPr>
          <w:p>
            <w:pPr>
              <w:jc w:val="right"/>
              <w:spacing w:after="0"/>
              <w:rPr>
                <w:sz w:val="20"/>
                <w:szCs w:val="20"/>
                <w:color w:val="auto"/>
              </w:rPr>
            </w:pPr>
            <w:r>
              <w:rPr>
                <w:rFonts w:ascii="Arial" w:cs="Arial" w:eastAsia="Arial" w:hAnsi="Arial"/>
                <w:sz w:val="18"/>
                <w:szCs w:val="18"/>
                <w:color w:val="auto"/>
              </w:rPr>
              <w:t>532,387</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37 %</w:t>
            </w:r>
          </w:p>
        </w:tc>
        <w:tc>
          <w:tcPr>
            <w:tcW w:w="0" w:type="dxa"/>
            <w:vAlign w:val="bottom"/>
          </w:tcPr>
          <w:p>
            <w:pPr>
              <w:spacing w:after="0"/>
              <w:rPr>
                <w:sz w:val="1"/>
                <w:szCs w:val="1"/>
                <w:color w:val="auto"/>
              </w:rPr>
            </w:pPr>
          </w:p>
        </w:tc>
      </w:tr>
      <w:tr>
        <w:trPr>
          <w:trHeight w:val="230"/>
        </w:trPr>
        <w:tc>
          <w:tcPr>
            <w:tcW w:w="2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Carrier infrastructure</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196,656</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142,438</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364,222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264,685</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29"/>
        </w:trPr>
        <w:tc>
          <w:tcPr>
            <w:tcW w:w="2600" w:type="dxa"/>
            <w:vAlign w:val="bottom"/>
          </w:tcPr>
          <w:p>
            <w:pPr>
              <w:ind w:left="360"/>
              <w:spacing w:after="0"/>
              <w:rPr>
                <w:sz w:val="20"/>
                <w:szCs w:val="20"/>
                <w:color w:val="auto"/>
              </w:rPr>
            </w:pPr>
            <w:r>
              <w:rPr>
                <w:rFonts w:ascii="Arial" w:cs="Arial" w:eastAsia="Arial" w:hAnsi="Arial"/>
                <w:sz w:val="18"/>
                <w:szCs w:val="18"/>
                <w:color w:val="auto"/>
              </w:rPr>
              <w:t>Enterprise networking</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222,732</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158,080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22 %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397,576</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316,380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22 %</w:t>
            </w:r>
          </w:p>
        </w:tc>
        <w:tc>
          <w:tcPr>
            <w:tcW w:w="0" w:type="dxa"/>
            <w:vAlign w:val="bottom"/>
          </w:tcPr>
          <w:p>
            <w:pPr>
              <w:spacing w:after="0"/>
              <w:rPr>
                <w:sz w:val="1"/>
                <w:szCs w:val="1"/>
                <w:color w:val="auto"/>
              </w:rPr>
            </w:pPr>
          </w:p>
        </w:tc>
      </w:tr>
      <w:tr>
        <w:trPr>
          <w:trHeight w:val="230"/>
        </w:trPr>
        <w:tc>
          <w:tcPr>
            <w:tcW w:w="2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165,380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134,370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332,046</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254,661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0" w:type="dxa"/>
            <w:vAlign w:val="bottom"/>
          </w:tcPr>
          <w:p>
            <w:pPr>
              <w:spacing w:after="0"/>
              <w:rPr>
                <w:sz w:val="1"/>
                <w:szCs w:val="1"/>
                <w:color w:val="auto"/>
              </w:rPr>
            </w:pPr>
          </w:p>
        </w:tc>
      </w:tr>
      <w:tr>
        <w:trPr>
          <w:trHeight w:val="230"/>
        </w:trPr>
        <w:tc>
          <w:tcPr>
            <w:tcW w:w="26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57,391</w:t>
            </w:r>
          </w:p>
        </w:tc>
        <w:tc>
          <w:tcPr>
            <w:tcW w:w="9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25,489</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3 %</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103,528</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52,825</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48"/>
        </w:trPr>
        <w:tc>
          <w:tcPr>
            <w:tcW w:w="26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0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1,420,938</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6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The Company classifies end market revenue by using estimates and assumptions based on historical experience and knowledge of current conditions, given available information.</w:t>
      </w:r>
    </w:p>
    <w:p>
      <w:pPr>
        <w:spacing w:after="0" w:line="19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56"/>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Pr>
          <w:p>
            <w:pPr>
              <w:jc w:val="right"/>
              <w:ind w:right="256"/>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196"/>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7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56"/>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6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96"/>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jc w:val="right"/>
              <w:ind w:right="35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40" w:type="dxa"/>
            <w:vAlign w:val="bottom"/>
          </w:tcPr>
          <w:p>
            <w:pPr>
              <w:jc w:val="right"/>
              <w:ind w:right="33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40" w:type="dxa"/>
            <w:vAlign w:val="bottom"/>
          </w:tcPr>
          <w:p>
            <w:pPr>
              <w:jc w:val="right"/>
              <w:ind w:right="35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60" w:type="dxa"/>
            <w:vAlign w:val="bottom"/>
          </w:tcPr>
          <w:p>
            <w:pPr>
              <w:jc w:val="right"/>
              <w:ind w:right="35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50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by product</w:t>
            </w:r>
          </w:p>
        </w:tc>
        <w:tc>
          <w:tcPr>
            <w:tcW w:w="220" w:type="dxa"/>
            <w:vAlign w:val="bottom"/>
            <w:tcBorders>
              <w:top w:val="single" w:sz="8" w:color="auto"/>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2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9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group:</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2500" w:type="dxa"/>
            <w:vAlign w:val="bottom"/>
          </w:tcPr>
          <w:p>
            <w:pPr>
              <w:ind w:left="360"/>
              <w:spacing w:after="0"/>
              <w:rPr>
                <w:sz w:val="20"/>
                <w:szCs w:val="20"/>
                <w:color w:val="auto"/>
              </w:rPr>
            </w:pPr>
            <w:r>
              <w:rPr>
                <w:rFonts w:ascii="Arial" w:cs="Arial" w:eastAsia="Arial" w:hAnsi="Arial"/>
                <w:sz w:val="18"/>
                <w:szCs w:val="18"/>
                <w:color w:val="auto"/>
              </w:rPr>
              <w:t>Networking (1)</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701,712</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65 %  $</w:t>
            </w:r>
          </w:p>
        </w:tc>
        <w:tc>
          <w:tcPr>
            <w:tcW w:w="940" w:type="dxa"/>
            <w:vAlign w:val="bottom"/>
          </w:tcPr>
          <w:p>
            <w:pPr>
              <w:jc w:val="right"/>
              <w:spacing w:after="0"/>
              <w:rPr>
                <w:sz w:val="20"/>
                <w:szCs w:val="20"/>
                <w:color w:val="auto"/>
              </w:rPr>
            </w:pPr>
            <w:r>
              <w:rPr>
                <w:rFonts w:ascii="Arial" w:cs="Arial" w:eastAsia="Arial" w:hAnsi="Arial"/>
                <w:sz w:val="18"/>
                <w:szCs w:val="18"/>
                <w:color w:val="auto"/>
              </w:rPr>
              <w:t>406,008</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56 %  $</w:t>
            </w:r>
          </w:p>
        </w:tc>
        <w:tc>
          <w:tcPr>
            <w:tcW w:w="940" w:type="dxa"/>
            <w:vAlign w:val="bottom"/>
          </w:tcPr>
          <w:p>
            <w:pPr>
              <w:jc w:val="right"/>
              <w:spacing w:after="0"/>
              <w:rPr>
                <w:sz w:val="20"/>
                <w:szCs w:val="20"/>
                <w:color w:val="auto"/>
              </w:rPr>
            </w:pPr>
            <w:r>
              <w:rPr>
                <w:rFonts w:ascii="Arial" w:cs="Arial" w:eastAsia="Arial" w:hAnsi="Arial"/>
                <w:sz w:val="18"/>
                <w:szCs w:val="18"/>
                <w:color w:val="auto"/>
              </w:rPr>
              <w:t>1,199,962</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63 %  $</w:t>
            </w:r>
          </w:p>
        </w:tc>
        <w:tc>
          <w:tcPr>
            <w:tcW w:w="960" w:type="dxa"/>
            <w:vAlign w:val="bottom"/>
          </w:tcPr>
          <w:p>
            <w:pPr>
              <w:jc w:val="right"/>
              <w:spacing w:after="0"/>
              <w:rPr>
                <w:sz w:val="20"/>
                <w:szCs w:val="20"/>
                <w:color w:val="auto"/>
              </w:rPr>
            </w:pPr>
            <w:r>
              <w:rPr>
                <w:rFonts w:ascii="Arial" w:cs="Arial" w:eastAsia="Arial" w:hAnsi="Arial"/>
                <w:sz w:val="18"/>
                <w:szCs w:val="18"/>
                <w:color w:val="auto"/>
              </w:rPr>
              <w:t>799,928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56 %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Storage (2)</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341,713</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290,495</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644,631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549,183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(3)</w:t>
            </w: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32,456</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3 %</w:t>
            </w:r>
          </w:p>
        </w:tc>
        <w:tc>
          <w:tcPr>
            <w:tcW w:w="1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30,794</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63,567</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3 %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71,827</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48"/>
        </w:trPr>
        <w:tc>
          <w:tcPr>
            <w:tcW w:w="25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1,420,938</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640" w:hanging="632"/>
        <w:spacing w:after="0"/>
        <w:tabs>
          <w:tab w:leader="none" w:pos="640" w:val="left"/>
        </w:tabs>
        <w:numPr>
          <w:ilvl w:val="0"/>
          <w:numId w:val="5"/>
        </w:numPr>
        <w:rPr>
          <w:rFonts w:ascii="Arial" w:cs="Arial" w:eastAsia="Arial" w:hAnsi="Arial"/>
          <w:sz w:val="17"/>
          <w:szCs w:val="17"/>
          <w:color w:val="auto"/>
        </w:rPr>
      </w:pPr>
      <w:r>
        <w:rPr>
          <w:rFonts w:ascii="Arial" w:cs="Arial" w:eastAsia="Arial" w:hAnsi="Arial"/>
          <w:sz w:val="17"/>
          <w:szCs w:val="17"/>
          <w:color w:val="auto"/>
        </w:rPr>
        <w:t>Networking products are comprised primarily of ethernet solutions, embedded processors, custom ASICs and electro-optics solutions.</w:t>
      </w:r>
    </w:p>
    <w:p>
      <w:pPr>
        <w:spacing w:after="0" w:line="23" w:lineRule="exact"/>
        <w:rPr>
          <w:rFonts w:ascii="Arial" w:cs="Arial" w:eastAsia="Arial" w:hAnsi="Arial"/>
          <w:sz w:val="17"/>
          <w:szCs w:val="17"/>
          <w:color w:val="auto"/>
        </w:rPr>
      </w:pPr>
    </w:p>
    <w:p>
      <w:pPr>
        <w:ind w:left="640" w:hanging="632"/>
        <w:spacing w:after="0" w:line="234" w:lineRule="auto"/>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ind w:left="640" w:hanging="632"/>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40" w:firstLine="405"/>
        <w:spacing w:after="0" w:line="253"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Pr>
          <w:p>
            <w:pPr>
              <w:jc w:val="right"/>
              <w:ind w:right="234"/>
              <w:spacing w:after="0" w:line="135" w:lineRule="exact"/>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194"/>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7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54"/>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6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94"/>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jc w:val="right"/>
              <w:ind w:right="334"/>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40" w:type="dxa"/>
            <w:vAlign w:val="bottom"/>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40" w:type="dxa"/>
            <w:vAlign w:val="bottom"/>
          </w:tcPr>
          <w:p>
            <w:pPr>
              <w:jc w:val="right"/>
              <w:ind w:right="35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60" w:type="dxa"/>
            <w:vAlign w:val="bottom"/>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48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based on</w:t>
            </w:r>
          </w:p>
        </w:tc>
        <w:tc>
          <w:tcPr>
            <w:tcW w:w="220" w:type="dxa"/>
            <w:vAlign w:val="bottom"/>
            <w:tcBorders>
              <w:top w:val="single" w:sz="8" w:color="auto"/>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2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9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29"/>
        </w:trPr>
        <w:tc>
          <w:tcPr>
            <w:tcW w:w="248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480" w:type="dxa"/>
            <w:vAlign w:val="bottom"/>
          </w:tcPr>
          <w:p>
            <w:pPr>
              <w:ind w:left="360"/>
              <w:spacing w:after="0"/>
              <w:rPr>
                <w:sz w:val="20"/>
                <w:szCs w:val="20"/>
                <w:color w:val="auto"/>
              </w:rPr>
            </w:pPr>
            <w:r>
              <w:rPr>
                <w:rFonts w:ascii="Arial" w:cs="Arial" w:eastAsia="Arial" w:hAnsi="Arial"/>
                <w:sz w:val="18"/>
                <w:szCs w:val="18"/>
                <w:color w:val="auto"/>
              </w:rPr>
              <w:t>China</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488,315</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45 %  $</w:t>
            </w:r>
          </w:p>
        </w:tc>
        <w:tc>
          <w:tcPr>
            <w:tcW w:w="940" w:type="dxa"/>
            <w:vAlign w:val="bottom"/>
          </w:tcPr>
          <w:p>
            <w:pPr>
              <w:jc w:val="right"/>
              <w:spacing w:after="0"/>
              <w:rPr>
                <w:sz w:val="20"/>
                <w:szCs w:val="20"/>
                <w:color w:val="auto"/>
              </w:rPr>
            </w:pPr>
            <w:r>
              <w:rPr>
                <w:rFonts w:ascii="Arial" w:cs="Arial" w:eastAsia="Arial" w:hAnsi="Arial"/>
                <w:sz w:val="18"/>
                <w:szCs w:val="18"/>
                <w:color w:val="auto"/>
              </w:rPr>
              <w:t>303,183</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42 %  $</w:t>
            </w:r>
          </w:p>
        </w:tc>
        <w:tc>
          <w:tcPr>
            <w:tcW w:w="940" w:type="dxa"/>
            <w:vAlign w:val="bottom"/>
          </w:tcPr>
          <w:p>
            <w:pPr>
              <w:jc w:val="right"/>
              <w:spacing w:after="0"/>
              <w:rPr>
                <w:sz w:val="20"/>
                <w:szCs w:val="20"/>
                <w:color w:val="auto"/>
              </w:rPr>
            </w:pPr>
            <w:r>
              <w:rPr>
                <w:rFonts w:ascii="Arial" w:cs="Arial" w:eastAsia="Arial" w:hAnsi="Arial"/>
                <w:sz w:val="18"/>
                <w:szCs w:val="18"/>
                <w:color w:val="auto"/>
              </w:rPr>
              <w:t>829,393</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43 %  $</w:t>
            </w:r>
          </w:p>
        </w:tc>
        <w:tc>
          <w:tcPr>
            <w:tcW w:w="960" w:type="dxa"/>
            <w:vAlign w:val="bottom"/>
          </w:tcPr>
          <w:p>
            <w:pPr>
              <w:jc w:val="right"/>
              <w:spacing w:after="0"/>
              <w:rPr>
                <w:sz w:val="20"/>
                <w:szCs w:val="20"/>
                <w:color w:val="auto"/>
              </w:rPr>
            </w:pPr>
            <w:r>
              <w:rPr>
                <w:rFonts w:ascii="Arial" w:cs="Arial" w:eastAsia="Arial" w:hAnsi="Arial"/>
                <w:sz w:val="18"/>
                <w:szCs w:val="18"/>
                <w:color w:val="auto"/>
              </w:rPr>
              <w:t>583,329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41 %</w:t>
            </w:r>
          </w:p>
        </w:tc>
        <w:tc>
          <w:tcPr>
            <w:tcW w:w="0" w:type="dxa"/>
            <w:vAlign w:val="bottom"/>
          </w:tcPr>
          <w:p>
            <w:pPr>
              <w:spacing w:after="0"/>
              <w:rPr>
                <w:sz w:val="1"/>
                <w:szCs w:val="1"/>
                <w:color w:val="auto"/>
              </w:rPr>
            </w:pPr>
          </w:p>
        </w:tc>
      </w:tr>
      <w:tr>
        <w:trPr>
          <w:trHeight w:val="229"/>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123,162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86,831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210,576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168,062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9"/>
        </w:trPr>
        <w:tc>
          <w:tcPr>
            <w:tcW w:w="2480" w:type="dxa"/>
            <w:vAlign w:val="bottom"/>
          </w:tcPr>
          <w:p>
            <w:pPr>
              <w:ind w:left="360"/>
              <w:spacing w:after="0"/>
              <w:rPr>
                <w:sz w:val="20"/>
                <w:szCs w:val="20"/>
                <w:color w:val="auto"/>
              </w:rPr>
            </w:pPr>
            <w:r>
              <w:rPr>
                <w:rFonts w:ascii="Arial" w:cs="Arial" w:eastAsia="Arial" w:hAnsi="Arial"/>
                <w:sz w:val="18"/>
                <w:szCs w:val="18"/>
                <w:color w:val="auto"/>
              </w:rPr>
              <w:t>Thailand</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82,985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60,464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160,777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128,008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30"/>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72,433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60,186</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131,012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124,853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9"/>
        </w:trPr>
        <w:tc>
          <w:tcPr>
            <w:tcW w:w="2480" w:type="dxa"/>
            <w:vAlign w:val="bottom"/>
          </w:tcPr>
          <w:p>
            <w:pPr>
              <w:ind w:left="360"/>
              <w:spacing w:after="0"/>
              <w:rPr>
                <w:sz w:val="20"/>
                <w:szCs w:val="20"/>
                <w:color w:val="auto"/>
              </w:rPr>
            </w:pPr>
            <w:r>
              <w:rPr>
                <w:rFonts w:ascii="Arial" w:cs="Arial" w:eastAsia="Arial" w:hAnsi="Arial"/>
                <w:sz w:val="18"/>
                <w:szCs w:val="18"/>
                <w:color w:val="auto"/>
              </w:rPr>
              <w:t>Singapore</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58,420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30,520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109,930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69,226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55,704</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49,554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103,322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74,129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29"/>
        </w:trPr>
        <w:tc>
          <w:tcPr>
            <w:tcW w:w="24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194,862</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19 %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136,559</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19 %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363,150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273,331</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48"/>
        </w:trPr>
        <w:tc>
          <w:tcPr>
            <w:tcW w:w="24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1,420,938</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4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57"/>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20" w:type="dxa"/>
            <w:vAlign w:val="bottom"/>
          </w:tcPr>
          <w:p>
            <w:pPr>
              <w:jc w:val="right"/>
              <w:ind w:right="257"/>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197"/>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7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57"/>
              <w:spacing w:after="0" w:line="135"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116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97"/>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jc w:val="right"/>
              <w:ind w:right="35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940" w:type="dxa"/>
            <w:vAlign w:val="bottom"/>
          </w:tcPr>
          <w:p>
            <w:pPr>
              <w:jc w:val="right"/>
              <w:ind w:right="33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40" w:type="dxa"/>
            <w:vAlign w:val="bottom"/>
          </w:tcPr>
          <w:p>
            <w:pPr>
              <w:jc w:val="right"/>
              <w:ind w:right="35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60" w:type="dxa"/>
            <w:vAlign w:val="bottom"/>
          </w:tcPr>
          <w:p>
            <w:pPr>
              <w:jc w:val="right"/>
              <w:ind w:right="35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50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by customer</w:t>
            </w:r>
          </w:p>
        </w:tc>
        <w:tc>
          <w:tcPr>
            <w:tcW w:w="220" w:type="dxa"/>
            <w:vAlign w:val="bottom"/>
            <w:tcBorders>
              <w:top w:val="single" w:sz="8" w:color="auto"/>
            </w:tcBorders>
            <w:shd w:val="clear" w:color="auto" w:fill="CCEEFF"/>
          </w:tcPr>
          <w:p>
            <w:pPr>
              <w:spacing w:after="0"/>
              <w:rPr>
                <w:sz w:val="13"/>
                <w:szCs w:val="13"/>
                <w:color w:val="auto"/>
              </w:rPr>
            </w:pPr>
          </w:p>
        </w:tc>
        <w:tc>
          <w:tcPr>
            <w:tcW w:w="9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8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22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200" w:type="dxa"/>
            <w:vAlign w:val="bottom"/>
            <w:tcBorders>
              <w:top w:val="single" w:sz="8" w:color="auto"/>
            </w:tcBorders>
            <w:shd w:val="clear" w:color="auto" w:fill="CCEEFF"/>
          </w:tcPr>
          <w:p>
            <w:pPr>
              <w:spacing w:after="0"/>
              <w:rPr>
                <w:sz w:val="13"/>
                <w:szCs w:val="13"/>
                <w:color w:val="auto"/>
              </w:rPr>
            </w:pPr>
          </w:p>
        </w:tc>
        <w:tc>
          <w:tcPr>
            <w:tcW w:w="9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820,788</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76 %  $</w:t>
            </w:r>
          </w:p>
        </w:tc>
        <w:tc>
          <w:tcPr>
            <w:tcW w:w="940" w:type="dxa"/>
            <w:vAlign w:val="bottom"/>
          </w:tcPr>
          <w:p>
            <w:pPr>
              <w:jc w:val="right"/>
              <w:spacing w:after="0"/>
              <w:rPr>
                <w:sz w:val="20"/>
                <w:szCs w:val="20"/>
                <w:color w:val="auto"/>
              </w:rPr>
            </w:pPr>
            <w:r>
              <w:rPr>
                <w:rFonts w:ascii="Arial" w:cs="Arial" w:eastAsia="Arial" w:hAnsi="Arial"/>
                <w:sz w:val="18"/>
                <w:szCs w:val="18"/>
                <w:color w:val="auto"/>
              </w:rPr>
              <w:t>541,348</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74 %  $</w:t>
            </w:r>
          </w:p>
        </w:tc>
        <w:tc>
          <w:tcPr>
            <w:tcW w:w="940" w:type="dxa"/>
            <w:vAlign w:val="bottom"/>
          </w:tcPr>
          <w:p>
            <w:pPr>
              <w:jc w:val="right"/>
              <w:spacing w:after="0"/>
              <w:rPr>
                <w:sz w:val="20"/>
                <w:szCs w:val="20"/>
                <w:color w:val="auto"/>
              </w:rPr>
            </w:pPr>
            <w:r>
              <w:rPr>
                <w:rFonts w:ascii="Arial" w:cs="Arial" w:eastAsia="Arial" w:hAnsi="Arial"/>
                <w:sz w:val="18"/>
                <w:szCs w:val="18"/>
                <w:color w:val="auto"/>
              </w:rPr>
              <w:t>1,391,094</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73 %  $</w:t>
            </w:r>
          </w:p>
        </w:tc>
        <w:tc>
          <w:tcPr>
            <w:tcW w:w="960" w:type="dxa"/>
            <w:vAlign w:val="bottom"/>
          </w:tcPr>
          <w:p>
            <w:pPr>
              <w:jc w:val="right"/>
              <w:spacing w:after="0"/>
              <w:rPr>
                <w:sz w:val="20"/>
                <w:szCs w:val="20"/>
                <w:color w:val="auto"/>
              </w:rPr>
            </w:pPr>
            <w:r>
              <w:rPr>
                <w:rFonts w:ascii="Arial" w:cs="Arial" w:eastAsia="Arial" w:hAnsi="Arial"/>
                <w:sz w:val="18"/>
                <w:szCs w:val="18"/>
                <w:color w:val="auto"/>
              </w:rPr>
              <w:t>1,072,752</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75 %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255,093</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185,949</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517,066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27 %</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348,186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0" w:type="dxa"/>
            <w:vAlign w:val="bottom"/>
          </w:tcPr>
          <w:p>
            <w:pPr>
              <w:spacing w:after="0"/>
              <w:rPr>
                <w:sz w:val="1"/>
                <w:szCs w:val="1"/>
                <w:color w:val="auto"/>
              </w:rPr>
            </w:pPr>
          </w:p>
        </w:tc>
      </w:tr>
      <w:tr>
        <w:trPr>
          <w:trHeight w:val="223"/>
        </w:trPr>
        <w:tc>
          <w:tcPr>
            <w:tcW w:w="250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1,075,881</w:t>
            </w: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727,297</w:t>
            </w: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1,420,938</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25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July 31, 2021,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unaudited condensed consolidated balance sheets.</w:t>
      </w:r>
    </w:p>
    <w:p>
      <w:pPr>
        <w:spacing w:after="0" w:line="190" w:lineRule="exact"/>
        <w:rPr>
          <w:sz w:val="20"/>
          <w:szCs w:val="20"/>
          <w:color w:val="auto"/>
        </w:rPr>
      </w:pPr>
    </w:p>
    <w:p>
      <w:pPr>
        <w:ind w:right="260" w:firstLine="405"/>
        <w:spacing w:after="0" w:line="241"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2022 was $181.0 million. During the six months ended July 31, 2021, contract liabilities increased by $484.7 million associated with variable consideration estimates, offset by $475.2 million decrease in such reserves primarily due to credit memos issued to customers. The ending balance of contract liabilities as of the second quarter of fiscal year 2022 was $190.5 million. The amount of revenue recognized during the six months ended July 31, 2021 that was included in the contract liabilities balance at January 30, 2021 was not material.</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3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Restructuring</w:t>
      </w:r>
    </w:p>
    <w:p>
      <w:pPr>
        <w:spacing w:after="0" w:line="229" w:lineRule="exact"/>
        <w:rPr>
          <w:sz w:val="20"/>
          <w:szCs w:val="20"/>
          <w:color w:val="auto"/>
        </w:rPr>
      </w:pPr>
    </w:p>
    <w:p>
      <w:pPr>
        <w:ind w:right="120" w:firstLine="405"/>
        <w:spacing w:after="0" w:line="225"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A restructuring plan was initiated during the first quarter of fiscal 2022 (the “Fiscal 2022 Plan”) in order to realign the organization and enable further investment in key priority areas.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$12.3 million and $25.2 million for the three and six months ended July 31, 2021, respectively, which includes $10.1 million and $19.9 million of charges related to the Fiscal 2022 Plan. The Company expects to complete these restructuring actions by the end of fiscal 2023.</w:t>
      </w:r>
    </w:p>
    <w:p>
      <w:pPr>
        <w:spacing w:after="0" w:line="221" w:lineRule="exact"/>
        <w:rPr>
          <w:sz w:val="20"/>
          <w:szCs w:val="20"/>
          <w:color w:val="auto"/>
        </w:rPr>
      </w:pPr>
    </w:p>
    <w:p>
      <w:pPr>
        <w:ind w:right="80" w:firstLine="405"/>
        <w:spacing w:after="0" w:line="284" w:lineRule="auto"/>
        <w:rPr>
          <w:sz w:val="20"/>
          <w:szCs w:val="20"/>
          <w:color w:val="auto"/>
        </w:rPr>
      </w:pPr>
      <w:r>
        <w:rPr>
          <w:rFonts w:ascii="Arial" w:cs="Arial" w:eastAsia="Arial" w:hAnsi="Arial"/>
          <w:sz w:val="16"/>
          <w:szCs w:val="16"/>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$120.6 million and $141.9 million for the three and six months ended August 1, 2020, respectively.</w:t>
      </w:r>
    </w:p>
    <w:p>
      <w:pPr>
        <w:spacing w:after="0" w:line="182" w:lineRule="exact"/>
        <w:rPr>
          <w:sz w:val="20"/>
          <w:szCs w:val="20"/>
          <w:color w:val="auto"/>
        </w:rPr>
      </w:pPr>
    </w:p>
    <w:p>
      <w:pPr>
        <w:ind w:right="140" w:firstLine="414"/>
        <w:spacing w:after="0" w:line="253"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1520" w:type="dxa"/>
            <w:vAlign w:val="bottom"/>
            <w:gridSpan w:val="3"/>
          </w:tcPr>
          <w:p>
            <w:pPr>
              <w:ind w:left="80"/>
              <w:spacing w:after="0"/>
              <w:rPr>
                <w:sz w:val="20"/>
                <w:szCs w:val="20"/>
                <w:color w:val="auto"/>
              </w:rPr>
            </w:pPr>
            <w:r>
              <w:rPr>
                <w:rFonts w:ascii="Arial" w:cs="Arial" w:eastAsia="Arial" w:hAnsi="Arial"/>
                <w:sz w:val="14"/>
                <w:szCs w:val="14"/>
                <w:b w:val="1"/>
                <w:bCs w:val="1"/>
                <w:color w:val="auto"/>
              </w:rPr>
              <w:t>Employee Severance</w:t>
            </w:r>
          </w:p>
        </w:tc>
        <w:tc>
          <w:tcPr>
            <w:tcW w:w="320" w:type="dxa"/>
            <w:vAlign w:val="bottom"/>
          </w:tcPr>
          <w:p>
            <w:pPr>
              <w:spacing w:after="0"/>
              <w:rPr>
                <w:sz w:val="16"/>
                <w:szCs w:val="16"/>
                <w:color w:val="auto"/>
              </w:rPr>
            </w:pPr>
          </w:p>
        </w:tc>
        <w:tc>
          <w:tcPr>
            <w:tcW w:w="1220" w:type="dxa"/>
            <w:vAlign w:val="bottom"/>
            <w:gridSpan w:val="2"/>
          </w:tcPr>
          <w:p>
            <w:pPr>
              <w:ind w:left="220"/>
              <w:spacing w:after="0"/>
              <w:rPr>
                <w:sz w:val="20"/>
                <w:szCs w:val="20"/>
                <w:color w:val="auto"/>
              </w:rPr>
            </w:pPr>
            <w:r>
              <w:rPr>
                <w:rFonts w:ascii="Arial" w:cs="Arial" w:eastAsia="Arial" w:hAnsi="Arial"/>
                <w:sz w:val="14"/>
                <w:szCs w:val="14"/>
                <w:b w:val="1"/>
                <w:bCs w:val="1"/>
                <w:color w:val="auto"/>
              </w:rPr>
              <w:t>Other</w:t>
            </w:r>
          </w:p>
        </w:tc>
        <w:tc>
          <w:tcPr>
            <w:tcW w:w="340" w:type="dxa"/>
            <w:vAlign w:val="bottom"/>
          </w:tcPr>
          <w:p>
            <w:pPr>
              <w:spacing w:after="0"/>
              <w:rPr>
                <w:sz w:val="16"/>
                <w:szCs w:val="16"/>
                <w:color w:val="auto"/>
              </w:rPr>
            </w:pPr>
          </w:p>
        </w:tc>
        <w:tc>
          <w:tcPr>
            <w:tcW w:w="1100" w:type="dxa"/>
            <w:vAlign w:val="bottom"/>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29"/>
        </w:trPr>
        <w:tc>
          <w:tcPr>
            <w:tcW w:w="6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January 30, 2021</w:t>
            </w:r>
          </w:p>
        </w:tc>
        <w:tc>
          <w:tcPr>
            <w:tcW w:w="440" w:type="dxa"/>
            <w:vAlign w:val="bottom"/>
            <w:tcBorders>
              <w:top w:val="single" w:sz="8" w:color="auto"/>
            </w:tcBorders>
            <w:shd w:val="clear" w:color="auto" w:fill="CCEEFF"/>
          </w:tcPr>
          <w:p>
            <w:pPr>
              <w:jc w:val="right"/>
              <w:ind w:right="256"/>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5,596</w:t>
            </w:r>
          </w:p>
        </w:tc>
        <w:tc>
          <w:tcPr>
            <w:tcW w:w="100" w:type="dxa"/>
            <w:vAlign w:val="bottom"/>
            <w:tcBorders>
              <w:top w:val="single" w:sz="8" w:color="CCEEFF"/>
            </w:tcBorders>
            <w:shd w:val="clear" w:color="auto" w:fill="CCEEFF"/>
          </w:tcPr>
          <w:p>
            <w:pPr>
              <w:spacing w:after="0"/>
              <w:rPr>
                <w:sz w:val="19"/>
                <w:szCs w:val="19"/>
                <w:color w:val="auto"/>
              </w:rPr>
            </w:pPr>
          </w:p>
        </w:tc>
        <w:tc>
          <w:tcPr>
            <w:tcW w:w="320" w:type="dxa"/>
            <w:vAlign w:val="bottom"/>
            <w:tcBorders>
              <w:top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center"/>
              <w:ind w:left="473"/>
              <w:spacing w:after="0"/>
              <w:rPr>
                <w:sz w:val="20"/>
                <w:szCs w:val="20"/>
                <w:color w:val="auto"/>
              </w:rPr>
            </w:pPr>
            <w:r>
              <w:rPr>
                <w:rFonts w:ascii="Arial" w:cs="Arial" w:eastAsia="Arial" w:hAnsi="Arial"/>
                <w:sz w:val="18"/>
                <w:szCs w:val="18"/>
                <w:color w:val="auto"/>
                <w:w w:val="88"/>
              </w:rPr>
              <w:t>5,204</w:t>
            </w:r>
          </w:p>
        </w:tc>
        <w:tc>
          <w:tcPr>
            <w:tcW w:w="1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10,800</w:t>
            </w:r>
          </w:p>
        </w:tc>
      </w:tr>
      <w:tr>
        <w:trPr>
          <w:trHeight w:val="230"/>
        </w:trPr>
        <w:tc>
          <w:tcPr>
            <w:tcW w:w="6740" w:type="dxa"/>
            <w:vAlign w:val="bottom"/>
          </w:tcPr>
          <w:p>
            <w:pPr>
              <w:ind w:left="20"/>
              <w:spacing w:after="0"/>
              <w:rPr>
                <w:sz w:val="20"/>
                <w:szCs w:val="20"/>
                <w:color w:val="auto"/>
              </w:rPr>
            </w:pPr>
            <w:r>
              <w:rPr>
                <w:rFonts w:ascii="Arial" w:cs="Arial" w:eastAsia="Arial" w:hAnsi="Arial"/>
                <w:sz w:val="18"/>
                <w:szCs w:val="18"/>
                <w:color w:val="auto"/>
              </w:rPr>
              <w:t>Charges</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19,499</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center"/>
              <w:ind w:left="473"/>
              <w:spacing w:after="0"/>
              <w:rPr>
                <w:sz w:val="20"/>
                <w:szCs w:val="20"/>
                <w:color w:val="auto"/>
              </w:rPr>
            </w:pPr>
            <w:r>
              <w:rPr>
                <w:rFonts w:ascii="Arial" w:cs="Arial" w:eastAsia="Arial" w:hAnsi="Arial"/>
                <w:sz w:val="18"/>
                <w:szCs w:val="18"/>
                <w:color w:val="auto"/>
                <w:w w:val="88"/>
              </w:rPr>
              <w:t>5,681</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25,180</w:t>
            </w:r>
          </w:p>
        </w:tc>
      </w:tr>
      <w:tr>
        <w:trPr>
          <w:trHeight w:val="229"/>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payments</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(15,916)</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center"/>
              <w:ind w:left="453"/>
              <w:spacing w:after="0"/>
              <w:rPr>
                <w:sz w:val="20"/>
                <w:szCs w:val="20"/>
                <w:color w:val="auto"/>
              </w:rPr>
            </w:pPr>
            <w:r>
              <w:rPr>
                <w:rFonts w:ascii="Arial" w:cs="Arial" w:eastAsia="Arial" w:hAnsi="Arial"/>
                <w:sz w:val="18"/>
                <w:szCs w:val="18"/>
                <w:color w:val="auto"/>
                <w:w w:val="94"/>
              </w:rPr>
              <w:t>(4,765)</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(20,681)</w:t>
            </w:r>
          </w:p>
        </w:tc>
      </w:tr>
      <w:tr>
        <w:trPr>
          <w:trHeight w:val="229"/>
        </w:trPr>
        <w:tc>
          <w:tcPr>
            <w:tcW w:w="6740" w:type="dxa"/>
            <w:vAlign w:val="bottom"/>
          </w:tcPr>
          <w:p>
            <w:pPr>
              <w:ind w:left="20"/>
              <w:spacing w:after="0"/>
              <w:rPr>
                <w:sz w:val="20"/>
                <w:szCs w:val="20"/>
                <w:color w:val="auto"/>
              </w:rPr>
            </w:pPr>
            <w:r>
              <w:rPr>
                <w:rFonts w:ascii="Arial" w:cs="Arial" w:eastAsia="Arial" w:hAnsi="Arial"/>
                <w:sz w:val="18"/>
                <w:szCs w:val="18"/>
                <w:color w:val="auto"/>
              </w:rPr>
              <w:t>Non-cash items</w:t>
            </w:r>
          </w:p>
        </w:tc>
        <w:tc>
          <w:tcPr>
            <w:tcW w:w="440" w:type="dxa"/>
            <w:vAlign w:val="bottom"/>
          </w:tcPr>
          <w:p>
            <w:pPr>
              <w:spacing w:after="0"/>
              <w:rPr>
                <w:sz w:val="19"/>
                <w:szCs w:val="19"/>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120" w:type="dxa"/>
            <w:vAlign w:val="bottom"/>
          </w:tcPr>
          <w:p>
            <w:pPr>
              <w:jc w:val="center"/>
              <w:ind w:left="453"/>
              <w:spacing w:after="0"/>
              <w:rPr>
                <w:sz w:val="20"/>
                <w:szCs w:val="20"/>
                <w:color w:val="auto"/>
              </w:rPr>
            </w:pPr>
            <w:r>
              <w:rPr>
                <w:rFonts w:ascii="Arial" w:cs="Arial" w:eastAsia="Arial" w:hAnsi="Arial"/>
                <w:sz w:val="18"/>
                <w:szCs w:val="18"/>
                <w:color w:val="auto"/>
                <w:w w:val="94"/>
              </w:rPr>
              <w:t>(2,560)</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(2,560)</w:t>
            </w:r>
          </w:p>
        </w:tc>
      </w:tr>
      <w:tr>
        <w:trPr>
          <w:trHeight w:val="248"/>
        </w:trPr>
        <w:tc>
          <w:tcPr>
            <w:tcW w:w="67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July 31, 2021</w:t>
            </w:r>
          </w:p>
        </w:tc>
        <w:tc>
          <w:tcPr>
            <w:tcW w:w="440" w:type="dxa"/>
            <w:vAlign w:val="bottom"/>
            <w:tcBorders>
              <w:top w:val="single" w:sz="8" w:color="auto"/>
              <w:bottom w:val="single" w:sz="8" w:color="auto"/>
            </w:tcBorders>
            <w:shd w:val="clear" w:color="auto" w:fill="CCEEFF"/>
          </w:tcPr>
          <w:p>
            <w:pPr>
              <w:jc w:val="right"/>
              <w:ind w:right="256"/>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9,179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center"/>
              <w:ind w:left="473"/>
              <w:spacing w:after="0"/>
              <w:rPr>
                <w:sz w:val="20"/>
                <w:szCs w:val="20"/>
                <w:color w:val="auto"/>
              </w:rPr>
            </w:pPr>
            <w:r>
              <w:rPr>
                <w:rFonts w:ascii="Arial" w:cs="Arial" w:eastAsia="Arial" w:hAnsi="Arial"/>
                <w:sz w:val="18"/>
                <w:szCs w:val="18"/>
                <w:color w:val="auto"/>
                <w:w w:val="88"/>
              </w:rPr>
              <w:t>3,560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right="220" w:firstLine="405"/>
        <w:spacing w:after="0" w:line="324" w:lineRule="auto"/>
        <w:rPr>
          <w:sz w:val="20"/>
          <w:szCs w:val="20"/>
          <w:color w:val="auto"/>
        </w:rPr>
      </w:pPr>
      <w:r>
        <w:rPr>
          <w:rFonts w:ascii="Arial" w:cs="Arial" w:eastAsia="Arial" w:hAnsi="Arial"/>
          <w:sz w:val="16"/>
          <w:szCs w:val="16"/>
          <w:color w:val="auto"/>
        </w:rPr>
        <w:t>The current and non-current portions of the restructuring liability at July 31, 2021 of $11.1 million and $1.6 million are included as a component of accrued liabilities and other non-current liabilities respectively in the accompanying unaudited condensed consolidated balance sheets.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31,</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372,047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187,351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87,485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80,877</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459,532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268,228</w:t>
            </w: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inventory balance at July 31, 2021 includes $17.6 million related to the remaining inventory fair value adjustment from the Inphi acquisition.</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July 31,</w:t>
            </w:r>
          </w:p>
        </w:tc>
        <w:tc>
          <w:tcPr>
            <w:tcW w:w="240" w:type="dxa"/>
            <w:vAlign w:val="bottom"/>
          </w:tcPr>
          <w:p>
            <w:pPr>
              <w:spacing w:after="0"/>
              <w:rPr>
                <w:sz w:val="14"/>
                <w:szCs w:val="1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812,524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693,689</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290,671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284,532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105,109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103,789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28,097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26,990</w:t>
            </w:r>
          </w:p>
        </w:tc>
      </w:tr>
      <w:tr>
        <w:trPr>
          <w:trHeight w:val="223"/>
        </w:trPr>
        <w:tc>
          <w:tcPr>
            <w:tcW w:w="8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1,236,401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1,109,000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 and amortization</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(803,310)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(782,875)</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433,091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326,125</w:t>
            </w: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736"/>
        </w:trPr>
        <w:tc>
          <w:tcPr>
            <w:tcW w:w="8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July 31,</w:t>
            </w:r>
          </w:p>
        </w:tc>
        <w:tc>
          <w:tcPr>
            <w:tcW w:w="240" w:type="dxa"/>
            <w:vAlign w:val="bottom"/>
          </w:tcPr>
          <w:p>
            <w:pPr>
              <w:spacing w:after="0"/>
              <w:rPr>
                <w:sz w:val="24"/>
                <w:szCs w:val="2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323,665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242,244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Prepaid ship and debits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131,657</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Operating right-of-use assets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142,348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101,411</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Non-marketable equity investments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36,506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7,646</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43,341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58,611</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assets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718,110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541,569</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142" w:lineRule="exact"/>
        <w:rPr>
          <w:sz w:val="20"/>
          <w:szCs w:val="20"/>
          <w:color w:val="auto"/>
        </w:rPr>
      </w:pPr>
    </w:p>
    <w:p>
      <w:pPr>
        <w:jc w:val="center"/>
        <w:ind w:left="8540"/>
        <w:spacing w:after="0"/>
        <w:rPr>
          <w:sz w:val="20"/>
          <w:szCs w:val="20"/>
          <w:color w:val="auto"/>
        </w:rPr>
      </w:pPr>
      <w:r>
        <w:rPr>
          <w:rFonts w:ascii="Arial" w:cs="Arial" w:eastAsia="Arial" w:hAnsi="Arial"/>
          <w:sz w:val="13"/>
          <w:szCs w:val="13"/>
          <w:b w:val="1"/>
          <w:bCs w:val="1"/>
          <w:color w:val="auto"/>
        </w:rPr>
        <w:t>July 31,</w:t>
      </w:r>
    </w:p>
    <w:p>
      <w:pPr>
        <w:spacing w:after="0" w:line="2" w:lineRule="exact"/>
        <w:rPr>
          <w:sz w:val="20"/>
          <w:szCs w:val="20"/>
          <w:color w:val="auto"/>
        </w:rPr>
      </w:pPr>
    </w:p>
    <w:p>
      <w:pPr>
        <w:jc w:val="center"/>
        <w:ind w:left="854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jc w:val="center"/>
        <w:ind w:right="34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right="340"/>
        <w:spacing w:after="0"/>
        <w:rPr>
          <w:sz w:val="20"/>
          <w:szCs w:val="20"/>
          <w:color w:val="auto"/>
        </w:rPr>
      </w:pPr>
      <w:r>
        <w:rPr>
          <w:rFonts w:ascii="Arial" w:cs="Arial" w:eastAsia="Arial" w:hAnsi="Arial"/>
          <w:sz w:val="14"/>
          <w:szCs w:val="14"/>
          <w:b w:val="1"/>
          <w:bCs w:val="1"/>
          <w:color w:val="auto"/>
        </w:rPr>
        <w:t>2021</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2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44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44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r>
      <w:tr>
        <w:trPr>
          <w:trHeight w:val="229"/>
        </w:trPr>
        <w:tc>
          <w:tcPr>
            <w:tcW w:w="8240" w:type="dxa"/>
            <w:vAlign w:val="bottom"/>
          </w:tcPr>
          <w:p>
            <w:pPr>
              <w:ind w:left="120"/>
              <w:spacing w:after="0"/>
              <w:rPr>
                <w:sz w:val="20"/>
                <w:szCs w:val="20"/>
                <w:color w:val="auto"/>
              </w:rPr>
            </w:pPr>
            <w:r>
              <w:rPr>
                <w:rFonts w:ascii="Arial" w:cs="Arial" w:eastAsia="Arial" w:hAnsi="Arial"/>
                <w:sz w:val="18"/>
                <w:szCs w:val="18"/>
                <w:color w:val="auto"/>
              </w:rPr>
              <w:t>Contract liabilities</w:t>
            </w: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190,498</w:t>
            </w:r>
          </w:p>
        </w:tc>
        <w:tc>
          <w:tcPr>
            <w:tcW w:w="120" w:type="dxa"/>
            <w:vAlign w:val="bottom"/>
          </w:tcPr>
          <w:p>
            <w:pPr>
              <w:spacing w:after="0"/>
              <w:rPr>
                <w:sz w:val="19"/>
                <w:szCs w:val="19"/>
                <w:color w:val="auto"/>
              </w:rPr>
            </w:pP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180,995</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Technology license obligations</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100,599</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71,130</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Deferred non-recurring engineering credits</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57,049</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37,300</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Lease liabilities - current portion</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39,329</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32,461</w:t>
            </w:r>
          </w:p>
        </w:tc>
      </w:tr>
      <w:tr>
        <w:trPr>
          <w:trHeight w:val="229"/>
        </w:trPr>
        <w:tc>
          <w:tcPr>
            <w:tcW w:w="8240" w:type="dxa"/>
            <w:vAlign w:val="bottom"/>
          </w:tcPr>
          <w:p>
            <w:pPr>
              <w:ind w:left="120"/>
              <w:spacing w:after="0"/>
              <w:rPr>
                <w:sz w:val="20"/>
                <w:szCs w:val="20"/>
                <w:color w:val="auto"/>
              </w:rPr>
            </w:pPr>
            <w:r>
              <w:rPr>
                <w:rFonts w:ascii="Arial" w:cs="Arial" w:eastAsia="Arial" w:hAnsi="Arial"/>
                <w:sz w:val="18"/>
                <w:szCs w:val="18"/>
                <w:color w:val="auto"/>
              </w:rPr>
              <w:t>Accrued legal reserve</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27,862</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50,101</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Deferred revenue</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24,855</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16,146</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Accrued interest</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21,563</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8,709</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Accrued royalty</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20,514</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12,740</w:t>
            </w:r>
          </w:p>
        </w:tc>
      </w:tr>
      <w:tr>
        <w:trPr>
          <w:trHeight w:val="229"/>
        </w:trPr>
        <w:tc>
          <w:tcPr>
            <w:tcW w:w="8240" w:type="dxa"/>
            <w:vAlign w:val="bottom"/>
            <w:tcBorders>
              <w:bottom w:val="single" w:sz="8" w:color="CCEEFF"/>
            </w:tcBorders>
          </w:tcPr>
          <w:p>
            <w:pPr>
              <w:ind w:left="120"/>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36,945</w:t>
            </w:r>
          </w:p>
        </w:tc>
        <w:tc>
          <w:tcPr>
            <w:tcW w:w="120" w:type="dxa"/>
            <w:vAlign w:val="bottom"/>
            <w:tcBorders>
              <w:bottom w:val="single" w:sz="8" w:color="CCEEFF"/>
            </w:tcBorders>
          </w:tcPr>
          <w:p>
            <w:pPr>
              <w:spacing w:after="0"/>
              <w:rPr>
                <w:sz w:val="19"/>
                <w:szCs w:val="19"/>
                <w:color w:val="auto"/>
              </w:rPr>
            </w:pPr>
          </w:p>
        </w:tc>
        <w:tc>
          <w:tcPr>
            <w:tcW w:w="4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26,034</w:t>
            </w:r>
          </w:p>
        </w:tc>
      </w:tr>
      <w:tr>
        <w:trPr>
          <w:trHeight w:val="248"/>
        </w:trPr>
        <w:tc>
          <w:tcPr>
            <w:tcW w:w="82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Accrued liabilities</w:t>
            </w: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519,214</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435,616</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type w:val="continuous"/>
        </w:sectPr>
      </w:pPr>
    </w:p>
    <w:p>
      <w:pPr>
        <w:spacing w:after="0" w:line="398"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July 31,</w:t>
      </w:r>
    </w:p>
    <w:p>
      <w:pPr>
        <w:spacing w:after="0" w:line="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378"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2021</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1"/>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Lease liabilities-non current</w:t>
            </w: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146,145</w:t>
            </w:r>
          </w:p>
        </w:tc>
        <w:tc>
          <w:tcPr>
            <w:tcW w:w="100" w:type="dxa"/>
            <w:vAlign w:val="bottom"/>
          </w:tcPr>
          <w:p>
            <w:pPr>
              <w:spacing w:after="0"/>
              <w:rPr>
                <w:sz w:val="19"/>
                <w:szCs w:val="19"/>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104,417</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 obligations</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128,393</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86,241</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Non-current income tax payable</w:t>
            </w: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30,943</w:t>
            </w: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22,526</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liabilities</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22,451</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22,359</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22,226</w:t>
            </w:r>
          </w:p>
        </w:tc>
        <w:tc>
          <w:tcPr>
            <w:tcW w:w="100" w:type="dxa"/>
            <w:vAlign w:val="bottom"/>
            <w:tcBorders>
              <w:bottom w:val="single" w:sz="8" w:color="CCEEFF"/>
            </w:tcBorders>
          </w:tcPr>
          <w:p>
            <w:pPr>
              <w:spacing w:after="0"/>
              <w:rPr>
                <w:sz w:val="19"/>
                <w:szCs w:val="19"/>
                <w:color w:val="auto"/>
              </w:rPr>
            </w:pP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23,310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350,158</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243" w:lineRule="exact"/>
        <w:rPr>
          <w:sz w:val="20"/>
          <w:szCs w:val="20"/>
          <w:color w:val="auto"/>
        </w:rPr>
      </w:pPr>
    </w:p>
    <w:p>
      <w:pPr>
        <w:ind w:right="400" w:firstLine="405"/>
        <w:spacing w:after="0" w:line="253" w:lineRule="auto"/>
        <w:rPr>
          <w:sz w:val="20"/>
          <w:szCs w:val="20"/>
          <w:color w:val="auto"/>
        </w:rPr>
      </w:pPr>
      <w:r>
        <w:rPr>
          <w:rFonts w:ascii="Arial" w:cs="Arial" w:eastAsia="Arial" w:hAnsi="Arial"/>
          <w:sz w:val="18"/>
          <w:szCs w:val="18"/>
          <w:color w:val="auto"/>
        </w:rPr>
        <w:t>As of July 31, 2021, there are no changes in accumulated other comprehensive income (loss) by components. The changes in accumulated other comprehensive income (loss) by components for the comparative period are presented in the following table:</w:t>
      </w:r>
    </w:p>
    <w:tbl>
      <w:tblPr>
        <w:tblLayout w:type="fixed"/>
        <w:tblInd w:w="0" w:type="dxa"/>
        <w:tblCellMar>
          <w:top w:w="0" w:type="dxa"/>
          <w:left w:w="0" w:type="dxa"/>
          <w:bottom w:w="0" w:type="dxa"/>
          <w:right w:w="0" w:type="dxa"/>
        </w:tblCellMar>
      </w:tblPr>
      <w:tr>
        <w:trPr>
          <w:trHeight w:val="145"/>
        </w:trPr>
        <w:tc>
          <w:tcPr>
            <w:tcW w:w="9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tcPr>
          <w:p>
            <w:pPr>
              <w:jc w:val="center"/>
              <w:ind w:right="77"/>
              <w:spacing w:after="0" w:line="145" w:lineRule="exact"/>
              <w:rPr>
                <w:sz w:val="20"/>
                <w:szCs w:val="20"/>
                <w:color w:val="auto"/>
              </w:rPr>
            </w:pPr>
            <w:r>
              <w:rPr>
                <w:rFonts w:ascii="Arial" w:cs="Arial" w:eastAsia="Arial" w:hAnsi="Arial"/>
                <w:sz w:val="14"/>
                <w:szCs w:val="14"/>
                <w:b w:val="1"/>
                <w:bCs w:val="1"/>
                <w:color w:val="auto"/>
                <w:w w:val="94"/>
              </w:rPr>
              <w:t>Unrealized Gain</w:t>
            </w:r>
          </w:p>
        </w:tc>
        <w:tc>
          <w:tcPr>
            <w:tcW w:w="0" w:type="dxa"/>
            <w:vAlign w:val="bottom"/>
          </w:tcPr>
          <w:p>
            <w:pPr>
              <w:spacing w:after="0"/>
              <w:rPr>
                <w:sz w:val="1"/>
                <w:szCs w:val="1"/>
                <w:color w:val="auto"/>
              </w:rPr>
            </w:pPr>
          </w:p>
        </w:tc>
      </w:tr>
      <w:tr>
        <w:trPr>
          <w:trHeight w:val="135"/>
        </w:trPr>
        <w:tc>
          <w:tcPr>
            <w:tcW w:w="9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tcPr>
          <w:p>
            <w:pPr>
              <w:jc w:val="center"/>
              <w:ind w:right="77"/>
              <w:spacing w:after="0" w:line="135" w:lineRule="exact"/>
              <w:rPr>
                <w:sz w:val="20"/>
                <w:szCs w:val="20"/>
                <w:color w:val="auto"/>
              </w:rPr>
            </w:pPr>
            <w:r>
              <w:rPr>
                <w:rFonts w:ascii="Arial" w:cs="Arial" w:eastAsia="Arial" w:hAnsi="Arial"/>
                <w:sz w:val="14"/>
                <w:szCs w:val="14"/>
                <w:b w:val="1"/>
                <w:bCs w:val="1"/>
                <w:color w:val="auto"/>
                <w:w w:val="90"/>
              </w:rPr>
              <w:t>(Loss) on Cash</w:t>
            </w:r>
          </w:p>
        </w:tc>
        <w:tc>
          <w:tcPr>
            <w:tcW w:w="0" w:type="dxa"/>
            <w:vAlign w:val="bottom"/>
          </w:tcPr>
          <w:p>
            <w:pPr>
              <w:spacing w:after="0"/>
              <w:rPr>
                <w:sz w:val="1"/>
                <w:szCs w:val="1"/>
                <w:color w:val="auto"/>
              </w:rPr>
            </w:pPr>
          </w:p>
        </w:tc>
      </w:tr>
      <w:tr>
        <w:trPr>
          <w:trHeight w:val="188"/>
        </w:trPr>
        <w:tc>
          <w:tcPr>
            <w:tcW w:w="97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2"/>
              </w:rPr>
              <w:t>Flow Hedges</w:t>
            </w:r>
          </w:p>
        </w:tc>
        <w:tc>
          <w:tcPr>
            <w:tcW w:w="0" w:type="dxa"/>
            <w:vAlign w:val="bottom"/>
          </w:tcPr>
          <w:p>
            <w:pPr>
              <w:spacing w:after="0"/>
              <w:rPr>
                <w:sz w:val="1"/>
                <w:szCs w:val="1"/>
                <w:color w:val="auto"/>
              </w:rPr>
            </w:pPr>
          </w:p>
        </w:tc>
      </w:tr>
      <w:tr>
        <w:trPr>
          <w:trHeight w:val="224"/>
        </w:trPr>
        <w:tc>
          <w:tcPr>
            <w:tcW w:w="97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9780" w:type="dxa"/>
            <w:vAlign w:val="bottom"/>
          </w:tcPr>
          <w:p>
            <w:pPr>
              <w:ind w:left="360"/>
              <w:spacing w:after="0"/>
              <w:rPr>
                <w:sz w:val="20"/>
                <w:szCs w:val="20"/>
                <w:color w:val="auto"/>
              </w:rPr>
            </w:pPr>
            <w:r>
              <w:rPr>
                <w:rFonts w:ascii="Arial" w:cs="Arial" w:eastAsia="Arial" w:hAnsi="Arial"/>
                <w:sz w:val="18"/>
                <w:szCs w:val="18"/>
                <w:color w:val="auto"/>
              </w:rPr>
              <w:t>Other comprehensive income before reclassifications</w:t>
            </w:r>
          </w:p>
        </w:tc>
        <w:tc>
          <w:tcPr>
            <w:tcW w:w="16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1,214</w:t>
            </w:r>
          </w:p>
        </w:tc>
        <w:tc>
          <w:tcPr>
            <w:tcW w:w="0" w:type="dxa"/>
            <w:vAlign w:val="bottom"/>
          </w:tcPr>
          <w:p>
            <w:pPr>
              <w:spacing w:after="0"/>
              <w:rPr>
                <w:sz w:val="1"/>
                <w:szCs w:val="1"/>
                <w:color w:val="auto"/>
              </w:rPr>
            </w:pPr>
          </w:p>
        </w:tc>
      </w:tr>
      <w:tr>
        <w:trPr>
          <w:trHeight w:val="229"/>
        </w:trPr>
        <w:tc>
          <w:tcPr>
            <w:tcW w:w="9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6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(764)</w:t>
            </w:r>
          </w:p>
        </w:tc>
        <w:tc>
          <w:tcPr>
            <w:tcW w:w="0" w:type="dxa"/>
            <w:vAlign w:val="bottom"/>
          </w:tcPr>
          <w:p>
            <w:pPr>
              <w:spacing w:after="0"/>
              <w:rPr>
                <w:sz w:val="1"/>
                <w:szCs w:val="1"/>
                <w:color w:val="auto"/>
              </w:rPr>
            </w:pPr>
          </w:p>
        </w:tc>
      </w:tr>
      <w:tr>
        <w:trPr>
          <w:trHeight w:val="223"/>
        </w:trPr>
        <w:tc>
          <w:tcPr>
            <w:tcW w:w="97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net of tax</w:t>
            </w:r>
          </w:p>
        </w:tc>
        <w:tc>
          <w:tcPr>
            <w:tcW w:w="16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48"/>
        </w:trPr>
        <w:tc>
          <w:tcPr>
            <w:tcW w:w="9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August 1, 2020</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0"/>
        </w:trPr>
        <w:tc>
          <w:tcPr>
            <w:tcW w:w="978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Consolidated Statements of Cash Flows</w:t>
            </w: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2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28"/>
        </w:trPr>
        <w:tc>
          <w:tcPr>
            <w:tcW w:w="978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5"/>
        </w:trPr>
        <w:tc>
          <w:tcPr>
            <w:tcW w:w="9780" w:type="dxa"/>
            <w:vAlign w:val="bottom"/>
          </w:tcPr>
          <w:p>
            <w:pPr>
              <w:ind w:left="420"/>
              <w:spacing w:after="0"/>
              <w:rPr>
                <w:sz w:val="20"/>
                <w:szCs w:val="20"/>
                <w:color w:val="auto"/>
              </w:rPr>
            </w:pPr>
            <w:r>
              <w:rPr>
                <w:rFonts w:ascii="Arial" w:cs="Arial" w:eastAsia="Arial" w:hAnsi="Arial"/>
                <w:sz w:val="18"/>
                <w:szCs w:val="18"/>
                <w:color w:val="auto"/>
              </w:rPr>
              <w:t>Noncash consideration paid for the acquisition of Inphi was $6.2 billion during the six months ended July 31, 2021.</w:t>
            </w: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6"/>
        </w:trPr>
        <w:tc>
          <w:tcPr>
            <w:tcW w:w="9780" w:type="dxa"/>
            <w:vAlign w:val="bottom"/>
          </w:tcPr>
          <w:p>
            <w:pPr>
              <w:spacing w:after="0"/>
              <w:rPr>
                <w:sz w:val="20"/>
                <w:szCs w:val="20"/>
                <w:color w:val="auto"/>
              </w:rPr>
            </w:pPr>
            <w:r>
              <w:rPr>
                <w:rFonts w:ascii="Arial" w:cs="Arial" w:eastAsia="Arial" w:hAnsi="Arial"/>
                <w:sz w:val="18"/>
                <w:szCs w:val="18"/>
                <w:b w:val="1"/>
                <w:bCs w:val="1"/>
                <w:color w:val="auto"/>
              </w:rPr>
              <w:t>Share Repurchase Program</w:t>
            </w: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15"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July 31, 2021,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right="120" w:firstLine="405"/>
        <w:spacing w:after="0" w:line="259" w:lineRule="auto"/>
        <w:rPr>
          <w:sz w:val="20"/>
          <w:szCs w:val="20"/>
          <w:color w:val="auto"/>
        </w:rPr>
      </w:pPr>
      <w:r>
        <w:rPr>
          <w:rFonts w:ascii="Arial" w:cs="Arial" w:eastAsia="Arial" w:hAnsi="Arial"/>
          <w:sz w:val="17"/>
          <w:szCs w:val="17"/>
          <w:color w:val="auto"/>
        </w:rPr>
        <w:t>The Company temporarily suspended the share repurchase program in late March 2020 to preserve cash during the COVID-19 pandemic and the program remains suspended as the Company focuses on reducing its debt and de-levering its balance sheet. As a result, the Company did not repurchase any shares during the three and six months ended July 31, 2021. The Company repurchased 1.3 million of its common shares for $25.2 million during the six months ended August 1, 2020.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Fair Value Measurements</w:t>
      </w:r>
    </w:p>
    <w:p>
      <w:pPr>
        <w:spacing w:after="0" w:line="243"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2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yields. In addition, the convertible debt capped calls and the severance pay fund are classified as a Level 2 asset as the valuation inputs are based on quoted prices and market observable data of similar instruments.</w:t>
      </w:r>
    </w:p>
    <w:p>
      <w:pPr>
        <w:spacing w:after="0" w:line="134" w:lineRule="exact"/>
        <w:rPr>
          <w:sz w:val="20"/>
          <w:szCs w:val="20"/>
          <w:color w:val="auto"/>
        </w:rPr>
      </w:pPr>
    </w:p>
    <w:p>
      <w:pPr>
        <w:ind w:right="20" w:firstLine="405"/>
        <w:spacing w:after="0" w:line="253"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 w:lineRule="exact"/>
        <w:rPr>
          <w:sz w:val="20"/>
          <w:szCs w:val="20"/>
          <w:color w:val="auto"/>
        </w:rPr>
      </w:pPr>
    </w:p>
    <w:p>
      <w:pPr>
        <w:ind w:left="6920"/>
        <w:spacing w:after="0"/>
        <w:rPr>
          <w:sz w:val="20"/>
          <w:szCs w:val="20"/>
          <w:color w:val="auto"/>
        </w:rPr>
      </w:pPr>
      <w:r>
        <w:rPr>
          <w:rFonts w:ascii="Arial" w:cs="Arial" w:eastAsia="Arial" w:hAnsi="Arial"/>
          <w:sz w:val="14"/>
          <w:szCs w:val="14"/>
          <w:b w:val="1"/>
          <w:bCs w:val="1"/>
          <w:color w:val="auto"/>
        </w:rPr>
        <w:t>Fair Value Measurements at July 31,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200" w:type="dxa"/>
            <w:vAlign w:val="bottom"/>
          </w:tcPr>
          <w:p>
            <w:pPr>
              <w:spacing w:after="0"/>
              <w:rPr>
                <w:sz w:val="16"/>
                <w:szCs w:val="16"/>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4"/>
                <w:szCs w:val="14"/>
                <w:b w:val="1"/>
                <w:bCs w:val="1"/>
                <w:color w:val="auto"/>
              </w:rPr>
              <w:t>Level 1</w:t>
            </w:r>
          </w:p>
        </w:tc>
        <w:tc>
          <w:tcPr>
            <w:tcW w:w="480" w:type="dxa"/>
            <w:vAlign w:val="bottom"/>
            <w:tcBorders>
              <w:top w:val="single" w:sz="8" w:color="auto"/>
            </w:tcBorders>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40" w:type="dxa"/>
            <w:vAlign w:val="bottom"/>
            <w:tcBorders>
              <w:top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Total</w:t>
            </w: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92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92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159,961</w:t>
            </w: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159,961</w:t>
            </w: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Convertible debt capped calls</w:t>
            </w:r>
          </w:p>
        </w:tc>
        <w:tc>
          <w:tcPr>
            <w:tcW w:w="92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33</w:t>
            </w: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9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8"/>
              </w:rPr>
              <w:t>1,368</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1,368</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920" w:type="dxa"/>
            <w:vAlign w:val="bottom"/>
            <w:shd w:val="clear" w:color="auto" w:fill="CCEEFF"/>
          </w:tcPr>
          <w:p>
            <w:pPr>
              <w:spacing w:after="0"/>
              <w:rPr>
                <w:sz w:val="19"/>
                <w:szCs w:val="19"/>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920" w:type="dxa"/>
            <w:vAlign w:val="bottom"/>
            <w:tcBorders>
              <w:top w:val="single" w:sz="8" w:color="auto"/>
              <w:bottom w:val="single" w:sz="8" w:color="auto"/>
            </w:tcBorders>
          </w:tcPr>
          <w:p>
            <w:pPr>
              <w:jc w:val="right"/>
              <w:ind w:right="735"/>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1,368</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160,662</w:t>
            </w:r>
          </w:p>
        </w:tc>
        <w:tc>
          <w:tcPr>
            <w:tcW w:w="120" w:type="dxa"/>
            <w:vAlign w:val="bottom"/>
          </w:tcPr>
          <w:p>
            <w:pPr>
              <w:spacing w:after="0"/>
              <w:rPr>
                <w:sz w:val="19"/>
                <w:szCs w:val="19"/>
                <w:color w:val="auto"/>
              </w:rPr>
            </w:pPr>
          </w:p>
        </w:tc>
        <w:tc>
          <w:tcPr>
            <w:tcW w:w="1040" w:type="dxa"/>
            <w:vAlign w:val="bottom"/>
            <w:tcBorders>
              <w:top w:val="single" w:sz="8" w:color="auto"/>
              <w:bottom w:val="single" w:sz="8" w:color="auto"/>
            </w:tcBorders>
          </w:tcPr>
          <w:p>
            <w:pPr>
              <w:jc w:val="right"/>
              <w:ind w:right="855"/>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162,030</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197"/>
        </w:trPr>
        <w:tc>
          <w:tcPr>
            <w:tcW w:w="520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color w:val="auto"/>
              </w:rPr>
              <w:t>Liabilities</w:t>
            </w:r>
          </w:p>
        </w:tc>
        <w:tc>
          <w:tcPr>
            <w:tcW w:w="9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Short term debt:</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notes</w:t>
            </w:r>
          </w:p>
        </w:tc>
        <w:tc>
          <w:tcPr>
            <w:tcW w:w="920" w:type="dxa"/>
            <w:vAlign w:val="bottom"/>
            <w:shd w:val="clear" w:color="auto" w:fill="CCEEFF"/>
          </w:tcPr>
          <w:p>
            <w:pPr>
              <w:jc w:val="right"/>
              <w:ind w:right="735"/>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855"/>
              <w:spacing w:after="0"/>
              <w:rPr>
                <w:sz w:val="20"/>
                <w:szCs w:val="20"/>
                <w:color w:val="auto"/>
              </w:rPr>
            </w:pPr>
            <w:r>
              <w:rPr>
                <w:rFonts w:ascii="Arial" w:cs="Arial" w:eastAsia="Arial" w:hAnsi="Arial"/>
                <w:sz w:val="18"/>
                <w:szCs w:val="18"/>
                <w:color w:val="auto"/>
                <w:w w:val="79"/>
              </w:rPr>
              <w:t>$</w:t>
            </w: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w:t>
            </w: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Long term debt:</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notes</w:t>
            </w:r>
          </w:p>
        </w:tc>
        <w:tc>
          <w:tcPr>
            <w:tcW w:w="920" w:type="dxa"/>
            <w:vAlign w:val="bottom"/>
            <w:shd w:val="clear" w:color="auto" w:fill="CCEEFF"/>
          </w:tcPr>
          <w:p>
            <w:pPr>
              <w:spacing w:after="0"/>
              <w:rPr>
                <w:sz w:val="19"/>
                <w:szCs w:val="19"/>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liabilities</w:t>
            </w:r>
          </w:p>
        </w:tc>
        <w:tc>
          <w:tcPr>
            <w:tcW w:w="920" w:type="dxa"/>
            <w:vAlign w:val="bottom"/>
            <w:tcBorders>
              <w:top w:val="single" w:sz="8" w:color="auto"/>
              <w:bottom w:val="single" w:sz="8" w:color="auto"/>
            </w:tcBorders>
          </w:tcPr>
          <w:p>
            <w:pPr>
              <w:jc w:val="right"/>
              <w:ind w:right="735"/>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422</w:t>
            </w:r>
          </w:p>
        </w:tc>
        <w:tc>
          <w:tcPr>
            <w:tcW w:w="120" w:type="dxa"/>
            <w:vAlign w:val="bottom"/>
          </w:tcPr>
          <w:p>
            <w:pPr>
              <w:spacing w:after="0"/>
              <w:rPr>
                <w:sz w:val="19"/>
                <w:szCs w:val="19"/>
                <w:color w:val="auto"/>
              </w:rPr>
            </w:pPr>
          </w:p>
        </w:tc>
        <w:tc>
          <w:tcPr>
            <w:tcW w:w="1040" w:type="dxa"/>
            <w:vAlign w:val="bottom"/>
            <w:tcBorders>
              <w:top w:val="single" w:sz="8" w:color="auto"/>
              <w:bottom w:val="single" w:sz="8" w:color="auto"/>
            </w:tcBorders>
          </w:tcPr>
          <w:p>
            <w:pPr>
              <w:jc w:val="right"/>
              <w:ind w:right="855"/>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422</w:t>
            </w:r>
          </w:p>
        </w:tc>
      </w:tr>
      <w:tr>
        <w:trPr>
          <w:trHeight w:val="20"/>
        </w:trPr>
        <w:tc>
          <w:tcPr>
            <w:tcW w:w="520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right="200" w:firstLine="405"/>
        <w:spacing w:after="0"/>
        <w:rPr>
          <w:sz w:val="20"/>
          <w:szCs w:val="20"/>
          <w:color w:val="auto"/>
        </w:rPr>
      </w:pPr>
      <w:r>
        <w:rPr>
          <w:rFonts w:ascii="Arial" w:cs="Arial" w:eastAsia="Arial" w:hAnsi="Arial"/>
          <w:sz w:val="18"/>
          <w:szCs w:val="18"/>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They are classified as Level 3 in the fair value hierarchy because the value is estimated based on valuation methods using the observable transaction price at the transaction date and other unobservable inputs such as volatility, rights and obligations of the securities held. As of July 31, 2021, non-marketable equity investments had a carrying value of $36.5 million and are included in other non-current assets in the Company’s unaudited condensed consolidated balance sheets.</w:t>
      </w:r>
    </w:p>
    <w:p>
      <w:pPr>
        <w:spacing w:after="0" w:line="248"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30,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Pr>
          <w:p>
            <w:pPr>
              <w:spacing w:after="0"/>
              <w:rPr>
                <w:sz w:val="16"/>
                <w:szCs w:val="16"/>
                <w:color w:val="auto"/>
              </w:rPr>
            </w:pPr>
          </w:p>
        </w:tc>
        <w:tc>
          <w:tcPr>
            <w:tcW w:w="104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1</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6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40" w:type="dxa"/>
            <w:vAlign w:val="bottom"/>
          </w:tcPr>
          <w:p>
            <w:pPr>
              <w:jc w:val="right"/>
              <w:ind w:right="856"/>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114,645</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114,645</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623</w:t>
            </w: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623</w:t>
            </w:r>
          </w:p>
        </w:tc>
      </w:tr>
      <w:tr>
        <w:trPr>
          <w:trHeight w:val="248"/>
        </w:trPr>
        <w:tc>
          <w:tcPr>
            <w:tcW w:w="51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104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 and Inphi Capped Calls</w:t>
      </w:r>
    </w:p>
    <w:p>
      <w:pPr>
        <w:spacing w:after="0" w:line="23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Inphi 2021 Convertible Notes are carried in the unaudited condensed consolidated balance sheets at fair value. As of July 31, 2021, the fair value of convertible notes was determined on the basis of market prices observable for similar instruments and is considered Level 2 in the fair value hierarchy. See “Note 5 - Debt” for information on the fair value of the Inphi 2021 Convertible Notes.</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jc w:val="both"/>
        <w:ind w:right="120" w:firstLine="405"/>
        <w:spacing w:after="0" w:line="262" w:lineRule="auto"/>
        <w:rPr>
          <w:sz w:val="20"/>
          <w:szCs w:val="20"/>
          <w:color w:val="auto"/>
        </w:rPr>
      </w:pPr>
      <w:r>
        <w:rPr>
          <w:rFonts w:ascii="Arial" w:cs="Arial" w:eastAsia="Arial" w:hAnsi="Arial"/>
          <w:sz w:val="17"/>
          <w:szCs w:val="17"/>
          <w:color w:val="auto"/>
        </w:rPr>
        <w:t>The Company classified the 2020 Term Loan, the 2023 Notes, the 2026 Notes, 2028 Notes, and 2031 Notes as Level 2 in the fair value measurement hierarchy. The carrying value of the 2020 Term Loan approximates its fair value as the 2020 Term Loan is carried at a market observable interest rate that resets periodically. The estimated aggregate fair value of the unsecured senior notes was $3.2 billion at July 31, 2021 and $1.1 billion at January 30, 2021, and were classified as Level 2 as there are quoted prices from less active markets for the notes.</w:t>
      </w: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39" w:lineRule="exact"/>
        <w:rPr>
          <w:sz w:val="20"/>
          <w:szCs w:val="20"/>
          <w:color w:val="auto"/>
        </w:rPr>
      </w:pPr>
    </w:p>
    <w:p>
      <w:pPr>
        <w:ind w:right="48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At July 31, 2021, the Company had approximately $775.6 million in outstanding purchase orders with foundries.</w:t>
      </w:r>
    </w:p>
    <w:p>
      <w:pPr>
        <w:spacing w:after="0" w:line="195" w:lineRule="exact"/>
        <w:rPr>
          <w:sz w:val="20"/>
          <w:szCs w:val="20"/>
          <w:color w:val="auto"/>
        </w:rPr>
      </w:pPr>
    </w:p>
    <w:p>
      <w:pPr>
        <w:ind w:right="40" w:firstLine="405"/>
        <w:spacing w:after="0" w:line="239" w:lineRule="auto"/>
        <w:rPr>
          <w:sz w:val="20"/>
          <w:szCs w:val="20"/>
          <w:color w:val="auto"/>
        </w:rPr>
      </w:pPr>
      <w:r>
        <w:rPr>
          <w:rFonts w:ascii="Arial" w:cs="Arial" w:eastAsia="Arial" w:hAnsi="Arial"/>
          <w:sz w:val="17"/>
          <w:szCs w:val="17"/>
          <w:color w:val="auto"/>
        </w:rPr>
        <w:t>During the second quarter ended July 31, 2021 the Company entered into a wafer supply capacity reservation agreement with one of the Company’s foundry suppliers to reserve manufacturing supply capacity due to the current global supply shortage environment. Under the agreement, the Company has agreed to pay certain fees as well as meet annual wafer purchase commitments in exchange for the foundry’s guarantee to produce a specific minimum quantity of wafers from 2022 through 2025. Such wafers will be purchased by the Company at predetermined sales prices. If the Company does not meet the annual wafer purchase commitment for any of these years, the Company will be required to pay a portion of the difference between the actual wafer purchases and the wafer purchase commitment for that calendar year. The Company currently estimates that it is obligated to purchase at least $770 million of wafers for the calendar years 2022 through 2025 under the capacity reservation agreement.</w:t>
      </w:r>
    </w:p>
    <w:p>
      <w:pPr>
        <w:spacing w:after="0" w:line="203" w:lineRule="exact"/>
        <w:rPr>
          <w:sz w:val="20"/>
          <w:szCs w:val="20"/>
          <w:color w:val="auto"/>
        </w:rPr>
      </w:pPr>
    </w:p>
    <w:p>
      <w:pPr>
        <w:ind w:firstLine="405"/>
        <w:spacing w:after="0" w:line="228" w:lineRule="auto"/>
        <w:rPr>
          <w:sz w:val="20"/>
          <w:szCs w:val="20"/>
          <w:color w:val="auto"/>
        </w:rPr>
      </w:pPr>
      <w:r>
        <w:rPr>
          <w:rFonts w:ascii="Arial" w:cs="Arial" w:eastAsia="Arial" w:hAnsi="Arial"/>
          <w:sz w:val="18"/>
          <w:szCs w:val="18"/>
          <w:color w:val="auto"/>
        </w:rPr>
        <w:t>Subsequent to quarter end, the Company entered into a capacity reservation agreement with another supplier to reserve additional materials, assembly, and test capacity. Under the agreement, the Company is required to make five scheduled refundable deposits totaling $100 million between August 2021 and November 2022 as well as meet annual purchase commitments for calendar years from 2022 through 2026 in exchange for the supplier’s guarantee to produce material and reserve capacity for a minimum quantity of devices. The Company currently estimates that it will purchase at least $1 billion during the five year period under the capacity reservation agreement.</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9"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Income Tax</w:t>
      </w:r>
    </w:p>
    <w:p>
      <w:pPr>
        <w:spacing w:after="0" w:line="243"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discrete items, and acquisitions, as well as the integration of such acquisitions.</w:t>
      </w:r>
    </w:p>
    <w:p>
      <w:pPr>
        <w:spacing w:after="0" w:line="202"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As a result of this transaction, the parent company was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215" w:lineRule="exact"/>
        <w:rPr>
          <w:sz w:val="20"/>
          <w:szCs w:val="20"/>
          <w:color w:val="auto"/>
        </w:rPr>
      </w:pPr>
    </w:p>
    <w:p>
      <w:pPr>
        <w:ind w:right="280" w:firstLine="405"/>
        <w:spacing w:after="0" w:line="270"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a substantial portion of its earnings, or in some cases, losses being taxed or benefited at rates lower than the U.S. statutory rate. The Company’s effective tax rate is the result of an anticipated annual net income tax benefit and includes the effects of certain non-U.S. tax jurisdictions with tax rates lower than 21%.</w:t>
      </w:r>
    </w:p>
    <w:p>
      <w:pPr>
        <w:spacing w:after="0" w:line="177" w:lineRule="exact"/>
        <w:rPr>
          <w:sz w:val="20"/>
          <w:szCs w:val="20"/>
          <w:color w:val="auto"/>
        </w:rPr>
      </w:pPr>
    </w:p>
    <w:p>
      <w:pPr>
        <w:jc w:val="both"/>
        <w:ind w:right="80" w:firstLine="405"/>
        <w:spacing w:after="0" w:line="235" w:lineRule="auto"/>
        <w:rPr>
          <w:sz w:val="20"/>
          <w:szCs w:val="20"/>
          <w:color w:val="auto"/>
        </w:rPr>
      </w:pPr>
      <w:r>
        <w:rPr>
          <w:rFonts w:ascii="Arial" w:cs="Arial" w:eastAsia="Arial" w:hAnsi="Arial"/>
          <w:sz w:val="18"/>
          <w:szCs w:val="18"/>
          <w:color w:val="auto"/>
        </w:rPr>
        <w:t>The income tax benefit of $25.6 million for the three months ended July 31, 2021 is primarily related to the recognition of a $10.0 million tax benefit for tax basis on the transfer of certain intellectual property from the Inphi acquisition to a subsidiary in Singapore, as well as discrete tax benefits related to stock-based compensation.</w:t>
      </w:r>
    </w:p>
    <w:p>
      <w:pPr>
        <w:spacing w:after="0" w:line="202"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income tax benefit of $53.3 million for the six months ended July 31, 2021 is primarily related to the recognition of the $10.0 million tax benefit attributable to the aforementioned Singapore tax basis in intellectual property, tax benefits related to stock-based compensation, and benefits from expirations of the statutes of limitations related to certain previously unrecognized tax benefits that were recorded in prior periods.</w:t>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The Company’s gross unrecognized tax benefits were $322.0 million and $242.2 million on July 31, 2021 and January 30, 2021, respectively. The net increase to the Company’s gross unrecognized tax benefits of $79.8 million is primarily the result of certain unrecognized tax benefits recorded in the Company’s accounting for the acquisition of Inphi. If the gross unrecognized tax benefits as of July 31, 2021 were realized in a subsequent period, the Company would record a tax benefit of $201.5 million within its provision for income taxes at such time. The amount of interest and penalties accrued as of July 31, 2021, and January 30, 2021 was $3.6 million and $4.0 million, respectively.</w:t>
      </w:r>
    </w:p>
    <w:p>
      <w:pPr>
        <w:spacing w:after="0" w:line="187" w:lineRule="exact"/>
        <w:rPr>
          <w:sz w:val="20"/>
          <w:szCs w:val="20"/>
          <w:color w:val="auto"/>
        </w:rPr>
      </w:pPr>
    </w:p>
    <w:p>
      <w:pPr>
        <w:ind w:right="60" w:firstLine="405"/>
        <w:spacing w:after="0" w:line="227" w:lineRule="auto"/>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the effects of income tax audits, and changes in the U.S. dollar as compared to foreign currencies within the next 12 months. Excluding these factors, it is reasonably possible that uncertain tax positions may decrease by as much as $2.1 million during the next 12 months. Government tax authorities from certain non-U.S. jurisdictions are examining the Company’s income tax returns.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202" w:lineRule="exact"/>
        <w:rPr>
          <w:sz w:val="20"/>
          <w:szCs w:val="20"/>
          <w:color w:val="auto"/>
        </w:rPr>
      </w:pPr>
    </w:p>
    <w:p>
      <w:pPr>
        <w:ind w:right="100" w:firstLine="405"/>
        <w:spacing w:after="0" w:line="273" w:lineRule="auto"/>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 The tax incentives are conditional upon meeting certain employment and investment thresholds. Because of existing deductions and tax attributes, the</w:t>
      </w:r>
    </w:p>
    <w:p>
      <w:pPr>
        <w:spacing w:after="0" w:line="1" w:lineRule="exact"/>
        <w:rPr>
          <w:sz w:val="20"/>
          <w:szCs w:val="20"/>
          <w:color w:val="auto"/>
        </w:rPr>
      </w:pPr>
    </w:p>
    <w:p>
      <w:pPr>
        <w:ind w:right="80"/>
        <w:spacing w:after="0" w:line="245" w:lineRule="auto"/>
        <w:rPr>
          <w:sz w:val="20"/>
          <w:szCs w:val="20"/>
          <w:color w:val="auto"/>
        </w:rPr>
      </w:pPr>
      <w:r>
        <w:rPr>
          <w:rFonts w:ascii="Arial" w:cs="Arial" w:eastAsia="Arial" w:hAnsi="Arial"/>
          <w:sz w:val="18"/>
          <w:szCs w:val="18"/>
          <w:color w:val="auto"/>
        </w:rPr>
        <w:t>Company currently expects no net tax benefits from its tax incentives in the current fiscal year. Similarly, there were no such tax benefits in the prior fiscal year.</w:t>
      </w:r>
    </w:p>
    <w:p>
      <w:pPr>
        <w:spacing w:after="0" w:line="211" w:lineRule="exact"/>
        <w:rPr>
          <w:sz w:val="20"/>
          <w:szCs w:val="20"/>
          <w:color w:val="auto"/>
        </w:rPr>
      </w:pPr>
    </w:p>
    <w:p>
      <w:pPr>
        <w:ind w:right="40" w:firstLine="405"/>
        <w:spacing w:after="0" w:line="284" w:lineRule="auto"/>
        <w:rPr>
          <w:sz w:val="20"/>
          <w:szCs w:val="20"/>
          <w:color w:val="auto"/>
        </w:rPr>
      </w:pPr>
      <w:r>
        <w:rPr>
          <w:rFonts w:ascii="Arial" w:cs="Arial" w:eastAsia="Arial" w:hAnsi="Arial"/>
          <w:sz w:val="16"/>
          <w:szCs w:val="16"/>
          <w:color w:val="auto"/>
        </w:rPr>
        <w:t>The Company’s principal source of liquidity as of July 31, 2021 consisted of approximately $559.6 million of cash and cash equivalents, of which approximately $431.8 million was held by subsidiaries outside of the United States. The Company has not recognized a deferred tax liability on $294.1 million of these assets as those amounts are deemed to be indefinitely reinvested. The Company manages its worldwide cash requirements by, among other things, reviewing available funds held by its foreign subsidiaries and the cost effectiveness by which those funds can be accessed in the United States.</w:t>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Net Loss Per Share</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120" w:type="dxa"/>
            <w:vAlign w:val="bottom"/>
            <w:gridSpan w:val="5"/>
          </w:tcPr>
          <w:p>
            <w:pPr>
              <w:ind w:left="740"/>
              <w:spacing w:after="0"/>
              <w:rPr>
                <w:sz w:val="20"/>
                <w:szCs w:val="20"/>
                <w:color w:val="auto"/>
              </w:rPr>
            </w:pPr>
            <w:r>
              <w:rPr>
                <w:rFonts w:ascii="Arial" w:cs="Arial" w:eastAsia="Arial" w:hAnsi="Arial"/>
                <w:sz w:val="14"/>
                <w:szCs w:val="14"/>
                <w:b w:val="1"/>
                <w:bCs w:val="1"/>
                <w:color w:val="auto"/>
              </w:rPr>
              <w:t>Three Months Ended</w:t>
            </w:r>
          </w:p>
        </w:tc>
        <w:tc>
          <w:tcPr>
            <w:tcW w:w="640" w:type="dxa"/>
            <w:vAlign w:val="bottom"/>
          </w:tcPr>
          <w:p>
            <w:pPr>
              <w:spacing w:after="0"/>
              <w:rPr>
                <w:sz w:val="16"/>
                <w:szCs w:val="16"/>
                <w:color w:val="auto"/>
              </w:rPr>
            </w:pPr>
          </w:p>
        </w:tc>
        <w:tc>
          <w:tcPr>
            <w:tcW w:w="1980" w:type="dxa"/>
            <w:vAlign w:val="bottom"/>
            <w:gridSpan w:val="3"/>
          </w:tcPr>
          <w:p>
            <w:pPr>
              <w:jc w:val="right"/>
              <w:spacing w:after="0"/>
              <w:rPr>
                <w:sz w:val="20"/>
                <w:szCs w:val="20"/>
                <w:color w:val="auto"/>
              </w:rPr>
            </w:pPr>
            <w:r>
              <w:rPr>
                <w:rFonts w:ascii="Arial" w:cs="Arial" w:eastAsia="Arial" w:hAnsi="Arial"/>
                <w:sz w:val="14"/>
                <w:szCs w:val="14"/>
                <w:b w:val="1"/>
                <w:bCs w:val="1"/>
                <w:color w:val="auto"/>
              </w:rPr>
              <w:t>Six Months Ended</w:t>
            </w:r>
          </w:p>
        </w:tc>
        <w:tc>
          <w:tcPr>
            <w:tcW w:w="1040" w:type="dxa"/>
            <w:vAlign w:val="bottom"/>
          </w:tcPr>
          <w:p>
            <w:pPr>
              <w:spacing w:after="0"/>
              <w:rPr>
                <w:sz w:val="16"/>
                <w:szCs w:val="16"/>
                <w:color w:val="auto"/>
              </w:rPr>
            </w:pPr>
          </w:p>
        </w:tc>
      </w:tr>
      <w:tr>
        <w:trPr>
          <w:trHeight w:val="135"/>
        </w:trPr>
        <w:tc>
          <w:tcPr>
            <w:tcW w:w="382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60" w:type="dxa"/>
            <w:vAlign w:val="bottom"/>
            <w:tcBorders>
              <w:top w:val="single" w:sz="8" w:color="auto"/>
            </w:tcBorders>
            <w:gridSpan w:val="2"/>
          </w:tcPr>
          <w:p>
            <w:pPr>
              <w:ind w:left="220"/>
              <w:spacing w:after="0" w:line="135" w:lineRule="exact"/>
              <w:rPr>
                <w:sz w:val="20"/>
                <w:szCs w:val="20"/>
                <w:color w:val="auto"/>
              </w:rPr>
            </w:pPr>
            <w:r>
              <w:rPr>
                <w:rFonts w:ascii="Arial" w:cs="Arial" w:eastAsia="Arial" w:hAnsi="Arial"/>
                <w:sz w:val="14"/>
                <w:szCs w:val="14"/>
                <w:b w:val="1"/>
                <w:bCs w:val="1"/>
                <w:color w:val="auto"/>
              </w:rPr>
              <w:t>July 31,</w:t>
            </w:r>
          </w:p>
        </w:tc>
        <w:tc>
          <w:tcPr>
            <w:tcW w:w="62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294"/>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220"/>
              <w:spacing w:after="0" w:line="135" w:lineRule="exact"/>
              <w:rPr>
                <w:sz w:val="20"/>
                <w:szCs w:val="20"/>
                <w:color w:val="auto"/>
              </w:rPr>
            </w:pPr>
            <w:r>
              <w:rPr>
                <w:rFonts w:ascii="Arial" w:cs="Arial" w:eastAsia="Arial" w:hAnsi="Arial"/>
                <w:sz w:val="14"/>
                <w:szCs w:val="14"/>
                <w:b w:val="1"/>
                <w:bCs w:val="1"/>
                <w:color w:val="auto"/>
              </w:rPr>
              <w:t>July 31,</w:t>
            </w:r>
          </w:p>
        </w:tc>
        <w:tc>
          <w:tcPr>
            <w:tcW w:w="74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jc w:val="right"/>
              <w:ind w:right="314"/>
              <w:spacing w:after="0" w:line="135" w:lineRule="exact"/>
              <w:rPr>
                <w:sz w:val="20"/>
                <w:szCs w:val="20"/>
                <w:color w:val="auto"/>
              </w:rPr>
            </w:pPr>
            <w:r>
              <w:rPr>
                <w:rFonts w:ascii="Arial" w:cs="Arial" w:eastAsia="Arial" w:hAnsi="Arial"/>
                <w:sz w:val="14"/>
                <w:szCs w:val="14"/>
                <w:b w:val="1"/>
                <w:bCs w:val="1"/>
                <w:color w:val="auto"/>
                <w:w w:val="97"/>
              </w:rPr>
              <w:t>August 1,</w:t>
            </w:r>
          </w:p>
        </w:tc>
      </w:tr>
      <w:tr>
        <w:trPr>
          <w:trHeight w:val="188"/>
        </w:trPr>
        <w:tc>
          <w:tcPr>
            <w:tcW w:w="382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655"/>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65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65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654"/>
              <w:spacing w:after="0"/>
              <w:rPr>
                <w:sz w:val="20"/>
                <w:szCs w:val="20"/>
                <w:color w:val="auto"/>
              </w:rPr>
            </w:pPr>
            <w:r>
              <w:rPr>
                <w:rFonts w:ascii="Arial" w:cs="Arial" w:eastAsia="Arial" w:hAnsi="Arial"/>
                <w:sz w:val="14"/>
                <w:szCs w:val="14"/>
                <w:b w:val="1"/>
                <w:bCs w:val="1"/>
                <w:color w:val="auto"/>
                <w:w w:val="89"/>
              </w:rPr>
              <w:t>2020</w:t>
            </w:r>
          </w:p>
        </w:tc>
      </w:tr>
      <w:tr>
        <w:trPr>
          <w:trHeight w:val="211"/>
        </w:trPr>
        <w:tc>
          <w:tcPr>
            <w:tcW w:w="3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Numerator:</w:t>
            </w:r>
          </w:p>
        </w:tc>
        <w:tc>
          <w:tcPr>
            <w:tcW w:w="6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r>
      <w:tr>
        <w:trPr>
          <w:trHeight w:val="229"/>
        </w:trPr>
        <w:tc>
          <w:tcPr>
            <w:tcW w:w="3820" w:type="dxa"/>
            <w:vAlign w:val="bottom"/>
          </w:tcPr>
          <w:p>
            <w:pPr>
              <w:ind w:left="760"/>
              <w:spacing w:after="0"/>
              <w:rPr>
                <w:sz w:val="20"/>
                <w:szCs w:val="20"/>
                <w:color w:val="auto"/>
              </w:rPr>
            </w:pPr>
            <w:r>
              <w:rPr>
                <w:rFonts w:ascii="Arial" w:cs="Arial" w:eastAsia="Arial" w:hAnsi="Arial"/>
                <w:sz w:val="18"/>
                <w:szCs w:val="18"/>
                <w:color w:val="auto"/>
              </w:rPr>
              <w:t>Net loss</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(276,428)</w:t>
            </w:r>
          </w:p>
        </w:tc>
        <w:tc>
          <w:tcPr>
            <w:tcW w:w="120" w:type="dxa"/>
            <w:vAlign w:val="bottom"/>
          </w:tcPr>
          <w:p>
            <w:pPr>
              <w:spacing w:after="0"/>
              <w:rPr>
                <w:sz w:val="19"/>
                <w:szCs w:val="19"/>
                <w:color w:val="auto"/>
              </w:rPr>
            </w:pP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(157,893)</w:t>
            </w:r>
          </w:p>
        </w:tc>
        <w:tc>
          <w:tcPr>
            <w:tcW w:w="100" w:type="dxa"/>
            <w:vAlign w:val="bottom"/>
          </w:tcPr>
          <w:p>
            <w:pPr>
              <w:spacing w:after="0"/>
              <w:rPr>
                <w:sz w:val="19"/>
                <w:szCs w:val="19"/>
                <w:color w:val="auto"/>
              </w:rPr>
            </w:pPr>
          </w:p>
        </w:tc>
        <w:tc>
          <w:tcPr>
            <w:tcW w:w="6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(364,670)</w:t>
            </w:r>
          </w:p>
        </w:tc>
        <w:tc>
          <w:tcPr>
            <w:tcW w:w="100" w:type="dxa"/>
            <w:vAlign w:val="bottom"/>
          </w:tcPr>
          <w:p>
            <w:pPr>
              <w:spacing w:after="0"/>
              <w:rPr>
                <w:sz w:val="19"/>
                <w:szCs w:val="19"/>
                <w:color w:val="auto"/>
              </w:rPr>
            </w:pPr>
          </w:p>
        </w:tc>
        <w:tc>
          <w:tcPr>
            <w:tcW w:w="7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(270,926)</w:t>
            </w:r>
          </w:p>
        </w:tc>
      </w:tr>
      <w:tr>
        <w:trPr>
          <w:trHeight w:val="230"/>
        </w:trPr>
        <w:tc>
          <w:tcPr>
            <w:tcW w:w="3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Denominator:</w:t>
            </w:r>
          </w:p>
        </w:tc>
        <w:tc>
          <w:tcPr>
            <w:tcW w:w="6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0"/>
        </w:trPr>
        <w:tc>
          <w:tcPr>
            <w:tcW w:w="3820" w:type="dxa"/>
            <w:vAlign w:val="bottom"/>
          </w:tcPr>
          <w:p>
            <w:pPr>
              <w:ind w:left="760"/>
              <w:spacing w:after="0"/>
              <w:rPr>
                <w:sz w:val="20"/>
                <w:szCs w:val="20"/>
                <w:color w:val="auto"/>
              </w:rPr>
            </w:pPr>
            <w:r>
              <w:rPr>
                <w:rFonts w:ascii="Arial" w:cs="Arial" w:eastAsia="Arial" w:hAnsi="Arial"/>
                <w:sz w:val="18"/>
                <w:szCs w:val="18"/>
                <w:color w:val="auto"/>
              </w:rPr>
              <w:t>Weighted-average shares — basic</w:t>
            </w:r>
          </w:p>
        </w:tc>
        <w:tc>
          <w:tcPr>
            <w:tcW w:w="6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821,062</w:t>
            </w: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667,574</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757,205</w:t>
            </w: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665,541</w:t>
            </w:r>
          </w:p>
        </w:tc>
      </w:tr>
      <w:tr>
        <w:trPr>
          <w:trHeight w:val="230"/>
        </w:trPr>
        <w:tc>
          <w:tcPr>
            <w:tcW w:w="3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Effect of dilutive securities:</w:t>
            </w:r>
          </w:p>
        </w:tc>
        <w:tc>
          <w:tcPr>
            <w:tcW w:w="6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29"/>
        </w:trPr>
        <w:tc>
          <w:tcPr>
            <w:tcW w:w="3820" w:type="dxa"/>
            <w:vAlign w:val="bottom"/>
          </w:tcPr>
          <w:p>
            <w:pPr>
              <w:ind w:left="760"/>
              <w:spacing w:after="0"/>
              <w:rPr>
                <w:sz w:val="20"/>
                <w:szCs w:val="20"/>
                <w:color w:val="auto"/>
              </w:rPr>
            </w:pPr>
            <w:r>
              <w:rPr>
                <w:rFonts w:ascii="Arial" w:cs="Arial" w:eastAsia="Arial" w:hAnsi="Arial"/>
                <w:sz w:val="18"/>
                <w:szCs w:val="18"/>
                <w:color w:val="auto"/>
              </w:rPr>
              <w:t>Share-based awards</w:t>
            </w:r>
          </w:p>
        </w:tc>
        <w:tc>
          <w:tcPr>
            <w:tcW w:w="62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3820" w:type="dxa"/>
            <w:vAlign w:val="bottom"/>
            <w:shd w:val="clear" w:color="auto" w:fill="CCEEFF"/>
          </w:tcPr>
          <w:p>
            <w:pPr>
              <w:ind w:left="760"/>
              <w:spacing w:after="0"/>
              <w:rPr>
                <w:sz w:val="20"/>
                <w:szCs w:val="20"/>
                <w:color w:val="auto"/>
              </w:rPr>
            </w:pPr>
            <w:r>
              <w:rPr>
                <w:rFonts w:ascii="Arial" w:cs="Arial" w:eastAsia="Arial" w:hAnsi="Arial"/>
                <w:sz w:val="18"/>
                <w:szCs w:val="18"/>
                <w:color w:val="auto"/>
              </w:rPr>
              <w:t>Convertible debt</w:t>
            </w:r>
          </w:p>
        </w:tc>
        <w:tc>
          <w:tcPr>
            <w:tcW w:w="62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196"/>
        </w:trPr>
        <w:tc>
          <w:tcPr>
            <w:tcW w:w="3820" w:type="dxa"/>
            <w:vAlign w:val="bottom"/>
          </w:tcPr>
          <w:p>
            <w:pPr>
              <w:ind w:left="760"/>
              <w:spacing w:after="0" w:line="196" w:lineRule="exact"/>
              <w:rPr>
                <w:sz w:val="20"/>
                <w:szCs w:val="20"/>
                <w:color w:val="auto"/>
              </w:rPr>
            </w:pPr>
            <w:r>
              <w:rPr>
                <w:rFonts w:ascii="Arial" w:cs="Arial" w:eastAsia="Arial" w:hAnsi="Arial"/>
                <w:sz w:val="18"/>
                <w:szCs w:val="18"/>
                <w:color w:val="auto"/>
              </w:rPr>
              <w:t>Weighted-average shares — diluted</w:t>
            </w:r>
          </w:p>
        </w:tc>
        <w:tc>
          <w:tcPr>
            <w:tcW w:w="62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821,062</w:t>
            </w:r>
          </w:p>
        </w:tc>
        <w:tc>
          <w:tcPr>
            <w:tcW w:w="120" w:type="dxa"/>
            <w:vAlign w:val="bottom"/>
          </w:tcPr>
          <w:p>
            <w:pPr>
              <w:spacing w:after="0"/>
              <w:rPr>
                <w:sz w:val="17"/>
                <w:szCs w:val="17"/>
                <w:color w:val="auto"/>
              </w:rPr>
            </w:pPr>
          </w:p>
        </w:tc>
        <w:tc>
          <w:tcPr>
            <w:tcW w:w="62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667,574</w:t>
            </w:r>
          </w:p>
        </w:tc>
        <w:tc>
          <w:tcPr>
            <w:tcW w:w="100" w:type="dxa"/>
            <w:vAlign w:val="bottom"/>
          </w:tcPr>
          <w:p>
            <w:pPr>
              <w:spacing w:after="0"/>
              <w:rPr>
                <w:sz w:val="17"/>
                <w:szCs w:val="17"/>
                <w:color w:val="auto"/>
              </w:rPr>
            </w:pPr>
          </w:p>
        </w:tc>
        <w:tc>
          <w:tcPr>
            <w:tcW w:w="64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757,205</w:t>
            </w:r>
          </w:p>
        </w:tc>
        <w:tc>
          <w:tcPr>
            <w:tcW w:w="100" w:type="dxa"/>
            <w:vAlign w:val="bottom"/>
          </w:tcPr>
          <w:p>
            <w:pPr>
              <w:spacing w:after="0"/>
              <w:rPr>
                <w:sz w:val="17"/>
                <w:szCs w:val="17"/>
                <w:color w:val="auto"/>
              </w:rPr>
            </w:pPr>
          </w:p>
        </w:tc>
        <w:tc>
          <w:tcPr>
            <w:tcW w:w="740" w:type="dxa"/>
            <w:vAlign w:val="bottom"/>
            <w:tcBorders>
              <w:top w:val="single" w:sz="8" w:color="auto"/>
              <w:bottom w:val="single" w:sz="8" w:color="auto"/>
            </w:tcBorders>
          </w:tcPr>
          <w:p>
            <w:pPr>
              <w:spacing w:after="0"/>
              <w:rPr>
                <w:sz w:val="17"/>
                <w:szCs w:val="17"/>
                <w:color w:val="auto"/>
              </w:rPr>
            </w:pPr>
          </w:p>
        </w:tc>
        <w:tc>
          <w:tcPr>
            <w:tcW w:w="104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665,541</w:t>
            </w:r>
          </w:p>
        </w:tc>
      </w:tr>
      <w:tr>
        <w:trPr>
          <w:trHeight w:val="20"/>
        </w:trPr>
        <w:tc>
          <w:tcPr>
            <w:tcW w:w="382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197"/>
        </w:trPr>
        <w:tc>
          <w:tcPr>
            <w:tcW w:w="3820" w:type="dxa"/>
            <w:vAlign w:val="bottom"/>
            <w:shd w:val="clear" w:color="auto" w:fill="CCEEFF"/>
          </w:tcPr>
          <w:p>
            <w:pPr>
              <w:ind w:left="440"/>
              <w:spacing w:after="0" w:line="196" w:lineRule="exact"/>
              <w:rPr>
                <w:sz w:val="20"/>
                <w:szCs w:val="20"/>
                <w:color w:val="auto"/>
              </w:rPr>
            </w:pPr>
            <w:r>
              <w:rPr>
                <w:rFonts w:ascii="Arial" w:cs="Arial" w:eastAsia="Arial" w:hAnsi="Arial"/>
                <w:sz w:val="18"/>
                <w:szCs w:val="18"/>
                <w:color w:val="auto"/>
              </w:rPr>
              <w:t>Net loss per share:</w:t>
            </w:r>
          </w:p>
        </w:tc>
        <w:tc>
          <w:tcPr>
            <w:tcW w:w="62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r>
      <w:tr>
        <w:trPr>
          <w:trHeight w:val="230"/>
        </w:trPr>
        <w:tc>
          <w:tcPr>
            <w:tcW w:w="3820" w:type="dxa"/>
            <w:vAlign w:val="bottom"/>
          </w:tcPr>
          <w:p>
            <w:pPr>
              <w:ind w:left="740"/>
              <w:spacing w:after="0"/>
              <w:rPr>
                <w:sz w:val="20"/>
                <w:szCs w:val="20"/>
                <w:color w:val="auto"/>
              </w:rPr>
            </w:pPr>
            <w:r>
              <w:rPr>
                <w:rFonts w:ascii="Arial" w:cs="Arial" w:eastAsia="Arial" w:hAnsi="Arial"/>
                <w:sz w:val="18"/>
                <w:szCs w:val="18"/>
                <w:color w:val="auto"/>
              </w:rPr>
              <w:t>Basic</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(0.34)</w:t>
            </w:r>
          </w:p>
        </w:tc>
        <w:tc>
          <w:tcPr>
            <w:tcW w:w="120" w:type="dxa"/>
            <w:vAlign w:val="bottom"/>
          </w:tcPr>
          <w:p>
            <w:pPr>
              <w:spacing w:after="0"/>
              <w:rPr>
                <w:sz w:val="19"/>
                <w:szCs w:val="19"/>
                <w:color w:val="auto"/>
              </w:rPr>
            </w:pP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(0.24)</w:t>
            </w:r>
          </w:p>
        </w:tc>
        <w:tc>
          <w:tcPr>
            <w:tcW w:w="100" w:type="dxa"/>
            <w:vAlign w:val="bottom"/>
          </w:tcPr>
          <w:p>
            <w:pPr>
              <w:spacing w:after="0"/>
              <w:rPr>
                <w:sz w:val="19"/>
                <w:szCs w:val="19"/>
                <w:color w:val="auto"/>
              </w:rPr>
            </w:pPr>
          </w:p>
        </w:tc>
        <w:tc>
          <w:tcPr>
            <w:tcW w:w="6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(0.48)</w:t>
            </w:r>
          </w:p>
        </w:tc>
        <w:tc>
          <w:tcPr>
            <w:tcW w:w="100" w:type="dxa"/>
            <w:vAlign w:val="bottom"/>
          </w:tcPr>
          <w:p>
            <w:pPr>
              <w:spacing w:after="0"/>
              <w:rPr>
                <w:sz w:val="19"/>
                <w:szCs w:val="19"/>
                <w:color w:val="auto"/>
              </w:rPr>
            </w:pPr>
          </w:p>
        </w:tc>
        <w:tc>
          <w:tcPr>
            <w:tcW w:w="74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(0.41)</w:t>
            </w:r>
          </w:p>
        </w:tc>
      </w:tr>
      <w:tr>
        <w:trPr>
          <w:trHeight w:val="229"/>
        </w:trPr>
        <w:tc>
          <w:tcPr>
            <w:tcW w:w="3820" w:type="dxa"/>
            <w:vAlign w:val="bottom"/>
            <w:shd w:val="clear" w:color="auto" w:fill="CCEEFF"/>
          </w:tcPr>
          <w:p>
            <w:pPr>
              <w:ind w:left="740"/>
              <w:spacing w:after="0"/>
              <w:rPr>
                <w:sz w:val="20"/>
                <w:szCs w:val="20"/>
                <w:color w:val="auto"/>
              </w:rPr>
            </w:pPr>
            <w:r>
              <w:rPr>
                <w:rFonts w:ascii="Arial" w:cs="Arial" w:eastAsia="Arial" w:hAnsi="Arial"/>
                <w:sz w:val="18"/>
                <w:szCs w:val="18"/>
                <w:color w:val="auto"/>
              </w:rPr>
              <w:t>Diluted</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spacing w:after="0"/>
              <w:rPr>
                <w:sz w:val="19"/>
                <w:szCs w:val="19"/>
                <w:color w:val="auto"/>
              </w:rPr>
            </w:pPr>
          </w:p>
        </w:tc>
        <w:tc>
          <w:tcPr>
            <w:tcW w:w="6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(0.48)</w:t>
            </w: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(0.41)</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Potential dilutive securities include dilutive common shares from share-based awards attributable to the shares that could be issued upon conversion of the Company’s convertible debt using the if-converted method. Under the treasury stock method and if-converted method, potential common shares outstanding are not included in the computation of diluted net income per share if their effect is anti-dilutive.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8" w:lineRule="exact"/>
        <w:rPr>
          <w:sz w:val="20"/>
          <w:szCs w:val="20"/>
          <w:color w:val="auto"/>
        </w:rPr>
      </w:pPr>
    </w:p>
    <w:tbl>
      <w:tblPr>
        <w:tblLayout w:type="fixed"/>
        <w:tblInd w:w="460" w:type="dxa"/>
        <w:tblCellMar>
          <w:top w:w="0" w:type="dxa"/>
          <w:left w:w="0" w:type="dxa"/>
          <w:bottom w:w="0" w:type="dxa"/>
          <w:right w:w="0" w:type="dxa"/>
        </w:tblCellMar>
      </w:tblPr>
      <w:tr>
        <w:trPr>
          <w:trHeight w:val="192"/>
        </w:trPr>
        <w:tc>
          <w:tcPr>
            <w:tcW w:w="4560" w:type="dxa"/>
            <w:vAlign w:val="bottom"/>
          </w:tcPr>
          <w:p>
            <w:pPr>
              <w:spacing w:after="0"/>
              <w:rPr>
                <w:sz w:val="16"/>
                <w:szCs w:val="16"/>
                <w:color w:val="auto"/>
              </w:rPr>
            </w:pPr>
          </w:p>
        </w:tc>
        <w:tc>
          <w:tcPr>
            <w:tcW w:w="3080" w:type="dxa"/>
            <w:vAlign w:val="bottom"/>
            <w:gridSpan w:val="4"/>
          </w:tcPr>
          <w:p>
            <w:pPr>
              <w:ind w:left="1040"/>
              <w:spacing w:after="0"/>
              <w:rPr>
                <w:sz w:val="20"/>
                <w:szCs w:val="20"/>
                <w:color w:val="auto"/>
              </w:rPr>
            </w:pPr>
            <w:r>
              <w:rPr>
                <w:rFonts w:ascii="Arial" w:cs="Arial" w:eastAsia="Arial" w:hAnsi="Arial"/>
                <w:sz w:val="14"/>
                <w:szCs w:val="14"/>
                <w:b w:val="1"/>
                <w:bCs w:val="1"/>
                <w:color w:val="auto"/>
              </w:rPr>
              <w:t>Three Months Ended</w:t>
            </w:r>
          </w:p>
        </w:tc>
        <w:tc>
          <w:tcPr>
            <w:tcW w:w="2960" w:type="dxa"/>
            <w:vAlign w:val="bottom"/>
            <w:gridSpan w:val="3"/>
          </w:tcPr>
          <w:p>
            <w:pPr>
              <w:jc w:val="right"/>
              <w:ind w:right="639"/>
              <w:spacing w:after="0"/>
              <w:rPr>
                <w:sz w:val="20"/>
                <w:szCs w:val="20"/>
                <w:color w:val="auto"/>
              </w:rPr>
            </w:pPr>
            <w:r>
              <w:rPr>
                <w:rFonts w:ascii="Arial" w:cs="Arial" w:eastAsia="Arial" w:hAnsi="Arial"/>
                <w:sz w:val="14"/>
                <w:szCs w:val="14"/>
                <w:b w:val="1"/>
                <w:bCs w:val="1"/>
                <w:color w:val="auto"/>
              </w:rPr>
              <w:t>Six Months Ended</w:t>
            </w:r>
          </w:p>
        </w:tc>
      </w:tr>
      <w:tr>
        <w:trPr>
          <w:trHeight w:val="134"/>
        </w:trPr>
        <w:tc>
          <w:tcPr>
            <w:tcW w:w="4560" w:type="dxa"/>
            <w:vAlign w:val="bottom"/>
          </w:tcPr>
          <w:p>
            <w:pPr>
              <w:spacing w:after="0"/>
              <w:rPr>
                <w:sz w:val="11"/>
                <w:szCs w:val="11"/>
                <w:color w:val="auto"/>
              </w:rPr>
            </w:pPr>
          </w:p>
        </w:tc>
        <w:tc>
          <w:tcPr>
            <w:tcW w:w="1540" w:type="dxa"/>
            <w:vAlign w:val="bottom"/>
            <w:tcBorders>
              <w:top w:val="single" w:sz="8" w:color="auto"/>
            </w:tcBorders>
            <w:gridSpan w:val="2"/>
          </w:tcPr>
          <w:p>
            <w:pPr>
              <w:ind w:left="680"/>
              <w:spacing w:after="0" w:line="135" w:lineRule="exact"/>
              <w:rPr>
                <w:sz w:val="20"/>
                <w:szCs w:val="20"/>
                <w:color w:val="auto"/>
              </w:rPr>
            </w:pPr>
            <w:r>
              <w:rPr>
                <w:rFonts w:ascii="Arial" w:cs="Arial" w:eastAsia="Arial" w:hAnsi="Arial"/>
                <w:sz w:val="14"/>
                <w:szCs w:val="14"/>
                <w:b w:val="1"/>
                <w:bCs w:val="1"/>
                <w:color w:val="auto"/>
              </w:rPr>
              <w:t>July 31,</w:t>
            </w:r>
          </w:p>
        </w:tc>
        <w:tc>
          <w:tcPr>
            <w:tcW w:w="1440" w:type="dxa"/>
            <w:vAlign w:val="bottom"/>
            <w:tcBorders>
              <w:top w:val="single" w:sz="8" w:color="auto"/>
            </w:tcBorders>
          </w:tcPr>
          <w:p>
            <w:pPr>
              <w:jc w:val="right"/>
              <w:ind w:right="139"/>
              <w:spacing w:after="0" w:line="135" w:lineRule="exact"/>
              <w:rPr>
                <w:sz w:val="20"/>
                <w:szCs w:val="20"/>
                <w:color w:val="auto"/>
              </w:rPr>
            </w:pPr>
            <w:r>
              <w:rPr>
                <w:rFonts w:ascii="Arial" w:cs="Arial" w:eastAsia="Arial" w:hAnsi="Arial"/>
                <w:sz w:val="14"/>
                <w:szCs w:val="14"/>
                <w:b w:val="1"/>
                <w:bCs w:val="1"/>
                <w:color w:val="auto"/>
              </w:rPr>
              <w:t>August 1,</w:t>
            </w:r>
          </w:p>
        </w:tc>
        <w:tc>
          <w:tcPr>
            <w:tcW w:w="100" w:type="dxa"/>
            <w:vAlign w:val="bottom"/>
          </w:tcPr>
          <w:p>
            <w:pPr>
              <w:spacing w:after="0"/>
              <w:rPr>
                <w:sz w:val="11"/>
                <w:szCs w:val="11"/>
                <w:color w:val="auto"/>
              </w:rPr>
            </w:pPr>
          </w:p>
        </w:tc>
        <w:tc>
          <w:tcPr>
            <w:tcW w:w="1540" w:type="dxa"/>
            <w:vAlign w:val="bottom"/>
            <w:tcBorders>
              <w:top w:val="single" w:sz="8" w:color="auto"/>
            </w:tcBorders>
            <w:gridSpan w:val="2"/>
          </w:tcPr>
          <w:p>
            <w:pPr>
              <w:ind w:left="660"/>
              <w:spacing w:after="0" w:line="135" w:lineRule="exact"/>
              <w:rPr>
                <w:sz w:val="20"/>
                <w:szCs w:val="20"/>
                <w:color w:val="auto"/>
              </w:rPr>
            </w:pPr>
            <w:r>
              <w:rPr>
                <w:rFonts w:ascii="Arial" w:cs="Arial" w:eastAsia="Arial" w:hAnsi="Arial"/>
                <w:sz w:val="14"/>
                <w:szCs w:val="14"/>
                <w:b w:val="1"/>
                <w:bCs w:val="1"/>
                <w:color w:val="auto"/>
              </w:rPr>
              <w:t>July 31,</w:t>
            </w:r>
          </w:p>
        </w:tc>
        <w:tc>
          <w:tcPr>
            <w:tcW w:w="1420" w:type="dxa"/>
            <w:vAlign w:val="bottom"/>
            <w:tcBorders>
              <w:top w:val="single" w:sz="8" w:color="auto"/>
            </w:tcBorders>
          </w:tcPr>
          <w:p>
            <w:pPr>
              <w:jc w:val="right"/>
              <w:ind w:right="139"/>
              <w:spacing w:after="0" w:line="135" w:lineRule="exact"/>
              <w:rPr>
                <w:sz w:val="20"/>
                <w:szCs w:val="20"/>
                <w:color w:val="auto"/>
              </w:rPr>
            </w:pPr>
            <w:r>
              <w:rPr>
                <w:rFonts w:ascii="Arial" w:cs="Arial" w:eastAsia="Arial" w:hAnsi="Arial"/>
                <w:sz w:val="14"/>
                <w:szCs w:val="14"/>
                <w:b w:val="1"/>
                <w:bCs w:val="1"/>
                <w:color w:val="auto"/>
              </w:rPr>
              <w:t>August 1,</w:t>
            </w:r>
          </w:p>
        </w:tc>
      </w:tr>
      <w:tr>
        <w:trPr>
          <w:trHeight w:val="188"/>
        </w:trPr>
        <w:tc>
          <w:tcPr>
            <w:tcW w:w="456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r>
      <w:tr>
        <w:trPr>
          <w:trHeight w:val="211"/>
        </w:trPr>
        <w:tc>
          <w:tcPr>
            <w:tcW w:w="4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Weighted-average shares outstanding:</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r>
      <w:tr>
        <w:trPr>
          <w:trHeight w:val="230"/>
        </w:trPr>
        <w:tc>
          <w:tcPr>
            <w:tcW w:w="4560" w:type="dxa"/>
            <w:vAlign w:val="bottom"/>
          </w:tcPr>
          <w:p>
            <w:pPr>
              <w:ind w:left="420"/>
              <w:spacing w:after="0"/>
              <w:rPr>
                <w:sz w:val="20"/>
                <w:szCs w:val="20"/>
                <w:color w:val="auto"/>
              </w:rPr>
            </w:pPr>
            <w:r>
              <w:rPr>
                <w:rFonts w:ascii="Arial" w:cs="Arial" w:eastAsia="Arial" w:hAnsi="Arial"/>
                <w:sz w:val="18"/>
                <w:szCs w:val="18"/>
                <w:color w:val="auto"/>
              </w:rPr>
              <w:t>Share-based awards</w:t>
            </w:r>
          </w:p>
        </w:tc>
        <w:tc>
          <w:tcPr>
            <w:tcW w:w="1440" w:type="dxa"/>
            <w:vAlign w:val="bottom"/>
          </w:tcPr>
          <w:p>
            <w:pPr>
              <w:jc w:val="right"/>
              <w:ind w:right="1"/>
              <w:spacing w:after="0"/>
              <w:rPr>
                <w:sz w:val="20"/>
                <w:szCs w:val="20"/>
                <w:color w:val="auto"/>
              </w:rPr>
            </w:pPr>
            <w:r>
              <w:rPr>
                <w:rFonts w:ascii="Arial" w:cs="Arial" w:eastAsia="Arial" w:hAnsi="Arial"/>
                <w:sz w:val="18"/>
                <w:szCs w:val="18"/>
                <w:color w:val="auto"/>
              </w:rPr>
              <w:t>18,651</w:t>
            </w:r>
          </w:p>
        </w:tc>
        <w:tc>
          <w:tcPr>
            <w:tcW w:w="10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10,974</w:t>
            </w:r>
          </w:p>
        </w:tc>
        <w:tc>
          <w:tcPr>
            <w:tcW w:w="100" w:type="dxa"/>
            <w:vAlign w:val="bottom"/>
          </w:tcPr>
          <w:p>
            <w:pPr>
              <w:spacing w:after="0"/>
              <w:rPr>
                <w:sz w:val="19"/>
                <w:szCs w:val="19"/>
                <w:color w:val="auto"/>
              </w:rPr>
            </w:pPr>
          </w:p>
        </w:tc>
        <w:tc>
          <w:tcPr>
            <w:tcW w:w="1420" w:type="dxa"/>
            <w:vAlign w:val="bottom"/>
          </w:tcPr>
          <w:p>
            <w:pPr>
              <w:jc w:val="right"/>
              <w:ind w:right="1"/>
              <w:spacing w:after="0"/>
              <w:rPr>
                <w:sz w:val="20"/>
                <w:szCs w:val="20"/>
                <w:color w:val="auto"/>
              </w:rPr>
            </w:pPr>
            <w:r>
              <w:rPr>
                <w:rFonts w:ascii="Arial" w:cs="Arial" w:eastAsia="Arial" w:hAnsi="Arial"/>
                <w:sz w:val="18"/>
                <w:szCs w:val="18"/>
                <w:color w:val="auto"/>
              </w:rPr>
              <w:t>17,595</w:t>
            </w:r>
          </w:p>
        </w:tc>
        <w:tc>
          <w:tcPr>
            <w:tcW w:w="12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10,008</w:t>
            </w:r>
          </w:p>
        </w:tc>
      </w:tr>
      <w:tr>
        <w:trPr>
          <w:trHeight w:val="229"/>
        </w:trPr>
        <w:tc>
          <w:tcPr>
            <w:tcW w:w="45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Convertible debt</w:t>
            </w:r>
          </w:p>
        </w:tc>
        <w:tc>
          <w:tcPr>
            <w:tcW w:w="144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613</w:t>
            </w:r>
          </w:p>
        </w:tc>
        <w:tc>
          <w:tcPr>
            <w:tcW w:w="100" w:type="dxa"/>
            <w:vAlign w:val="bottom"/>
            <w:shd w:val="clear" w:color="auto" w:fill="CCEEFF"/>
          </w:tcPr>
          <w:p>
            <w:pPr>
              <w:spacing w:after="0"/>
              <w:rPr>
                <w:sz w:val="19"/>
                <w:szCs w:val="19"/>
                <w:color w:val="auto"/>
              </w:rPr>
            </w:pP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42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1,097</w:t>
            </w:r>
          </w:p>
        </w:tc>
        <w:tc>
          <w:tcPr>
            <w:tcW w:w="120" w:type="dxa"/>
            <w:vAlign w:val="bottom"/>
            <w:shd w:val="clear" w:color="auto" w:fill="CCEEFF"/>
          </w:tcPr>
          <w:p>
            <w:pPr>
              <w:spacing w:after="0"/>
              <w:rPr>
                <w:sz w:val="19"/>
                <w:szCs w:val="19"/>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bl>
    <w:p>
      <w:pPr>
        <w:spacing w:after="0" w:line="323"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share-based awards are excluded from the calculation of diluted earnings per share for the three and six months ended July 31, 2021 and August 1, 2020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right="40" w:firstLine="405"/>
        <w:spacing w:after="0"/>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successfully integrate and to realize anticipated synergies, on a timely basis or at all, in connection with the Inphi merger;</w:t>
      </w:r>
    </w:p>
    <w:p>
      <w:pPr>
        <w:ind w:left="500" w:right="720" w:hanging="168"/>
        <w:spacing w:after="0" w:line="234" w:lineRule="auto"/>
        <w:tabs>
          <w:tab w:leader="none" w:pos="44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Cloud, infrastructure and 5G markets and to market and sell these products to our customers;</w:t>
      </w:r>
    </w:p>
    <w:p>
      <w:pPr>
        <w:spacing w:after="0" w:line="1" w:lineRule="exact"/>
        <w:rPr>
          <w:rFonts w:ascii="Arial" w:cs="Arial" w:eastAsia="Arial" w:hAnsi="Arial"/>
          <w:sz w:val="18"/>
          <w:szCs w:val="18"/>
          <w:i w:val="1"/>
          <w:iCs w:val="1"/>
          <w:color w:val="auto"/>
        </w:rPr>
      </w:pPr>
    </w:p>
    <w:p>
      <w:pPr>
        <w:ind w:left="500" w:right="180" w:hanging="168"/>
        <w:spacing w:after="0" w:line="234" w:lineRule="auto"/>
        <w:tabs>
          <w:tab w:leader="none" w:pos="44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extension of lead time due to supply chain disruption,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2" w:lineRule="exact"/>
        <w:rPr>
          <w:rFonts w:ascii="Arial" w:cs="Arial" w:eastAsia="Arial" w:hAnsi="Arial"/>
          <w:sz w:val="18"/>
          <w:szCs w:val="18"/>
          <w:i w:val="1"/>
          <w:iCs w:val="1"/>
          <w:color w:val="auto"/>
        </w:rPr>
      </w:pPr>
    </w:p>
    <w:p>
      <w:pPr>
        <w:ind w:left="500" w:right="340" w:hanging="168"/>
        <w:spacing w:after="0" w:line="234" w:lineRule="auto"/>
        <w:tabs>
          <w:tab w:leader="none" w:pos="44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spacing w:after="0" w:line="1" w:lineRule="exact"/>
        <w:rPr>
          <w:rFonts w:ascii="Arial" w:cs="Arial" w:eastAsia="Arial" w:hAnsi="Arial"/>
          <w:sz w:val="18"/>
          <w:szCs w:val="18"/>
          <w:i w:val="1"/>
          <w:iCs w:val="1"/>
          <w:color w:val="auto"/>
        </w:rPr>
      </w:pPr>
    </w:p>
    <w:p>
      <w:pPr>
        <w:ind w:left="500" w:right="420" w:hanging="168"/>
        <w:spacing w:after="0" w:line="234" w:lineRule="auto"/>
        <w:tabs>
          <w:tab w:leader="none" w:pos="44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spacing w:after="0" w:line="1" w:lineRule="exact"/>
        <w:rPr>
          <w:rFonts w:ascii="Arial" w:cs="Arial" w:eastAsia="Arial" w:hAnsi="Arial"/>
          <w:sz w:val="18"/>
          <w:szCs w:val="18"/>
          <w:i w:val="1"/>
          <w:iCs w:val="1"/>
          <w:color w:val="auto"/>
        </w:rPr>
      </w:pP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risks related to our debt obligations;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our manufacturing partners for the manufacture, assembly and testing of our products;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ind w:left="500" w:hanging="168"/>
        <w:spacing w:after="0" w:line="234" w:lineRule="auto"/>
        <w:tabs>
          <w:tab w:leader="none" w:pos="446"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1" w:lineRule="exact"/>
        <w:rPr>
          <w:rFonts w:ascii="Arial" w:cs="Arial" w:eastAsia="Arial" w:hAnsi="Arial"/>
          <w:sz w:val="18"/>
          <w:szCs w:val="18"/>
          <w:i w:val="1"/>
          <w:iCs w:val="1"/>
          <w:color w:val="auto"/>
        </w:rPr>
      </w:pP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on changes in strategy and realize the expected benefits from restructuring activities;</w:t>
      </w:r>
    </w:p>
    <w:p>
      <w:pPr>
        <w:ind w:left="500" w:right="80" w:hanging="168"/>
        <w:spacing w:after="0" w:line="264" w:lineRule="auto"/>
        <w:tabs>
          <w:tab w:leader="none" w:pos="446" w:val="left"/>
        </w:tabs>
        <w:numPr>
          <w:ilvl w:val="0"/>
          <w:numId w:val="6"/>
        </w:numPr>
        <w:rPr>
          <w:rFonts w:ascii="Arial" w:cs="Arial" w:eastAsia="Arial" w:hAnsi="Arial"/>
          <w:sz w:val="16"/>
          <w:szCs w:val="16"/>
          <w:i w:val="1"/>
          <w:iCs w:val="1"/>
          <w:color w:val="auto"/>
        </w:rPr>
      </w:pPr>
      <w:r>
        <w:rPr>
          <w:rFonts w:ascii="Arial" w:cs="Arial" w:eastAsia="Arial" w:hAnsi="Arial"/>
          <w:sz w:val="16"/>
          <w:szCs w:val="16"/>
          <w:i w:val="1"/>
          <w:iCs w:val="1"/>
          <w:color w:val="auto"/>
        </w:rPr>
        <w:t>our ability to implement our plans, forecasts and other expectations with respect to our strategic investments, divestitures, mergers, or joint ventures (such as our proposed acquisition of Innovium, Inc.) and to fully realize the anticipated synergies and cost savings in the time frame anticipated;</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the highly cyclical and intensely competitive nature of the markets for our products;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accurately categorize our products by end markets;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ind w:left="440" w:hanging="108"/>
        <w:spacing w:after="0" w:line="234" w:lineRule="auto"/>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ind w:left="440" w:hanging="108"/>
        <w:spacing w:after="0"/>
        <w:tabs>
          <w:tab w:leader="none" w:pos="44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23"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200" w:lineRule="exact"/>
        <w:rPr>
          <w:sz w:val="20"/>
          <w:szCs w:val="20"/>
          <w:color w:val="auto"/>
        </w:rPr>
      </w:pP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140" w:firstLine="405"/>
        <w:spacing w:after="0" w:line="228"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w:t>
      </w:r>
    </w:p>
    <w:p>
      <w:pPr>
        <w:spacing w:after="0" w:line="205" w:lineRule="exact"/>
        <w:rPr>
          <w:sz w:val="20"/>
          <w:szCs w:val="20"/>
          <w:color w:val="auto"/>
        </w:rPr>
      </w:pPr>
    </w:p>
    <w:p>
      <w:pPr>
        <w:ind w:right="220" w:firstLine="405"/>
        <w:spacing w:after="0" w:line="231" w:lineRule="auto"/>
        <w:rPr>
          <w:sz w:val="20"/>
          <w:szCs w:val="20"/>
          <w:color w:val="auto"/>
        </w:rPr>
      </w:pPr>
      <w:r>
        <w:rPr>
          <w:rFonts w:ascii="Arial" w:cs="Arial" w:eastAsia="Arial" w:hAnsi="Arial"/>
          <w:sz w:val="18"/>
          <w:szCs w:val="18"/>
          <w:color w:val="auto"/>
        </w:rPr>
        <w:t>Historically, we have reported revenue from three product groups: networking, storage, and other. Beginning with the second quarter of fiscal 2022, we are changing our reporting to present revenue from five end markets. 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237" w:lineRule="exact"/>
        <w:rPr>
          <w:sz w:val="20"/>
          <w:szCs w:val="20"/>
          <w:color w:val="auto"/>
        </w:rPr>
      </w:pPr>
    </w:p>
    <w:tbl>
      <w:tblPr>
        <w:tblLayout w:type="fixed"/>
        <w:tblInd w:w="10" w:type="dxa"/>
        <w:tblCellMar>
          <w:top w:w="0" w:type="dxa"/>
          <w:left w:w="0" w:type="dxa"/>
          <w:bottom w:w="0" w:type="dxa"/>
          <w:right w:w="0" w:type="dxa"/>
        </w:tblCellMar>
      </w:tblPr>
      <w:tr>
        <w:trPr>
          <w:trHeight w:val="257"/>
        </w:trPr>
        <w:tc>
          <w:tcPr>
            <w:tcW w:w="5300" w:type="dxa"/>
            <w:vAlign w:val="bottom"/>
            <w:tcBorders>
              <w:top w:val="single" w:sz="8" w:color="auto"/>
              <w:left w:val="single" w:sz="8" w:color="auto"/>
              <w:right w:val="single" w:sz="8" w:color="auto"/>
            </w:tcBorders>
          </w:tcPr>
          <w:p>
            <w:pPr>
              <w:ind w:left="40"/>
              <w:spacing w:after="0"/>
              <w:rPr>
                <w:sz w:val="20"/>
                <w:szCs w:val="20"/>
                <w:color w:val="auto"/>
              </w:rPr>
            </w:pPr>
            <w:r>
              <w:rPr>
                <w:rFonts w:ascii="Arial" w:cs="Arial" w:eastAsia="Arial" w:hAnsi="Arial"/>
                <w:sz w:val="18"/>
                <w:szCs w:val="18"/>
                <w:b w:val="1"/>
                <w:bCs w:val="1"/>
                <w:color w:val="auto"/>
              </w:rPr>
              <w:t>End market</w:t>
            </w:r>
          </w:p>
        </w:tc>
        <w:tc>
          <w:tcPr>
            <w:tcW w:w="5960" w:type="dxa"/>
            <w:vAlign w:val="bottom"/>
            <w:tcBorders>
              <w:top w:val="single" w:sz="8" w:color="auto"/>
              <w:right w:val="single" w:sz="8" w:color="auto"/>
            </w:tcBorders>
            <w:gridSpan w:val="2"/>
          </w:tcPr>
          <w:p>
            <w:pPr>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5300" w:type="dxa"/>
            <w:vAlign w:val="bottom"/>
            <w:tcBorders>
              <w:left w:val="single" w:sz="8" w:color="auto"/>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5440" w:type="dxa"/>
            <w:vAlign w:val="bottom"/>
            <w:tcBorders>
              <w:bottom w:val="single" w:sz="8" w:color="auto"/>
              <w:right w:val="single" w:sz="8" w:color="auto"/>
            </w:tcBorders>
          </w:tcPr>
          <w:p>
            <w:pPr>
              <w:spacing w:after="0"/>
              <w:rPr>
                <w:sz w:val="2"/>
                <w:szCs w:val="2"/>
                <w:color w:val="auto"/>
              </w:rPr>
            </w:pPr>
          </w:p>
        </w:tc>
      </w:tr>
      <w:tr>
        <w:trPr>
          <w:trHeight w:val="269"/>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Data center</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Cloud and on-premise Artificial intelligence (AI) systems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ethernet switching</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network-attached storage (NAS)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servers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storage area networks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storage systems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Data center interconnect (DCI)</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Carrier infrastructure</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Digital Subscriber Line Access Multiplexers (DSLAMs)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Ethernet switches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Optical transport systems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Routers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Wireless radio access network (RAN) systems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Enterprise networking</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Campus and small medium enterprise routers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Campus and small medium enterprise ethernet switches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Campus and small medium enterprise wireless access points (WAPs)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N</w:t>
            </w:r>
            <w:r>
              <w:rPr>
                <w:rFonts w:ascii="Arial" w:cs="Arial" w:eastAsia="Arial" w:hAnsi="Arial"/>
                <w:sz w:val="17"/>
                <w:szCs w:val="17"/>
                <w:b w:val="1"/>
                <w:bCs w:val="1"/>
                <w:color w:val="auto"/>
              </w:rPr>
              <w:t>e</w:t>
            </w:r>
            <w:r>
              <w:rPr>
                <w:rFonts w:ascii="Arial" w:cs="Arial" w:eastAsia="Arial" w:hAnsi="Arial"/>
                <w:sz w:val="17"/>
                <w:szCs w:val="17"/>
                <w:color w:val="auto"/>
              </w:rPr>
              <w:t>twork appliances (firewalls, and load balancers)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20" w:type="dxa"/>
            <w:vAlign w:val="bottom"/>
            <w:tcBorders>
              <w:bottom w:val="single" w:sz="8" w:color="auto"/>
            </w:tcBorders>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bottom w:val="single" w:sz="8" w:color="auto"/>
              <w:right w:val="single" w:sz="8" w:color="auto"/>
            </w:tcBorders>
          </w:tcPr>
          <w:p>
            <w:pPr>
              <w:ind w:left="120"/>
              <w:spacing w:after="0"/>
              <w:rPr>
                <w:sz w:val="20"/>
                <w:szCs w:val="20"/>
                <w:color w:val="auto"/>
              </w:rPr>
            </w:pPr>
            <w:r>
              <w:rPr>
                <w:rFonts w:ascii="Arial" w:cs="Arial" w:eastAsia="Arial" w:hAnsi="Arial"/>
                <w:sz w:val="18"/>
                <w:szCs w:val="18"/>
                <w:color w:val="auto"/>
              </w:rPr>
              <w:t>Workstations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Consumer</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Broadband gateways and routers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Gaming consoles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Home data storage</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Home wireless access points (WAPs)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Personal Computers (PCs)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Printers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Set-top boxes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Automotive/Industrial</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Advanced driver-assistance systems (ADAS)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Autonomous vehicles (AV)</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In-vehicle networking</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Industrial ethernet switches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United States military and government solutions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20" w:type="dxa"/>
            <w:vAlign w:val="bottom"/>
            <w:tcBorders>
              <w:bottom w:val="single" w:sz="8" w:color="auto"/>
            </w:tcBorders>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bottom w:val="single" w:sz="8" w:color="auto"/>
              <w:right w:val="single" w:sz="8" w:color="auto"/>
            </w:tcBorders>
          </w:tcPr>
          <w:p>
            <w:pPr>
              <w:ind w:left="120"/>
              <w:spacing w:after="0"/>
              <w:rPr>
                <w:sz w:val="20"/>
                <w:szCs w:val="20"/>
                <w:color w:val="auto"/>
              </w:rPr>
            </w:pPr>
            <w:r>
              <w:rPr>
                <w:rFonts w:ascii="Arial" w:cs="Arial" w:eastAsia="Arial" w:hAnsi="Arial"/>
                <w:sz w:val="18"/>
                <w:szCs w:val="18"/>
                <w:color w:val="auto"/>
              </w:rPr>
              <w:t>Video surveillance</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60"/>
          </w:cols>
          <w:pgMar w:left="320" w:top="130" w:right="31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320" w:firstLine="405"/>
        <w:spacing w:after="0" w:line="248" w:lineRule="auto"/>
        <w:rPr>
          <w:sz w:val="20"/>
          <w:szCs w:val="20"/>
          <w:color w:val="auto"/>
        </w:rPr>
      </w:pPr>
      <w:r>
        <w:rPr>
          <w:rFonts w:ascii="Arial" w:cs="Arial" w:eastAsia="Arial" w:hAnsi="Arial"/>
          <w:sz w:val="18"/>
          <w:szCs w:val="18"/>
          <w:color w:val="auto"/>
        </w:rPr>
        <w:t>This market-focused view provides more information and transparency about the key growth drivers of our business. We believe this presentation provides a better understanding of our business. Accordingly, starting with the third quarter of fiscal 2022, we expect to no longer report revenue by product group.</w:t>
      </w:r>
    </w:p>
    <w:p>
      <w:pPr>
        <w:spacing w:after="0" w:line="195" w:lineRule="exact"/>
        <w:rPr>
          <w:sz w:val="20"/>
          <w:szCs w:val="20"/>
          <w:color w:val="auto"/>
        </w:rPr>
      </w:pPr>
    </w:p>
    <w:p>
      <w:pPr>
        <w:ind w:right="500" w:firstLine="405"/>
        <w:spacing w:after="0" w:line="246" w:lineRule="auto"/>
        <w:rPr>
          <w:sz w:val="20"/>
          <w:szCs w:val="20"/>
          <w:color w:val="auto"/>
        </w:rPr>
      </w:pPr>
      <w:r>
        <w:rPr>
          <w:rFonts w:ascii="Arial" w:cs="Arial" w:eastAsia="Arial" w:hAnsi="Arial"/>
          <w:sz w:val="17"/>
          <w:szCs w:val="17"/>
          <w:color w:val="auto"/>
        </w:rPr>
        <w:t>We categorize revenue from our five end markets by using a number of data points, including the type of customer purchasing the product, the function of our product being sold, and our knowledge of the end customer product or application into which our product will be incorporated. The categorization of products by end market is inherently subjective and can vary over time, both as a result of continued improvements in our ability to understand the final usage of our products, as well as changes in how our customers utilize our products.</w:t>
      </w:r>
    </w:p>
    <w:p>
      <w:pPr>
        <w:spacing w:after="0" w:line="211" w:lineRule="exact"/>
        <w:rPr>
          <w:sz w:val="20"/>
          <w:szCs w:val="20"/>
          <w:color w:val="auto"/>
        </w:rPr>
      </w:pPr>
    </w:p>
    <w:p>
      <w:pPr>
        <w:ind w:right="100" w:firstLine="405"/>
        <w:spacing w:after="0" w:line="284" w:lineRule="auto"/>
        <w:rPr>
          <w:sz w:val="20"/>
          <w:szCs w:val="20"/>
          <w:color w:val="auto"/>
        </w:rPr>
      </w:pPr>
      <w:r>
        <w:rPr>
          <w:rFonts w:ascii="Arial" w:cs="Arial" w:eastAsia="Arial" w:hAnsi="Arial"/>
          <w:sz w:val="16"/>
          <w:szCs w:val="16"/>
          <w:color w:val="auto"/>
        </w:rPr>
        <w:t>In the second quarter of fiscal 2022, our net revenue increased year over year by 48% from $727.3 million net revenue in the second quarter of fiscal 2021 compared with $1.1 billion in the second quarter of fiscal 2022. This was due to an increase in sales from all our end markets. Revenue increased from the data center end market by 62%, from the carrier infrastructure end market by 38%, from the enterprise networking end market by 41%, from the consumer end market by 23% , and the automotive/industrial end market by 125% compared to the three months ended August 1, 2020.</w:t>
      </w:r>
    </w:p>
    <w:p>
      <w:pPr>
        <w:spacing w:after="0" w:line="182" w:lineRule="exact"/>
        <w:rPr>
          <w:sz w:val="20"/>
          <w:szCs w:val="20"/>
          <w:color w:val="auto"/>
        </w:rPr>
      </w:pPr>
    </w:p>
    <w:p>
      <w:pPr>
        <w:ind w:right="40" w:firstLine="405"/>
        <w:spacing w:after="0" w:line="271" w:lineRule="auto"/>
        <w:rPr>
          <w:sz w:val="20"/>
          <w:szCs w:val="20"/>
          <w:color w:val="auto"/>
        </w:rPr>
      </w:pPr>
      <w:r>
        <w:rPr>
          <w:rFonts w:ascii="Arial" w:cs="Arial" w:eastAsia="Arial" w:hAnsi="Arial"/>
          <w:sz w:val="16"/>
          <w:szCs w:val="16"/>
          <w:color w:val="auto"/>
        </w:rPr>
        <w:t>On April 20, 2021, we completed the acquisition of Inphi Corporation (“Inphi”). Inphi is a global leader in high-speed data movement enabled by optical interconnects. Their product portfolio includes laser drivers, trans-impedance amplifiers, PAM (Pulse Amplitude Modulation) and Coherent DSPs (Digital Signal Processors), differentiated silicon photonics, as well as an optical PHY portfolio for interconnect inside and between the data center, as well as interconnect for the carrier market. The combined company has growing positions in carrier and data center, and Inphi’s high-speed electro-optics platform is highly complementary to our storage, networking, compute, and security portfolio. Inphi’s electro-optics portfolio combined with our copper Ethernet PHY franchise is expected to create a leading high-speed data interconnect platform. The operating results for the year to date second quarter of fiscal 2022 include the operating results of Inphi for the period from the date of acquisition through the Company’s second quarter ended July 31, 2021. In conjunction with the acquisition transaction, Marvell Technology Group Ltd. and Inphi became wholly owned subsidiaries of the new parent company, Marvell Technology, Inc. (“MTI”) on April 20, 2021. The parent company is domiciled in and subject to taxation in the United States.</w:t>
      </w:r>
    </w:p>
    <w:p>
      <w:pPr>
        <w:spacing w:after="0" w:line="182" w:lineRule="exact"/>
        <w:rPr>
          <w:sz w:val="20"/>
          <w:szCs w:val="20"/>
          <w:color w:val="auto"/>
        </w:rPr>
      </w:pPr>
    </w:p>
    <w:p>
      <w:pPr>
        <w:ind w:firstLine="405"/>
        <w:spacing w:after="0" w:line="227" w:lineRule="auto"/>
        <w:rPr>
          <w:sz w:val="20"/>
          <w:szCs w:val="20"/>
          <w:color w:val="auto"/>
        </w:rPr>
      </w:pPr>
      <w:r>
        <w:rPr>
          <w:rFonts w:ascii="Arial" w:cs="Arial" w:eastAsia="Arial" w:hAnsi="Arial"/>
          <w:sz w:val="18"/>
          <w:szCs w:val="18"/>
          <w:color w:val="auto"/>
        </w:rPr>
        <w:t>Subsequent to quarter end, on August 3, 2021, we announced our intent to acquire Innovium, Inc. (“Innovium”), a leading provider of networking solutions for cloud and edge data centers, in an all-stock transaction. The estimated acquisition price of $1.1 billion consists of approximately 19.05 million shares of our common shares and is based on our 10-day volume weighted average price as of July 30, 2021. The acquisition price includes Innovium cash and exercise proceeds expected at closing of approximately $145 million, resulting in an estimated net cost to us of $955 million. The transaction is expected to close by the end of calendar year 2021, subject to the satisfaction of customary closing conditions, including approval by Innovium’s stockholders and applicable regulatory approval.</w:t>
      </w:r>
    </w:p>
    <w:p>
      <w:pPr>
        <w:spacing w:after="0" w:line="216"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In response to growth in demand from customers for our products, our operations team is continuing to ramp production with our global supply chain partners. However, we are experiencing a number of industry-wide supply constraints affecting the type of high complexity products we provide for data infrastructure. These supply challenges are currently limiting our ability to fully satisfy the increase in demand for some of our products. To secure additional capacity, we entered into capacity reservation arrangements with certain manufacturing or supply partners. See “Note 10 - Commitments and Contingencies” in the Notes to the Unaudited Condensed Consolidated Financial Statements for additional information.</w:t>
      </w:r>
    </w:p>
    <w:p>
      <w:pPr>
        <w:spacing w:after="0" w:line="201" w:lineRule="exact"/>
        <w:rPr>
          <w:sz w:val="20"/>
          <w:szCs w:val="20"/>
          <w:color w:val="auto"/>
        </w:rPr>
      </w:pPr>
    </w:p>
    <w:p>
      <w:pPr>
        <w:ind w:right="100" w:firstLine="405"/>
        <w:spacing w:after="0" w:line="279" w:lineRule="auto"/>
        <w:rPr>
          <w:sz w:val="20"/>
          <w:szCs w:val="20"/>
          <w:color w:val="auto"/>
        </w:rPr>
      </w:pPr>
      <w:r>
        <w:rPr>
          <w:rFonts w:ascii="Arial" w:cs="Arial" w:eastAsia="Arial" w:hAnsi="Arial"/>
          <w:sz w:val="16"/>
          <w:szCs w:val="16"/>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6"/>
          <w:szCs w:val="16"/>
          <w:i w:val="1"/>
          <w:iCs w:val="1"/>
          <w:color w:val="auto"/>
        </w:rPr>
        <w:t>We face risks related to the COVID-19 pandemic which currently</w:t>
      </w:r>
      <w:r>
        <w:rPr>
          <w:rFonts w:ascii="Arial" w:cs="Arial" w:eastAsia="Arial" w:hAnsi="Arial"/>
          <w:sz w:val="16"/>
          <w:szCs w:val="16"/>
          <w:color w:val="auto"/>
        </w:rPr>
        <w:t xml:space="preserve"> </w:t>
      </w:r>
      <w:r>
        <w:rPr>
          <w:rFonts w:ascii="Arial" w:cs="Arial" w:eastAsia="Arial" w:hAnsi="Arial"/>
          <w:sz w:val="16"/>
          <w:szCs w:val="16"/>
          <w:i w:val="1"/>
          <w:iCs w:val="1"/>
          <w:color w:val="auto"/>
        </w:rPr>
        <w:t>has, and may continue in the future to, significantly disrupt our manufacturing, research and development, operations, sales and financial results</w:t>
      </w:r>
      <w:r>
        <w:rPr>
          <w:rFonts w:ascii="Arial" w:cs="Arial" w:eastAsia="Arial" w:hAnsi="Arial"/>
          <w:sz w:val="16"/>
          <w:szCs w:val="16"/>
          <w:color w:val="auto"/>
        </w:rPr>
        <w:t>.”</w:t>
      </w:r>
    </w:p>
    <w:p>
      <w:pPr>
        <w:spacing w:after="0" w:line="186" w:lineRule="exact"/>
        <w:rPr>
          <w:sz w:val="20"/>
          <w:szCs w:val="20"/>
          <w:color w:val="auto"/>
        </w:rPr>
      </w:pPr>
    </w:p>
    <w:p>
      <w:pPr>
        <w:ind w:right="100" w:firstLine="405"/>
        <w:spacing w:after="0" w:line="257"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2022.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firstLine="405"/>
        <w:spacing w:after="0" w:line="273"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stockholder value through our share repurchase and dividend programs. On October 16,</w:t>
      </w:r>
      <w:r>
        <w:rPr>
          <w:rFonts w:ascii="Arial" w:cs="Arial" w:eastAsia="Arial" w:hAnsi="Arial"/>
          <w:sz w:val="16"/>
          <w:szCs w:val="16"/>
          <w:i w:val="1"/>
          <w:iCs w:val="1"/>
          <w:color w:val="auto"/>
        </w:rPr>
        <w:t xml:space="preserve"> </w:t>
      </w:r>
      <w:r>
        <w:rPr>
          <w:rFonts w:ascii="Arial" w:cs="Arial" w:eastAsia="Arial" w:hAnsi="Arial"/>
          <w:sz w:val="16"/>
          <w:szCs w:val="16"/>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and the program remains suspended as we focus on reducing our debt and de-levering our balance sheet. As a result, we did not repurchase any shares during the six months ended July 31, 2021. We will continue to evaluate business conditions to decide when we can restart the share repurchase program</w:t>
      </w:r>
      <w:r>
        <w:rPr>
          <w:rFonts w:ascii="Arial" w:cs="Arial" w:eastAsia="Arial" w:hAnsi="Arial"/>
          <w:sz w:val="17"/>
          <w:szCs w:val="17"/>
          <w:color w:val="auto"/>
        </w:rPr>
        <w:t>.</w:t>
      </w:r>
      <w:r>
        <w:rPr>
          <w:rFonts w:ascii="Arial" w:cs="Arial" w:eastAsia="Arial" w:hAnsi="Arial"/>
          <w:sz w:val="16"/>
          <w:szCs w:val="16"/>
          <w:color w:val="auto"/>
        </w:rPr>
        <w:t xml:space="preserve"> As of July 31, 2021, there was $564.5 million remaining available for future share repurchases of the authorization.</w:t>
      </w:r>
    </w:p>
    <w:p>
      <w:pPr>
        <w:spacing w:after="0" w:line="18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July 31, 2021, a total of 308.1 million shares have been repurchased to date under our share repurchase programs for a total $4.3 billion in cash.</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We returned $89.9 million to stockholders in the six months ended July 31, 2021 in cash dividends.</w:t>
      </w:r>
    </w:p>
    <w:p>
      <w:pPr>
        <w:spacing w:after="0" w:line="223"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$559.6 million at July 31, 2021, which was $188.9 million lower than our balance at</w:t>
      </w:r>
      <w:r>
        <w:rPr>
          <w:rFonts w:ascii="Arial" w:cs="Arial" w:eastAsia="Arial" w:hAnsi="Arial"/>
          <w:sz w:val="18"/>
          <w:szCs w:val="18"/>
          <w:i w:val="1"/>
          <w:iCs w:val="1"/>
          <w:color w:val="auto"/>
        </w:rPr>
        <w:t xml:space="preserve"> </w:t>
      </w:r>
      <w:r>
        <w:rPr>
          <w:rFonts w:ascii="Arial" w:cs="Arial" w:eastAsia="Arial" w:hAnsi="Arial"/>
          <w:sz w:val="18"/>
          <w:szCs w:val="18"/>
          <w:color w:val="auto"/>
        </w:rPr>
        <w:t>our fiscal year ended January 30, 2021 of $748.5 million.</w:t>
      </w:r>
    </w:p>
    <w:p>
      <w:pPr>
        <w:spacing w:after="0" w:line="198"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i w:val="1"/>
          <w:iCs w:val="1"/>
          <w:color w:val="auto"/>
        </w:rPr>
        <w:t xml:space="preserve">Sales and Customer Composition. </w:t>
      </w:r>
      <w:r>
        <w:rPr>
          <w:rFonts w:ascii="Arial" w:cs="Arial" w:eastAsia="Arial" w:hAnsi="Arial"/>
          <w:sz w:val="16"/>
          <w:szCs w:val="16"/>
          <w:color w:val="auto"/>
        </w:rPr>
        <w:t>Historically, a relatively small number of customers have accounted for a significant portion of our net revenue.</w:t>
      </w:r>
      <w:r>
        <w:rPr>
          <w:rFonts w:ascii="Arial" w:cs="Arial" w:eastAsia="Arial" w:hAnsi="Arial"/>
          <w:sz w:val="16"/>
          <w:szCs w:val="16"/>
          <w:i w:val="1"/>
          <w:iCs w:val="1"/>
          <w:color w:val="auto"/>
        </w:rPr>
        <w:t xml:space="preserve"> </w:t>
      </w:r>
      <w:r>
        <w:rPr>
          <w:rFonts w:ascii="Arial" w:cs="Arial" w:eastAsia="Arial" w:hAnsi="Arial"/>
          <w:sz w:val="16"/>
          <w:szCs w:val="16"/>
          <w:color w:val="auto"/>
        </w:rPr>
        <w:t>During the second quarter of fiscal 2022, there was no net revenue attributable to a customer, other than one distributor, whose revenues as a percentage of net revenue was 10% or greater of total net revenues. Net revenue attributable to significant distributors whose revenue as a percentage of net revenue was</w:t>
      </w:r>
    </w:p>
    <w:p>
      <w:pPr>
        <w:spacing w:after="0"/>
        <w:rPr>
          <w:sz w:val="20"/>
          <w:szCs w:val="20"/>
          <w:color w:val="auto"/>
        </w:rPr>
      </w:pPr>
      <w:r>
        <w:rPr>
          <w:rFonts w:ascii="Arial" w:cs="Arial" w:eastAsia="Arial" w:hAnsi="Arial"/>
          <w:sz w:val="18"/>
          <w:szCs w:val="18"/>
          <w:color w:val="auto"/>
        </w:rPr>
        <w:t>10% or greater of total net revenue is presented in the following table:</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40" w:type="dxa"/>
            <w:vAlign w:val="bottom"/>
          </w:tcPr>
          <w:p>
            <w:pPr>
              <w:spacing w:after="0"/>
              <w:rPr>
                <w:sz w:val="16"/>
                <w:szCs w:val="16"/>
                <w:color w:val="auto"/>
              </w:rPr>
            </w:pPr>
          </w:p>
        </w:tc>
        <w:tc>
          <w:tcPr>
            <w:tcW w:w="2660" w:type="dxa"/>
            <w:vAlign w:val="bottom"/>
            <w:tcBorders>
              <w:bottom w:val="single" w:sz="8" w:color="auto"/>
            </w:tcBorders>
            <w:gridSpan w:val="4"/>
          </w:tcPr>
          <w:p>
            <w:pPr>
              <w:ind w:lef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100" w:type="dxa"/>
            <w:vAlign w:val="bottom"/>
            <w:tcBorders>
              <w:bottom w:val="single" w:sz="8" w:color="auto"/>
            </w:tcBorders>
            <w:gridSpan w:val="3"/>
          </w:tcPr>
          <w:p>
            <w:pPr>
              <w:jc w:val="right"/>
              <w:ind w:right="902"/>
              <w:spacing w:after="0"/>
              <w:rPr>
                <w:sz w:val="20"/>
                <w:szCs w:val="20"/>
                <w:color w:val="auto"/>
              </w:rPr>
            </w:pPr>
            <w:r>
              <w:rPr>
                <w:rFonts w:ascii="Arial" w:cs="Arial" w:eastAsia="Arial" w:hAnsi="Arial"/>
                <w:sz w:val="14"/>
                <w:szCs w:val="14"/>
                <w:b w:val="1"/>
                <w:bCs w:val="1"/>
                <w:color w:val="auto"/>
              </w:rPr>
              <w:t>Six Months Ended</w:t>
            </w:r>
          </w:p>
        </w:tc>
      </w:tr>
      <w:tr>
        <w:trPr>
          <w:trHeight w:val="134"/>
        </w:trPr>
        <w:tc>
          <w:tcPr>
            <w:tcW w:w="4940" w:type="dxa"/>
            <w:vAlign w:val="bottom"/>
          </w:tcPr>
          <w:p>
            <w:pPr>
              <w:spacing w:after="0"/>
              <w:rPr>
                <w:sz w:val="11"/>
                <w:szCs w:val="11"/>
                <w:color w:val="auto"/>
              </w:rPr>
            </w:pPr>
          </w:p>
        </w:tc>
        <w:tc>
          <w:tcPr>
            <w:tcW w:w="1020" w:type="dxa"/>
            <w:vAlign w:val="bottom"/>
          </w:tcPr>
          <w:p>
            <w:pPr>
              <w:jc w:val="center"/>
              <w:ind w:left="388"/>
              <w:spacing w:after="0" w:line="135" w:lineRule="exact"/>
              <w:rPr>
                <w:sz w:val="20"/>
                <w:szCs w:val="20"/>
                <w:color w:val="auto"/>
              </w:rPr>
            </w:pPr>
            <w:r>
              <w:rPr>
                <w:rFonts w:ascii="Arial" w:cs="Arial" w:eastAsia="Arial" w:hAnsi="Arial"/>
                <w:sz w:val="14"/>
                <w:szCs w:val="14"/>
                <w:b w:val="1"/>
                <w:bCs w:val="1"/>
                <w:color w:val="auto"/>
                <w:w w:val="93"/>
              </w:rPr>
              <w:t>July 31,</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80" w:type="dxa"/>
            <w:vAlign w:val="bottom"/>
          </w:tcPr>
          <w:p>
            <w:pPr>
              <w:jc w:val="center"/>
              <w:ind w:left="388"/>
              <w:spacing w:after="0" w:line="135" w:lineRule="exact"/>
              <w:rPr>
                <w:sz w:val="20"/>
                <w:szCs w:val="20"/>
                <w:color w:val="auto"/>
              </w:rPr>
            </w:pPr>
            <w:r>
              <w:rPr>
                <w:rFonts w:ascii="Arial" w:cs="Arial" w:eastAsia="Arial" w:hAnsi="Arial"/>
                <w:sz w:val="14"/>
                <w:szCs w:val="14"/>
                <w:b w:val="1"/>
                <w:bCs w:val="1"/>
                <w:color w:val="auto"/>
                <w:w w:val="90"/>
              </w:rPr>
              <w:t>August 1,</w:t>
            </w:r>
          </w:p>
        </w:tc>
        <w:tc>
          <w:tcPr>
            <w:tcW w:w="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5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July 31,</w:t>
            </w:r>
          </w:p>
        </w:tc>
        <w:tc>
          <w:tcPr>
            <w:tcW w:w="15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August 1,</w:t>
            </w:r>
          </w:p>
        </w:tc>
      </w:tr>
      <w:tr>
        <w:trPr>
          <w:trHeight w:val="188"/>
        </w:trPr>
        <w:tc>
          <w:tcPr>
            <w:tcW w:w="5960" w:type="dxa"/>
            <w:vAlign w:val="bottom"/>
            <w:gridSpan w:val="2"/>
          </w:tcPr>
          <w:p>
            <w:pPr>
              <w:jc w:val="right"/>
              <w:ind w:right="68"/>
              <w:spacing w:after="0"/>
              <w:rPr>
                <w:sz w:val="20"/>
                <w:szCs w:val="20"/>
                <w:color w:val="auto"/>
              </w:rPr>
            </w:pPr>
            <w:r>
              <w:rPr>
                <w:rFonts w:ascii="Arial" w:cs="Arial" w:eastAsia="Arial" w:hAnsi="Arial"/>
                <w:sz w:val="14"/>
                <w:szCs w:val="14"/>
                <w:b w:val="1"/>
                <w:bCs w:val="1"/>
                <w:color w:val="auto"/>
              </w:rPr>
              <w:t>2021</w:t>
            </w:r>
          </w:p>
        </w:tc>
        <w:tc>
          <w:tcPr>
            <w:tcW w:w="1640" w:type="dxa"/>
            <w:vAlign w:val="bottom"/>
            <w:gridSpan w:val="3"/>
          </w:tcPr>
          <w:p>
            <w:pPr>
              <w:jc w:val="right"/>
              <w:ind w:right="108"/>
              <w:spacing w:after="0"/>
              <w:rPr>
                <w:sz w:val="20"/>
                <w:szCs w:val="20"/>
                <w:color w:val="auto"/>
              </w:rPr>
            </w:pPr>
            <w:r>
              <w:rPr>
                <w:rFonts w:ascii="Arial" w:cs="Arial" w:eastAsia="Arial" w:hAnsi="Arial"/>
                <w:sz w:val="14"/>
                <w:szCs w:val="14"/>
                <w:b w:val="1"/>
                <w:bCs w:val="1"/>
                <w:color w:val="auto"/>
              </w:rPr>
              <w:t>2020</w:t>
            </w: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500" w:type="dxa"/>
            <w:vAlign w:val="bottom"/>
          </w:tcPr>
          <w:p>
            <w:pPr>
              <w:jc w:val="right"/>
              <w:ind w:right="544"/>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520" w:type="dxa"/>
            <w:vAlign w:val="bottom"/>
          </w:tcPr>
          <w:p>
            <w:pPr>
              <w:jc w:val="right"/>
              <w:ind w:right="542"/>
              <w:spacing w:after="0"/>
              <w:rPr>
                <w:sz w:val="20"/>
                <w:szCs w:val="20"/>
                <w:color w:val="auto"/>
              </w:rPr>
            </w:pPr>
            <w:r>
              <w:rPr>
                <w:rFonts w:ascii="Arial" w:cs="Arial" w:eastAsia="Arial" w:hAnsi="Arial"/>
                <w:sz w:val="14"/>
                <w:szCs w:val="14"/>
                <w:b w:val="1"/>
                <w:bCs w:val="1"/>
                <w:color w:val="auto"/>
              </w:rPr>
              <w:t>2020</w:t>
            </w:r>
          </w:p>
        </w:tc>
      </w:tr>
      <w:tr>
        <w:trPr>
          <w:trHeight w:val="211"/>
        </w:trPr>
        <w:tc>
          <w:tcPr>
            <w:tcW w:w="4940" w:type="dxa"/>
            <w:vAlign w:val="bottom"/>
            <w:tcBorders>
              <w:top w:val="single" w:sz="8" w:color="CCEEFF"/>
            </w:tcBorders>
            <w:shd w:val="clear" w:color="auto" w:fill="CCEEFF"/>
          </w:tcPr>
          <w:p>
            <w:pPr>
              <w:jc w:val="right"/>
              <w:ind w:right="3896"/>
              <w:spacing w:after="0"/>
              <w:rPr>
                <w:sz w:val="20"/>
                <w:szCs w:val="20"/>
                <w:color w:val="auto"/>
              </w:rPr>
            </w:pPr>
            <w:r>
              <w:rPr>
                <w:rFonts w:ascii="Arial" w:cs="Arial" w:eastAsia="Arial" w:hAnsi="Arial"/>
                <w:sz w:val="18"/>
                <w:szCs w:val="18"/>
                <w:b w:val="1"/>
                <w:bCs w:val="1"/>
                <w:color w:val="auto"/>
                <w:w w:val="95"/>
              </w:rPr>
              <w:t>Distributor:</w:t>
            </w:r>
          </w:p>
        </w:tc>
        <w:tc>
          <w:tcPr>
            <w:tcW w:w="102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50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520" w:type="dxa"/>
            <w:vAlign w:val="bottom"/>
            <w:tcBorders>
              <w:top w:val="single" w:sz="8" w:color="auto"/>
            </w:tcBorders>
            <w:shd w:val="clear" w:color="auto" w:fill="CCEEFF"/>
          </w:tcPr>
          <w:p>
            <w:pPr>
              <w:spacing w:after="0"/>
              <w:rPr>
                <w:sz w:val="18"/>
                <w:szCs w:val="18"/>
                <w:color w:val="auto"/>
              </w:rPr>
            </w:pPr>
          </w:p>
        </w:tc>
      </w:tr>
      <w:tr>
        <w:trPr>
          <w:trHeight w:val="230"/>
        </w:trPr>
        <w:tc>
          <w:tcPr>
            <w:tcW w:w="5960" w:type="dxa"/>
            <w:vAlign w:val="bottom"/>
            <w:gridSpan w:val="2"/>
          </w:tcPr>
          <w:p>
            <w:pPr>
              <w:jc w:val="right"/>
              <w:ind w:right="4928"/>
              <w:spacing w:after="0"/>
              <w:rPr>
                <w:sz w:val="20"/>
                <w:szCs w:val="20"/>
                <w:color w:val="auto"/>
              </w:rPr>
            </w:pPr>
            <w:r>
              <w:rPr>
                <w:rFonts w:ascii="Arial" w:cs="Arial" w:eastAsia="Arial" w:hAnsi="Arial"/>
                <w:sz w:val="18"/>
                <w:szCs w:val="18"/>
                <w:color w:val="auto"/>
              </w:rPr>
              <w:t>Wintech</w:t>
            </w:r>
          </w:p>
        </w:tc>
        <w:tc>
          <w:tcPr>
            <w:tcW w:w="460" w:type="dxa"/>
            <w:vAlign w:val="bottom"/>
          </w:tcPr>
          <w:p>
            <w:pPr>
              <w:jc w:val="right"/>
              <w:spacing w:after="0"/>
              <w:rPr>
                <w:sz w:val="20"/>
                <w:szCs w:val="20"/>
                <w:color w:val="auto"/>
              </w:rPr>
            </w:pPr>
            <w:r>
              <w:rPr>
                <w:rFonts w:ascii="Arial" w:cs="Arial" w:eastAsia="Arial" w:hAnsi="Arial"/>
                <w:sz w:val="18"/>
                <w:szCs w:val="18"/>
                <w:color w:val="auto"/>
              </w:rPr>
              <w:t>15 %</w:t>
            </w:r>
          </w:p>
        </w:tc>
        <w:tc>
          <w:tcPr>
            <w:tcW w:w="1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7"/>
              </w:rPr>
              <w:t>13 %</w:t>
            </w:r>
          </w:p>
        </w:tc>
        <w:tc>
          <w:tcPr>
            <w:tcW w:w="100" w:type="dxa"/>
            <w:vAlign w:val="bottom"/>
          </w:tcPr>
          <w:p>
            <w:pPr>
              <w:spacing w:after="0"/>
              <w:rPr>
                <w:sz w:val="20"/>
                <w:szCs w:val="20"/>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17 %</w:t>
            </w:r>
          </w:p>
        </w:tc>
        <w:tc>
          <w:tcPr>
            <w:tcW w:w="8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r>
    </w:tbl>
    <w:p>
      <w:pPr>
        <w:spacing w:after="0" w:line="322" w:lineRule="exact"/>
        <w:rPr>
          <w:sz w:val="20"/>
          <w:szCs w:val="20"/>
          <w:color w:val="auto"/>
        </w:rPr>
      </w:pPr>
    </w:p>
    <w:p>
      <w:pPr>
        <w:ind w:right="320" w:firstLine="405"/>
        <w:spacing w:after="0" w:line="277" w:lineRule="auto"/>
        <w:rPr>
          <w:sz w:val="20"/>
          <w:szCs w:val="20"/>
          <w:color w:val="auto"/>
        </w:rPr>
      </w:pPr>
      <w:r>
        <w:rPr>
          <w:rFonts w:ascii="Arial" w:cs="Arial" w:eastAsia="Arial" w:hAnsi="Arial"/>
          <w:sz w:val="18"/>
          <w:szCs w:val="18"/>
          <w:color w:val="auto"/>
        </w:rPr>
        <w:t>We continuously monitor the creditworthiness of our distributors and believe their sales to diverse end customers and geographies further serve to mitigate our exposure to credit risk.</w:t>
      </w:r>
    </w:p>
    <w:p>
      <w:pPr>
        <w:spacing w:after="0" w:line="19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80% of our net revenue in the three and six months ended July 31, 2021, and approximately 79% of net revenue in the three and six months ended August 1, 2020,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 our customers, are</w:t>
      </w:r>
      <w:r>
        <w:rPr>
          <w:rFonts w:ascii="Arial" w:cs="Arial" w:eastAsia="Arial" w:hAnsi="Arial"/>
          <w:sz w:val="17"/>
          <w:szCs w:val="17"/>
          <w:color w:val="auto"/>
        </w:rPr>
        <w:t xml:space="preserve"> </w:t>
      </w:r>
      <w:r>
        <w:rPr>
          <w:rFonts w:ascii="Arial" w:cs="Arial" w:eastAsia="Arial" w:hAnsi="Arial"/>
          <w:sz w:val="17"/>
          <w:szCs w:val="17"/>
          <w:i w:val="1"/>
          <w:iCs w:val="1"/>
          <w:color w:val="auto"/>
        </w:rPr>
        <w:t>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0" w:firstLine="405"/>
        <w:spacing w:after="0" w:line="235" w:lineRule="auto"/>
        <w:rPr>
          <w:sz w:val="20"/>
          <w:szCs w:val="20"/>
          <w:color w:val="auto"/>
        </w:rPr>
      </w:pPr>
      <w:r>
        <w:rPr>
          <w:rFonts w:ascii="Arial" w:cs="Arial" w:eastAsia="Arial" w:hAnsi="Arial"/>
          <w:sz w:val="18"/>
          <w:szCs w:val="18"/>
          <w:color w:val="auto"/>
        </w:rPr>
        <w:t>There have been no material changes during the three months ended July 31, 2021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30, 2021.</w:t>
      </w:r>
    </w:p>
    <w:p>
      <w:pPr>
        <w:spacing w:after="0" w:line="215"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60" w:type="dxa"/>
            <w:vAlign w:val="bottom"/>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2020" w:type="dxa"/>
            <w:vAlign w:val="bottom"/>
            <w:tcBorders>
              <w:bottom w:val="single" w:sz="8" w:color="auto"/>
            </w:tcBorders>
            <w:gridSpan w:val="3"/>
          </w:tcPr>
          <w:p>
            <w:pPr>
              <w:jc w:val="right"/>
              <w:ind w:right="592"/>
              <w:spacing w:after="0"/>
              <w:rPr>
                <w:sz w:val="20"/>
                <w:szCs w:val="20"/>
                <w:color w:val="auto"/>
              </w:rPr>
            </w:pPr>
            <w:r>
              <w:rPr>
                <w:rFonts w:ascii="Arial" w:cs="Arial" w:eastAsia="Arial" w:hAnsi="Arial"/>
                <w:sz w:val="14"/>
                <w:szCs w:val="14"/>
                <w:b w:val="1"/>
                <w:bCs w:val="1"/>
                <w:color w:val="auto"/>
                <w:w w:val="95"/>
              </w:rPr>
              <w:t>Three Months Ended</w:t>
            </w:r>
          </w:p>
        </w:tc>
        <w:tc>
          <w:tcPr>
            <w:tcW w:w="2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3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gridSpan w:val="3"/>
          </w:tcPr>
          <w:p>
            <w:pPr>
              <w:ind w:left="80"/>
              <w:spacing w:after="0"/>
              <w:rPr>
                <w:sz w:val="20"/>
                <w:szCs w:val="20"/>
                <w:color w:val="auto"/>
              </w:rPr>
            </w:pPr>
            <w:r>
              <w:rPr>
                <w:rFonts w:ascii="Arial" w:cs="Arial" w:eastAsia="Arial" w:hAnsi="Arial"/>
                <w:sz w:val="14"/>
                <w:szCs w:val="14"/>
                <w:b w:val="1"/>
                <w:bCs w:val="1"/>
                <w:color w:val="auto"/>
                <w:w w:val="92"/>
              </w:rPr>
              <w:t>Six Months Ended</w:t>
            </w:r>
          </w:p>
        </w:tc>
        <w:tc>
          <w:tcPr>
            <w:tcW w:w="76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r>
      <w:tr>
        <w:trPr>
          <w:trHeight w:val="135"/>
        </w:trPr>
        <w:tc>
          <w:tcPr>
            <w:tcW w:w="3860" w:type="dxa"/>
            <w:vAlign w:val="bottom"/>
          </w:tcPr>
          <w:p>
            <w:pPr>
              <w:spacing w:after="0"/>
              <w:rPr>
                <w:sz w:val="11"/>
                <w:szCs w:val="11"/>
                <w:color w:val="auto"/>
              </w:rPr>
            </w:pPr>
          </w:p>
        </w:tc>
        <w:tc>
          <w:tcPr>
            <w:tcW w:w="134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July 31,</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80" w:type="dxa"/>
            <w:vAlign w:val="bottom"/>
          </w:tcPr>
          <w:p>
            <w:pPr>
              <w:jc w:val="right"/>
              <w:ind w:right="12"/>
              <w:spacing w:after="0" w:line="135" w:lineRule="exact"/>
              <w:rPr>
                <w:sz w:val="20"/>
                <w:szCs w:val="20"/>
                <w:color w:val="auto"/>
              </w:rPr>
            </w:pPr>
            <w:r>
              <w:rPr>
                <w:rFonts w:ascii="Arial" w:cs="Arial" w:eastAsia="Arial" w:hAnsi="Arial"/>
                <w:sz w:val="14"/>
                <w:szCs w:val="14"/>
                <w:b w:val="1"/>
                <w:bCs w:val="1"/>
                <w:color w:val="auto"/>
              </w:rPr>
              <w:t>August 1,</w:t>
            </w: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8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July 31,</w:t>
            </w: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jc w:val="right"/>
              <w:ind w:right="32"/>
              <w:spacing w:after="0" w:line="135" w:lineRule="exact"/>
              <w:rPr>
                <w:sz w:val="20"/>
                <w:szCs w:val="20"/>
                <w:color w:val="auto"/>
              </w:rPr>
            </w:pPr>
            <w:r>
              <w:rPr>
                <w:rFonts w:ascii="Arial" w:cs="Arial" w:eastAsia="Arial" w:hAnsi="Arial"/>
                <w:sz w:val="14"/>
                <w:szCs w:val="14"/>
                <w:b w:val="1"/>
                <w:bCs w:val="1"/>
                <w:color w:val="auto"/>
                <w:w w:val="97"/>
              </w:rPr>
              <w:t>August 1,</w:t>
            </w:r>
          </w:p>
        </w:tc>
        <w:tc>
          <w:tcPr>
            <w:tcW w:w="280" w:type="dxa"/>
            <w:vAlign w:val="bottom"/>
          </w:tcPr>
          <w:p>
            <w:pPr>
              <w:spacing w:after="0"/>
              <w:rPr>
                <w:sz w:val="11"/>
                <w:szCs w:val="11"/>
                <w:color w:val="auto"/>
              </w:rPr>
            </w:pPr>
          </w:p>
        </w:tc>
      </w:tr>
      <w:tr>
        <w:trPr>
          <w:trHeight w:val="188"/>
        </w:trPr>
        <w:tc>
          <w:tcPr>
            <w:tcW w:w="3860" w:type="dxa"/>
            <w:vAlign w:val="bottom"/>
            <w:tcBorders>
              <w:bottom w:val="single" w:sz="8" w:color="CCEEFF"/>
            </w:tcBorders>
          </w:tcPr>
          <w:p>
            <w:pPr>
              <w:spacing w:after="0"/>
              <w:rPr>
                <w:sz w:val="16"/>
                <w:szCs w:val="16"/>
                <w:color w:val="auto"/>
              </w:rPr>
            </w:pPr>
          </w:p>
        </w:tc>
        <w:tc>
          <w:tcPr>
            <w:tcW w:w="1340" w:type="dxa"/>
            <w:vAlign w:val="bottom"/>
            <w:tcBorders>
              <w:bottom w:val="single" w:sz="8" w:color="auto"/>
            </w:tcBorders>
          </w:tcPr>
          <w:p>
            <w:pPr>
              <w:jc w:val="right"/>
              <w:ind w:right="232"/>
              <w:spacing w:after="0"/>
              <w:rPr>
                <w:sz w:val="20"/>
                <w:szCs w:val="20"/>
                <w:color w:val="auto"/>
              </w:rPr>
            </w:pPr>
            <w:r>
              <w:rPr>
                <w:rFonts w:ascii="Arial" w:cs="Arial" w:eastAsia="Arial" w:hAnsi="Arial"/>
                <w:sz w:val="14"/>
                <w:szCs w:val="14"/>
                <w:b w:val="1"/>
                <w:bCs w:val="1"/>
                <w:color w:val="auto"/>
              </w:rPr>
              <w:t>2021</w:t>
            </w:r>
          </w:p>
        </w:tc>
        <w:tc>
          <w:tcPr>
            <w:tcW w:w="42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2020</w:t>
            </w:r>
          </w:p>
        </w:tc>
        <w:tc>
          <w:tcPr>
            <w:tcW w:w="2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380" w:type="dxa"/>
            <w:vAlign w:val="bottom"/>
            <w:tcBorders>
              <w:bottom w:val="single" w:sz="8" w:color="auto"/>
            </w:tcBorders>
          </w:tcPr>
          <w:p>
            <w:pPr>
              <w:jc w:val="right"/>
              <w:ind w:right="272"/>
              <w:spacing w:after="0"/>
              <w:rPr>
                <w:sz w:val="20"/>
                <w:szCs w:val="20"/>
                <w:color w:val="auto"/>
              </w:rPr>
            </w:pPr>
            <w:r>
              <w:rPr>
                <w:rFonts w:ascii="Arial" w:cs="Arial" w:eastAsia="Arial" w:hAnsi="Arial"/>
                <w:sz w:val="14"/>
                <w:szCs w:val="14"/>
                <w:b w:val="1"/>
                <w:bCs w:val="1"/>
                <w:color w:val="auto"/>
              </w:rPr>
              <w:t>2021</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w w:val="89"/>
              </w:rPr>
              <w:t>2020</w:t>
            </w:r>
          </w:p>
        </w:tc>
        <w:tc>
          <w:tcPr>
            <w:tcW w:w="280" w:type="dxa"/>
            <w:vAlign w:val="bottom"/>
            <w:tcBorders>
              <w:bottom w:val="single" w:sz="8" w:color="auto"/>
            </w:tcBorders>
          </w:tcPr>
          <w:p>
            <w:pPr>
              <w:spacing w:after="0"/>
              <w:rPr>
                <w:sz w:val="16"/>
                <w:szCs w:val="16"/>
                <w:color w:val="auto"/>
              </w:rPr>
            </w:pPr>
          </w:p>
        </w:tc>
      </w:tr>
      <w:tr>
        <w:trPr>
          <w:trHeight w:val="224"/>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revenue</w:t>
            </w:r>
          </w:p>
        </w:tc>
        <w:tc>
          <w:tcPr>
            <w:tcW w:w="134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100.0</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100.0</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52"/>
              <w:spacing w:after="0"/>
              <w:rPr>
                <w:sz w:val="20"/>
                <w:szCs w:val="20"/>
                <w:color w:val="auto"/>
              </w:rPr>
            </w:pPr>
            <w:r>
              <w:rPr>
                <w:rFonts w:ascii="Arial" w:cs="Arial" w:eastAsia="Arial" w:hAnsi="Arial"/>
                <w:sz w:val="18"/>
                <w:szCs w:val="18"/>
                <w:color w:val="auto"/>
              </w:rPr>
              <w:t>100.0</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w w:val="88"/>
              </w:rPr>
              <w:t>100.0</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Cost of goods sold</w:t>
            </w:r>
          </w:p>
        </w:tc>
        <w:tc>
          <w:tcPr>
            <w:tcW w:w="1340" w:type="dxa"/>
            <w:vAlign w:val="bottom"/>
            <w:tcBorders>
              <w:bottom w:val="single" w:sz="8" w:color="auto"/>
            </w:tcBorders>
          </w:tcPr>
          <w:p>
            <w:pPr>
              <w:jc w:val="right"/>
              <w:ind w:right="112"/>
              <w:spacing w:after="0"/>
              <w:rPr>
                <w:sz w:val="20"/>
                <w:szCs w:val="20"/>
                <w:color w:val="auto"/>
              </w:rPr>
            </w:pPr>
            <w:r>
              <w:rPr>
                <w:rFonts w:ascii="Arial" w:cs="Arial" w:eastAsia="Arial" w:hAnsi="Arial"/>
                <w:sz w:val="18"/>
                <w:szCs w:val="18"/>
                <w:color w:val="auto"/>
              </w:rPr>
              <w:t>65.4</w:t>
            </w:r>
          </w:p>
        </w:tc>
        <w:tc>
          <w:tcPr>
            <w:tcW w:w="42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48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50.6</w:t>
            </w:r>
          </w:p>
        </w:tc>
        <w:tc>
          <w:tcPr>
            <w:tcW w:w="2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ind w:right="152"/>
              <w:spacing w:after="0"/>
              <w:rPr>
                <w:sz w:val="20"/>
                <w:szCs w:val="20"/>
                <w:color w:val="auto"/>
              </w:rPr>
            </w:pPr>
            <w:r>
              <w:rPr>
                <w:rFonts w:ascii="Arial" w:cs="Arial" w:eastAsia="Arial" w:hAnsi="Arial"/>
                <w:sz w:val="18"/>
                <w:szCs w:val="18"/>
                <w:color w:val="auto"/>
              </w:rPr>
              <w:t>58.6</w:t>
            </w:r>
          </w:p>
        </w:tc>
        <w:tc>
          <w:tcPr>
            <w:tcW w:w="3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74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51.7</w:t>
            </w:r>
          </w:p>
        </w:tc>
        <w:tc>
          <w:tcPr>
            <w:tcW w:w="28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Gross profit</w:t>
            </w:r>
          </w:p>
        </w:tc>
        <w:tc>
          <w:tcPr>
            <w:tcW w:w="134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34.6</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49.4</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52"/>
              <w:spacing w:after="0"/>
              <w:rPr>
                <w:sz w:val="20"/>
                <w:szCs w:val="20"/>
                <w:color w:val="auto"/>
              </w:rPr>
            </w:pPr>
            <w:r>
              <w:rPr>
                <w:rFonts w:ascii="Arial" w:cs="Arial" w:eastAsia="Arial" w:hAnsi="Arial"/>
                <w:sz w:val="18"/>
                <w:szCs w:val="18"/>
                <w:color w:val="auto"/>
              </w:rPr>
              <w:t>41.4</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48.3</w:t>
            </w:r>
          </w:p>
        </w:tc>
        <w:tc>
          <w:tcPr>
            <w:tcW w:w="280" w:type="dxa"/>
            <w:vAlign w:val="bottom"/>
            <w:shd w:val="clear" w:color="auto" w:fill="CCEEFF"/>
          </w:tcPr>
          <w:p>
            <w:pPr>
              <w:spacing w:after="0"/>
              <w:rPr>
                <w:sz w:val="19"/>
                <w:szCs w:val="19"/>
                <w:color w:val="auto"/>
              </w:rPr>
            </w:pPr>
          </w:p>
        </w:tc>
      </w:tr>
      <w:tr>
        <w:trPr>
          <w:trHeight w:val="229"/>
        </w:trPr>
        <w:tc>
          <w:tcPr>
            <w:tcW w:w="3860" w:type="dxa"/>
            <w:vAlign w:val="bottom"/>
          </w:tcPr>
          <w:p>
            <w:pPr>
              <w:ind w:left="440"/>
              <w:spacing w:after="0"/>
              <w:rPr>
                <w:sz w:val="20"/>
                <w:szCs w:val="20"/>
                <w:color w:val="auto"/>
              </w:rPr>
            </w:pPr>
            <w:r>
              <w:rPr>
                <w:rFonts w:ascii="Arial" w:cs="Arial" w:eastAsia="Arial" w:hAnsi="Arial"/>
                <w:sz w:val="18"/>
                <w:szCs w:val="18"/>
                <w:color w:val="auto"/>
              </w:rPr>
              <w:t>Operating expenses:</w:t>
            </w:r>
          </w:p>
        </w:tc>
        <w:tc>
          <w:tcPr>
            <w:tcW w:w="13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80" w:type="dxa"/>
            <w:vAlign w:val="bottom"/>
          </w:tcPr>
          <w:p>
            <w:pPr>
              <w:spacing w:after="0"/>
              <w:rPr>
                <w:sz w:val="19"/>
                <w:szCs w:val="19"/>
                <w:color w:val="auto"/>
              </w:rPr>
            </w:pPr>
          </w:p>
        </w:tc>
      </w:tr>
      <w:tr>
        <w:trPr>
          <w:trHeight w:val="230"/>
        </w:trPr>
        <w:tc>
          <w:tcPr>
            <w:tcW w:w="3860" w:type="dxa"/>
            <w:vAlign w:val="bottom"/>
            <w:shd w:val="clear" w:color="auto" w:fill="CCEEFF"/>
          </w:tcPr>
          <w:p>
            <w:pPr>
              <w:ind w:left="760"/>
              <w:spacing w:after="0"/>
              <w:rPr>
                <w:sz w:val="20"/>
                <w:szCs w:val="20"/>
                <w:color w:val="auto"/>
              </w:rPr>
            </w:pPr>
            <w:r>
              <w:rPr>
                <w:rFonts w:ascii="Arial" w:cs="Arial" w:eastAsia="Arial" w:hAnsi="Arial"/>
                <w:sz w:val="18"/>
                <w:szCs w:val="18"/>
                <w:color w:val="auto"/>
              </w:rPr>
              <w:t>Research and development</w:t>
            </w:r>
          </w:p>
        </w:tc>
        <w:tc>
          <w:tcPr>
            <w:tcW w:w="134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34.1</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38.1</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52"/>
              <w:spacing w:after="0"/>
              <w:rPr>
                <w:sz w:val="20"/>
                <w:szCs w:val="20"/>
                <w:color w:val="auto"/>
              </w:rPr>
            </w:pPr>
            <w:r>
              <w:rPr>
                <w:rFonts w:ascii="Arial" w:cs="Arial" w:eastAsia="Arial" w:hAnsi="Arial"/>
                <w:sz w:val="18"/>
                <w:szCs w:val="18"/>
                <w:color w:val="auto"/>
              </w:rPr>
              <w:t>34.2</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39.2</w:t>
            </w:r>
          </w:p>
        </w:tc>
        <w:tc>
          <w:tcPr>
            <w:tcW w:w="280" w:type="dxa"/>
            <w:vAlign w:val="bottom"/>
            <w:shd w:val="clear" w:color="auto" w:fill="CCEEFF"/>
          </w:tcPr>
          <w:p>
            <w:pPr>
              <w:spacing w:after="0"/>
              <w:rPr>
                <w:sz w:val="19"/>
                <w:szCs w:val="19"/>
                <w:color w:val="auto"/>
              </w:rPr>
            </w:pPr>
          </w:p>
        </w:tc>
      </w:tr>
      <w:tr>
        <w:trPr>
          <w:trHeight w:val="229"/>
        </w:trPr>
        <w:tc>
          <w:tcPr>
            <w:tcW w:w="3860" w:type="dxa"/>
            <w:vAlign w:val="bottom"/>
          </w:tcPr>
          <w:p>
            <w:pPr>
              <w:ind w:left="760"/>
              <w:spacing w:after="0"/>
              <w:rPr>
                <w:sz w:val="20"/>
                <w:szCs w:val="20"/>
                <w:color w:val="auto"/>
              </w:rPr>
            </w:pPr>
            <w:r>
              <w:rPr>
                <w:rFonts w:ascii="Arial" w:cs="Arial" w:eastAsia="Arial" w:hAnsi="Arial"/>
                <w:sz w:val="18"/>
                <w:szCs w:val="18"/>
                <w:color w:val="auto"/>
              </w:rPr>
              <w:t>Selling, general and administrative</w:t>
            </w:r>
          </w:p>
        </w:tc>
        <w:tc>
          <w:tcPr>
            <w:tcW w:w="1340" w:type="dxa"/>
            <w:vAlign w:val="bottom"/>
          </w:tcPr>
          <w:p>
            <w:pPr>
              <w:jc w:val="right"/>
              <w:ind w:right="112"/>
              <w:spacing w:after="0"/>
              <w:rPr>
                <w:sz w:val="20"/>
                <w:szCs w:val="20"/>
                <w:color w:val="auto"/>
              </w:rPr>
            </w:pPr>
            <w:r>
              <w:rPr>
                <w:rFonts w:ascii="Arial" w:cs="Arial" w:eastAsia="Arial" w:hAnsi="Arial"/>
                <w:sz w:val="18"/>
                <w:szCs w:val="18"/>
                <w:color w:val="auto"/>
              </w:rPr>
              <w:t>24.1</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15.5</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tcPr>
          <w:p>
            <w:pPr>
              <w:jc w:val="right"/>
              <w:ind w:right="152"/>
              <w:spacing w:after="0"/>
              <w:rPr>
                <w:sz w:val="20"/>
                <w:szCs w:val="20"/>
                <w:color w:val="auto"/>
              </w:rPr>
            </w:pPr>
            <w:r>
              <w:rPr>
                <w:rFonts w:ascii="Arial" w:cs="Arial" w:eastAsia="Arial" w:hAnsi="Arial"/>
                <w:sz w:val="18"/>
                <w:szCs w:val="18"/>
                <w:color w:val="auto"/>
              </w:rPr>
              <w:t>24.1</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60" w:type="dxa"/>
            <w:vAlign w:val="bottom"/>
          </w:tcPr>
          <w:p>
            <w:pPr>
              <w:jc w:val="right"/>
              <w:ind w:right="252"/>
              <w:spacing w:after="0"/>
              <w:rPr>
                <w:sz w:val="20"/>
                <w:szCs w:val="20"/>
                <w:color w:val="auto"/>
              </w:rPr>
            </w:pPr>
            <w:r>
              <w:rPr>
                <w:rFonts w:ascii="Arial" w:cs="Arial" w:eastAsia="Arial" w:hAnsi="Arial"/>
                <w:sz w:val="18"/>
                <w:szCs w:val="18"/>
                <w:color w:val="auto"/>
              </w:rPr>
              <w:t>16.5</w:t>
            </w:r>
          </w:p>
        </w:tc>
        <w:tc>
          <w:tcPr>
            <w:tcW w:w="280" w:type="dxa"/>
            <w:vAlign w:val="bottom"/>
          </w:tcPr>
          <w:p>
            <w:pPr>
              <w:spacing w:after="0"/>
              <w:rPr>
                <w:sz w:val="19"/>
                <w:szCs w:val="19"/>
                <w:color w:val="auto"/>
              </w:rPr>
            </w:pPr>
          </w:p>
        </w:tc>
      </w:tr>
      <w:tr>
        <w:trPr>
          <w:trHeight w:val="229"/>
        </w:trPr>
        <w:tc>
          <w:tcPr>
            <w:tcW w:w="3860" w:type="dxa"/>
            <w:vAlign w:val="bottom"/>
            <w:shd w:val="clear" w:color="auto" w:fill="CCEEFF"/>
          </w:tcPr>
          <w:p>
            <w:pPr>
              <w:ind w:left="760"/>
              <w:spacing w:after="0"/>
              <w:rPr>
                <w:sz w:val="20"/>
                <w:szCs w:val="20"/>
                <w:color w:val="auto"/>
              </w:rPr>
            </w:pPr>
            <w:r>
              <w:rPr>
                <w:rFonts w:ascii="Arial" w:cs="Arial" w:eastAsia="Arial" w:hAnsi="Arial"/>
                <w:sz w:val="18"/>
                <w:szCs w:val="18"/>
                <w:color w:val="auto"/>
              </w:rPr>
              <w:t>Restructuring related charges</w:t>
            </w:r>
          </w:p>
        </w:tc>
        <w:tc>
          <w:tcPr>
            <w:tcW w:w="1340" w:type="dxa"/>
            <w:vAlign w:val="bottom"/>
            <w:tcBorders>
              <w:bottom w:val="single" w:sz="8" w:color="auto"/>
            </w:tcBorders>
            <w:shd w:val="clear" w:color="auto" w:fill="CCEEFF"/>
          </w:tcPr>
          <w:p>
            <w:pPr>
              <w:jc w:val="right"/>
              <w:ind w:right="112"/>
              <w:spacing w:after="0"/>
              <w:rPr>
                <w:sz w:val="20"/>
                <w:szCs w:val="20"/>
                <w:color w:val="auto"/>
              </w:rPr>
            </w:pPr>
            <w:r>
              <w:rPr>
                <w:rFonts w:ascii="Arial" w:cs="Arial" w:eastAsia="Arial" w:hAnsi="Arial"/>
                <w:sz w:val="18"/>
                <w:szCs w:val="18"/>
                <w:color w:val="auto"/>
              </w:rPr>
              <w:t>1.1</w:t>
            </w:r>
          </w:p>
        </w:tc>
        <w:tc>
          <w:tcPr>
            <w:tcW w:w="420" w:type="dxa"/>
            <w:vAlign w:val="bottom"/>
            <w:tcBorders>
              <w:bottom w:val="single" w:sz="8" w:color="auto"/>
            </w:tcBorders>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tcBorders>
              <w:bottom w:val="single" w:sz="8" w:color="auto"/>
            </w:tcBorders>
            <w:shd w:val="clear" w:color="auto" w:fill="CCEEFF"/>
          </w:tcPr>
          <w:p>
            <w:pPr>
              <w:jc w:val="right"/>
              <w:ind w:right="252"/>
              <w:spacing w:after="0"/>
              <w:rPr>
                <w:sz w:val="20"/>
                <w:szCs w:val="20"/>
                <w:color w:val="auto"/>
              </w:rPr>
            </w:pPr>
            <w:r>
              <w:rPr>
                <w:rFonts w:ascii="Arial" w:cs="Arial" w:eastAsia="Arial" w:hAnsi="Arial"/>
                <w:sz w:val="18"/>
                <w:szCs w:val="18"/>
                <w:color w:val="auto"/>
              </w:rPr>
              <w:t>16.6</w:t>
            </w:r>
          </w:p>
        </w:tc>
        <w:tc>
          <w:tcPr>
            <w:tcW w:w="28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tcBorders>
              <w:bottom w:val="single" w:sz="8" w:color="auto"/>
            </w:tcBorders>
            <w:shd w:val="clear" w:color="auto" w:fill="CCEEFF"/>
          </w:tcPr>
          <w:p>
            <w:pPr>
              <w:jc w:val="right"/>
              <w:ind w:right="152"/>
              <w:spacing w:after="0"/>
              <w:rPr>
                <w:sz w:val="20"/>
                <w:szCs w:val="20"/>
                <w:color w:val="auto"/>
              </w:rPr>
            </w:pPr>
            <w:r>
              <w:rPr>
                <w:rFonts w:ascii="Arial" w:cs="Arial" w:eastAsia="Arial" w:hAnsi="Arial"/>
                <w:sz w:val="18"/>
                <w:szCs w:val="18"/>
                <w:color w:val="auto"/>
              </w:rPr>
              <w:t>1.3</w:t>
            </w:r>
          </w:p>
        </w:tc>
        <w:tc>
          <w:tcPr>
            <w:tcW w:w="38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tcBorders>
              <w:bottom w:val="single" w:sz="8" w:color="auto"/>
            </w:tcBorders>
            <w:shd w:val="clear" w:color="auto" w:fill="CCEEFF"/>
          </w:tcPr>
          <w:p>
            <w:pPr>
              <w:spacing w:after="0"/>
              <w:rPr>
                <w:sz w:val="19"/>
                <w:szCs w:val="19"/>
                <w:color w:val="auto"/>
              </w:rPr>
            </w:pPr>
          </w:p>
        </w:tc>
        <w:tc>
          <w:tcPr>
            <w:tcW w:w="760" w:type="dxa"/>
            <w:vAlign w:val="bottom"/>
            <w:tcBorders>
              <w:bottom w:val="single" w:sz="8" w:color="auto"/>
            </w:tcBorders>
            <w:shd w:val="clear" w:color="auto" w:fill="CCEEFF"/>
          </w:tcPr>
          <w:p>
            <w:pPr>
              <w:jc w:val="right"/>
              <w:ind w:right="252"/>
              <w:spacing w:after="0"/>
              <w:rPr>
                <w:sz w:val="20"/>
                <w:szCs w:val="20"/>
                <w:color w:val="auto"/>
              </w:rPr>
            </w:pPr>
            <w:r>
              <w:rPr>
                <w:rFonts w:ascii="Arial" w:cs="Arial" w:eastAsia="Arial" w:hAnsi="Arial"/>
                <w:sz w:val="18"/>
                <w:szCs w:val="18"/>
                <w:color w:val="auto"/>
              </w:rPr>
              <w:t>10.0</w:t>
            </w:r>
          </w:p>
        </w:tc>
        <w:tc>
          <w:tcPr>
            <w:tcW w:w="280" w:type="dxa"/>
            <w:vAlign w:val="bottom"/>
            <w:tcBorders>
              <w:bottom w:val="single" w:sz="8" w:color="auto"/>
            </w:tcBorders>
            <w:shd w:val="clear" w:color="auto" w:fill="CCEEFF"/>
          </w:tcPr>
          <w:p>
            <w:pPr>
              <w:spacing w:after="0"/>
              <w:rPr>
                <w:sz w:val="19"/>
                <w:szCs w:val="19"/>
                <w:color w:val="auto"/>
              </w:rPr>
            </w:pPr>
          </w:p>
        </w:tc>
      </w:tr>
      <w:tr>
        <w:trPr>
          <w:trHeight w:val="223"/>
        </w:trPr>
        <w:tc>
          <w:tcPr>
            <w:tcW w:w="386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Total operating expenses</w:t>
            </w:r>
          </w:p>
        </w:tc>
        <w:tc>
          <w:tcPr>
            <w:tcW w:w="1340" w:type="dxa"/>
            <w:vAlign w:val="bottom"/>
            <w:tcBorders>
              <w:bottom w:val="single" w:sz="8" w:color="auto"/>
            </w:tcBorders>
          </w:tcPr>
          <w:p>
            <w:pPr>
              <w:jc w:val="right"/>
              <w:ind w:right="112"/>
              <w:spacing w:after="0"/>
              <w:rPr>
                <w:sz w:val="20"/>
                <w:szCs w:val="20"/>
                <w:color w:val="auto"/>
              </w:rPr>
            </w:pPr>
            <w:r>
              <w:rPr>
                <w:rFonts w:ascii="Arial" w:cs="Arial" w:eastAsia="Arial" w:hAnsi="Arial"/>
                <w:sz w:val="18"/>
                <w:szCs w:val="18"/>
                <w:color w:val="auto"/>
              </w:rPr>
              <w:t>59.3</w:t>
            </w:r>
          </w:p>
        </w:tc>
        <w:tc>
          <w:tcPr>
            <w:tcW w:w="42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48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70.2</w:t>
            </w:r>
          </w:p>
        </w:tc>
        <w:tc>
          <w:tcPr>
            <w:tcW w:w="2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ind w:right="152"/>
              <w:spacing w:after="0"/>
              <w:rPr>
                <w:sz w:val="20"/>
                <w:szCs w:val="20"/>
                <w:color w:val="auto"/>
              </w:rPr>
            </w:pPr>
            <w:r>
              <w:rPr>
                <w:rFonts w:ascii="Arial" w:cs="Arial" w:eastAsia="Arial" w:hAnsi="Arial"/>
                <w:sz w:val="18"/>
                <w:szCs w:val="18"/>
                <w:color w:val="auto"/>
              </w:rPr>
              <w:t>59.6</w:t>
            </w:r>
          </w:p>
        </w:tc>
        <w:tc>
          <w:tcPr>
            <w:tcW w:w="3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74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65.7</w:t>
            </w:r>
          </w:p>
        </w:tc>
        <w:tc>
          <w:tcPr>
            <w:tcW w:w="28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Operating loss</w:t>
            </w:r>
          </w:p>
        </w:tc>
        <w:tc>
          <w:tcPr>
            <w:tcW w:w="13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(24.7)</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rPr>
              <w:t>(20.8)</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(18.2)</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w w:val="93"/>
              </w:rPr>
              <w:t>(17.4)</w:t>
            </w:r>
          </w:p>
        </w:tc>
        <w:tc>
          <w:tcPr>
            <w:tcW w:w="280" w:type="dxa"/>
            <w:vAlign w:val="bottom"/>
            <w:shd w:val="clear" w:color="auto" w:fill="CCEEFF"/>
          </w:tcPr>
          <w:p>
            <w:pPr>
              <w:spacing w:after="0"/>
              <w:rPr>
                <w:sz w:val="19"/>
                <w:szCs w:val="19"/>
                <w:color w:val="auto"/>
              </w:rPr>
            </w:pPr>
          </w:p>
        </w:tc>
      </w:tr>
      <w:tr>
        <w:trPr>
          <w:trHeight w:val="230"/>
        </w:trPr>
        <w:tc>
          <w:tcPr>
            <w:tcW w:w="3860" w:type="dxa"/>
            <w:vAlign w:val="bottom"/>
          </w:tcPr>
          <w:p>
            <w:pPr>
              <w:ind w:left="440"/>
              <w:spacing w:after="0"/>
              <w:rPr>
                <w:sz w:val="20"/>
                <w:szCs w:val="20"/>
                <w:color w:val="auto"/>
              </w:rPr>
            </w:pPr>
            <w:r>
              <w:rPr>
                <w:rFonts w:ascii="Arial" w:cs="Arial" w:eastAsia="Arial" w:hAnsi="Arial"/>
                <w:sz w:val="18"/>
                <w:szCs w:val="18"/>
                <w:color w:val="auto"/>
              </w:rPr>
              <w:t>Interest income</w:t>
            </w:r>
          </w:p>
        </w:tc>
        <w:tc>
          <w:tcPr>
            <w:tcW w:w="134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0.1</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tcPr>
          <w:p>
            <w:pPr>
              <w:jc w:val="right"/>
              <w:ind w:right="152"/>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60" w:type="dxa"/>
            <w:vAlign w:val="bottom"/>
          </w:tcPr>
          <w:p>
            <w:pPr>
              <w:jc w:val="right"/>
              <w:ind w:right="252"/>
              <w:spacing w:after="0"/>
              <w:rPr>
                <w:sz w:val="20"/>
                <w:szCs w:val="20"/>
                <w:color w:val="auto"/>
              </w:rPr>
            </w:pPr>
            <w:r>
              <w:rPr>
                <w:rFonts w:ascii="Arial" w:cs="Arial" w:eastAsia="Arial" w:hAnsi="Arial"/>
                <w:sz w:val="18"/>
                <w:szCs w:val="18"/>
                <w:color w:val="auto"/>
              </w:rPr>
              <w:t>0.1</w:t>
            </w:r>
          </w:p>
        </w:tc>
        <w:tc>
          <w:tcPr>
            <w:tcW w:w="280" w:type="dxa"/>
            <w:vAlign w:val="bottom"/>
          </w:tcPr>
          <w:p>
            <w:pPr>
              <w:spacing w:after="0"/>
              <w:rPr>
                <w:sz w:val="19"/>
                <w:szCs w:val="19"/>
                <w:color w:val="auto"/>
              </w:rPr>
            </w:pPr>
          </w:p>
        </w:tc>
      </w:tr>
      <w:tr>
        <w:trPr>
          <w:trHeight w:val="230"/>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Interest expense</w:t>
            </w:r>
          </w:p>
        </w:tc>
        <w:tc>
          <w:tcPr>
            <w:tcW w:w="13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(3.1)</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rPr>
              <w:t>(2.1)</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(3.6)</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rPr>
              <w:t>(2.3)</w:t>
            </w:r>
          </w:p>
        </w:tc>
        <w:tc>
          <w:tcPr>
            <w:tcW w:w="280" w:type="dxa"/>
            <w:vAlign w:val="bottom"/>
            <w:shd w:val="clear" w:color="auto" w:fill="CCEEFF"/>
          </w:tcPr>
          <w:p>
            <w:pPr>
              <w:spacing w:after="0"/>
              <w:rPr>
                <w:sz w:val="19"/>
                <w:szCs w:val="19"/>
                <w:color w:val="auto"/>
              </w:rPr>
            </w:pPr>
          </w:p>
        </w:tc>
      </w:tr>
      <w:tr>
        <w:trPr>
          <w:trHeight w:val="229"/>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Other income (loss), net</w:t>
            </w:r>
          </w:p>
        </w:tc>
        <w:tc>
          <w:tcPr>
            <w:tcW w:w="134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(0.2)</w:t>
            </w:r>
          </w:p>
        </w:tc>
        <w:tc>
          <w:tcPr>
            <w:tcW w:w="42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480" w:type="dxa"/>
            <w:vAlign w:val="bottom"/>
            <w:tcBorders>
              <w:bottom w:val="single" w:sz="8" w:color="auto"/>
            </w:tcBorders>
          </w:tcPr>
          <w:p>
            <w:pPr>
              <w:jc w:val="right"/>
              <w:ind w:right="212"/>
              <w:spacing w:after="0"/>
              <w:rPr>
                <w:sz w:val="20"/>
                <w:szCs w:val="20"/>
                <w:color w:val="auto"/>
              </w:rPr>
            </w:pPr>
            <w:r>
              <w:rPr>
                <w:rFonts w:ascii="Arial" w:cs="Arial" w:eastAsia="Arial" w:hAnsi="Arial"/>
                <w:sz w:val="18"/>
                <w:szCs w:val="18"/>
                <w:color w:val="auto"/>
              </w:rPr>
              <w:t>(0.1)</w:t>
            </w:r>
          </w:p>
        </w:tc>
        <w:tc>
          <w:tcPr>
            <w:tcW w:w="2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ind w:right="152"/>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74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0.2</w:t>
            </w:r>
          </w:p>
        </w:tc>
        <w:tc>
          <w:tcPr>
            <w:tcW w:w="28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Loss before income taxes</w:t>
            </w:r>
          </w:p>
        </w:tc>
        <w:tc>
          <w:tcPr>
            <w:tcW w:w="13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(28.0)</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rPr>
              <w:t>(22.9)</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8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(21.8)</w:t>
            </w: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760" w:type="dxa"/>
            <w:vAlign w:val="bottom"/>
            <w:shd w:val="clear" w:color="auto" w:fill="CCEEFF"/>
          </w:tcPr>
          <w:p>
            <w:pPr>
              <w:jc w:val="right"/>
              <w:ind w:right="212"/>
              <w:spacing w:after="0"/>
              <w:rPr>
                <w:sz w:val="20"/>
                <w:szCs w:val="20"/>
                <w:color w:val="auto"/>
              </w:rPr>
            </w:pPr>
            <w:r>
              <w:rPr>
                <w:rFonts w:ascii="Arial" w:cs="Arial" w:eastAsia="Arial" w:hAnsi="Arial"/>
                <w:sz w:val="18"/>
                <w:szCs w:val="18"/>
                <w:color w:val="auto"/>
                <w:w w:val="93"/>
              </w:rPr>
              <w:t>(19.4)</w:t>
            </w:r>
          </w:p>
        </w:tc>
        <w:tc>
          <w:tcPr>
            <w:tcW w:w="280" w:type="dxa"/>
            <w:vAlign w:val="bottom"/>
            <w:shd w:val="clear" w:color="auto" w:fill="CCEEFF"/>
          </w:tcPr>
          <w:p>
            <w:pPr>
              <w:spacing w:after="0"/>
              <w:rPr>
                <w:sz w:val="19"/>
                <w:szCs w:val="19"/>
                <w:color w:val="auto"/>
              </w:rPr>
            </w:pPr>
          </w:p>
        </w:tc>
      </w:tr>
      <w:tr>
        <w:trPr>
          <w:trHeight w:val="230"/>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Provision for income taxes</w:t>
            </w:r>
          </w:p>
        </w:tc>
        <w:tc>
          <w:tcPr>
            <w:tcW w:w="134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(2.4)</w:t>
            </w:r>
          </w:p>
        </w:tc>
        <w:tc>
          <w:tcPr>
            <w:tcW w:w="42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480" w:type="dxa"/>
            <w:vAlign w:val="bottom"/>
            <w:tcBorders>
              <w:bottom w:val="single" w:sz="8" w:color="auto"/>
            </w:tcBorders>
          </w:tcPr>
          <w:p>
            <w:pPr>
              <w:jc w:val="right"/>
              <w:ind w:right="212"/>
              <w:spacing w:after="0"/>
              <w:rPr>
                <w:sz w:val="20"/>
                <w:szCs w:val="20"/>
                <w:color w:val="auto"/>
              </w:rPr>
            </w:pPr>
            <w:r>
              <w:rPr>
                <w:rFonts w:ascii="Arial" w:cs="Arial" w:eastAsia="Arial" w:hAnsi="Arial"/>
                <w:sz w:val="18"/>
                <w:szCs w:val="18"/>
                <w:color w:val="auto"/>
              </w:rPr>
              <w:t>(1.2)</w:t>
            </w:r>
          </w:p>
        </w:tc>
        <w:tc>
          <w:tcPr>
            <w:tcW w:w="2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ind w:right="112"/>
              <w:spacing w:after="0"/>
              <w:rPr>
                <w:sz w:val="20"/>
                <w:szCs w:val="20"/>
                <w:color w:val="auto"/>
              </w:rPr>
            </w:pPr>
            <w:r>
              <w:rPr>
                <w:rFonts w:ascii="Arial" w:cs="Arial" w:eastAsia="Arial" w:hAnsi="Arial"/>
                <w:sz w:val="18"/>
                <w:szCs w:val="18"/>
                <w:color w:val="auto"/>
              </w:rPr>
              <w:t>(2.8)</w:t>
            </w:r>
          </w:p>
        </w:tc>
        <w:tc>
          <w:tcPr>
            <w:tcW w:w="38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74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ind w:right="212"/>
              <w:spacing w:after="0"/>
              <w:rPr>
                <w:sz w:val="20"/>
                <w:szCs w:val="20"/>
                <w:color w:val="auto"/>
              </w:rPr>
            </w:pPr>
            <w:r>
              <w:rPr>
                <w:rFonts w:ascii="Arial" w:cs="Arial" w:eastAsia="Arial" w:hAnsi="Arial"/>
                <w:sz w:val="18"/>
                <w:szCs w:val="18"/>
                <w:color w:val="auto"/>
              </w:rPr>
              <w:t>(0.3)</w:t>
            </w:r>
          </w:p>
        </w:tc>
        <w:tc>
          <w:tcPr>
            <w:tcW w:w="280" w:type="dxa"/>
            <w:vAlign w:val="bottom"/>
            <w:tcBorders>
              <w:bottom w:val="single" w:sz="8" w:color="auto"/>
            </w:tcBorders>
          </w:tcPr>
          <w:p>
            <w:pPr>
              <w:spacing w:after="0"/>
              <w:rPr>
                <w:sz w:val="19"/>
                <w:szCs w:val="19"/>
                <w:color w:val="auto"/>
              </w:rPr>
            </w:pPr>
          </w:p>
        </w:tc>
      </w:tr>
      <w:tr>
        <w:trPr>
          <w:trHeight w:val="248"/>
        </w:trPr>
        <w:tc>
          <w:tcPr>
            <w:tcW w:w="38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Net loss</w:t>
            </w:r>
          </w:p>
        </w:tc>
        <w:tc>
          <w:tcPr>
            <w:tcW w:w="134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(25.6)</w:t>
            </w:r>
          </w:p>
        </w:tc>
        <w:tc>
          <w:tcPr>
            <w:tcW w:w="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auto"/>
            </w:tcBorders>
            <w:shd w:val="clear" w:color="auto" w:fill="CCEEFF"/>
          </w:tcPr>
          <w:p>
            <w:pPr>
              <w:jc w:val="right"/>
              <w:ind w:right="212"/>
              <w:spacing w:after="0"/>
              <w:rPr>
                <w:sz w:val="20"/>
                <w:szCs w:val="20"/>
                <w:color w:val="auto"/>
              </w:rPr>
            </w:pPr>
            <w:r>
              <w:rPr>
                <w:rFonts w:ascii="Arial" w:cs="Arial" w:eastAsia="Arial" w:hAnsi="Arial"/>
                <w:sz w:val="18"/>
                <w:szCs w:val="18"/>
                <w:color w:val="auto"/>
              </w:rPr>
              <w:t>(21.7)</w:t>
            </w:r>
          </w:p>
        </w:tc>
        <w:tc>
          <w:tcPr>
            <w:tcW w:w="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auto"/>
            </w:tcBorders>
            <w:shd w:val="clear" w:color="auto" w:fill="CCEEFF"/>
          </w:tcPr>
          <w:p>
            <w:pPr>
              <w:jc w:val="right"/>
              <w:ind w:right="112"/>
              <w:spacing w:after="0"/>
              <w:rPr>
                <w:sz w:val="20"/>
                <w:szCs w:val="20"/>
                <w:color w:val="auto"/>
              </w:rPr>
            </w:pPr>
            <w:r>
              <w:rPr>
                <w:rFonts w:ascii="Arial" w:cs="Arial" w:eastAsia="Arial" w:hAnsi="Arial"/>
                <w:sz w:val="18"/>
                <w:szCs w:val="18"/>
                <w:color w:val="auto"/>
              </w:rPr>
              <w:t>(19.0)</w:t>
            </w:r>
          </w:p>
        </w:tc>
        <w:tc>
          <w:tcPr>
            <w:tcW w:w="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auto"/>
            </w:tcBorders>
            <w:shd w:val="clear" w:color="auto" w:fill="CCEEFF"/>
          </w:tcPr>
          <w:p>
            <w:pPr>
              <w:spacing w:after="0"/>
              <w:rPr>
                <w:sz w:val="21"/>
                <w:szCs w:val="21"/>
                <w:color w:val="auto"/>
              </w:rPr>
            </w:pPr>
          </w:p>
        </w:tc>
        <w:tc>
          <w:tcPr>
            <w:tcW w:w="760" w:type="dxa"/>
            <w:vAlign w:val="bottom"/>
            <w:tcBorders>
              <w:bottom w:val="single" w:sz="8" w:color="auto"/>
            </w:tcBorders>
            <w:shd w:val="clear" w:color="auto" w:fill="CCEEFF"/>
          </w:tcPr>
          <w:p>
            <w:pPr>
              <w:jc w:val="right"/>
              <w:ind w:right="212"/>
              <w:spacing w:after="0"/>
              <w:rPr>
                <w:sz w:val="20"/>
                <w:szCs w:val="20"/>
                <w:color w:val="auto"/>
              </w:rPr>
            </w:pPr>
            <w:r>
              <w:rPr>
                <w:rFonts w:ascii="Arial" w:cs="Arial" w:eastAsia="Arial" w:hAnsi="Arial"/>
                <w:sz w:val="18"/>
                <w:szCs w:val="18"/>
                <w:color w:val="auto"/>
                <w:w w:val="93"/>
              </w:rPr>
              <w:t>(19.1)</w:t>
            </w:r>
          </w:p>
        </w:tc>
        <w:tc>
          <w:tcPr>
            <w:tcW w:w="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0"/>
        </w:trPr>
        <w:tc>
          <w:tcPr>
            <w:tcW w:w="3860" w:type="dxa"/>
            <w:vAlign w:val="bottom"/>
            <w:tcBorders>
              <w:top w:val="single" w:sz="8" w:color="CCEEFF"/>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4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8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July 31, 2021 and August 1, 2020</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5"/>
          </w:tcPr>
          <w:p>
            <w:pPr>
              <w:ind w:left="500"/>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Six Months Ended</w:t>
            </w:r>
          </w:p>
        </w:tc>
        <w:tc>
          <w:tcPr>
            <w:tcW w:w="1400" w:type="dxa"/>
            <w:vAlign w:val="bottom"/>
            <w:tcBorders>
              <w:bottom w:val="single" w:sz="8" w:color="auto"/>
            </w:tcBorders>
          </w:tcPr>
          <w:p>
            <w:pPr>
              <w:spacing w:after="0"/>
              <w:rPr>
                <w:sz w:val="16"/>
                <w:szCs w:val="16"/>
                <w:color w:val="auto"/>
              </w:rPr>
            </w:pPr>
          </w:p>
        </w:tc>
      </w:tr>
      <w:tr>
        <w:trPr>
          <w:trHeight w:val="134"/>
        </w:trPr>
        <w:tc>
          <w:tcPr>
            <w:tcW w:w="2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2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July 31,</w:t>
            </w:r>
          </w:p>
        </w:tc>
        <w:tc>
          <w:tcPr>
            <w:tcW w:w="260" w:type="dxa"/>
            <w:vAlign w:val="bottom"/>
          </w:tcPr>
          <w:p>
            <w:pPr>
              <w:spacing w:after="0"/>
              <w:rPr>
                <w:sz w:val="11"/>
                <w:szCs w:val="11"/>
                <w:color w:val="auto"/>
              </w:rPr>
            </w:pPr>
          </w:p>
        </w:tc>
        <w:tc>
          <w:tcPr>
            <w:tcW w:w="12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August 1,</w:t>
            </w:r>
          </w:p>
        </w:tc>
        <w:tc>
          <w:tcPr>
            <w:tcW w:w="1400" w:type="dxa"/>
            <w:vAlign w:val="bottom"/>
          </w:tcPr>
          <w:p>
            <w:pPr>
              <w:jc w:val="right"/>
              <w:ind w:right="56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July 31,</w:t>
            </w:r>
          </w:p>
        </w:tc>
        <w:tc>
          <w:tcPr>
            <w:tcW w:w="260" w:type="dxa"/>
            <w:vAlign w:val="bottom"/>
          </w:tcPr>
          <w:p>
            <w:pPr>
              <w:spacing w:after="0"/>
              <w:rPr>
                <w:sz w:val="11"/>
                <w:szCs w:val="11"/>
                <w:color w:val="auto"/>
              </w:rPr>
            </w:pPr>
          </w:p>
        </w:tc>
        <w:tc>
          <w:tcPr>
            <w:tcW w:w="12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August 1,</w:t>
            </w:r>
          </w:p>
        </w:tc>
        <w:tc>
          <w:tcPr>
            <w:tcW w:w="140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3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35"/>
        </w:trPr>
        <w:tc>
          <w:tcPr>
            <w:tcW w:w="2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1,075,881</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727,297</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404"/>
              <w:spacing w:after="0"/>
              <w:rPr>
                <w:sz w:val="20"/>
                <w:szCs w:val="20"/>
                <w:color w:val="auto"/>
              </w:rPr>
            </w:pPr>
            <w:r>
              <w:rPr>
                <w:rFonts w:ascii="Arial" w:cs="Arial" w:eastAsia="Arial" w:hAnsi="Arial"/>
                <w:sz w:val="18"/>
                <w:szCs w:val="18"/>
                <w:color w:val="auto"/>
              </w:rPr>
              <w:t>47.9%</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1,908,160</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1,420,938</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382"/>
              <w:spacing w:after="0"/>
              <w:rPr>
                <w:sz w:val="20"/>
                <w:szCs w:val="20"/>
                <w:color w:val="auto"/>
              </w:rPr>
            </w:pPr>
            <w:r>
              <w:rPr>
                <w:rFonts w:ascii="Arial" w:cs="Arial" w:eastAsia="Arial" w:hAnsi="Arial"/>
                <w:sz w:val="18"/>
                <w:szCs w:val="18"/>
                <w:color w:val="auto"/>
              </w:rPr>
              <w:t>34.3%</w:t>
            </w:r>
          </w:p>
        </w:tc>
      </w:tr>
    </w:tbl>
    <w:p>
      <w:pPr>
        <w:spacing w:after="0" w:line="310" w:lineRule="exact"/>
        <w:rPr>
          <w:sz w:val="20"/>
          <w:szCs w:val="20"/>
          <w:color w:val="auto"/>
        </w:rPr>
      </w:pPr>
    </w:p>
    <w:p>
      <w:pPr>
        <w:ind w:right="20" w:firstLine="405"/>
        <w:spacing w:after="0" w:line="237" w:lineRule="auto"/>
        <w:rPr>
          <w:sz w:val="20"/>
          <w:szCs w:val="20"/>
          <w:color w:val="auto"/>
        </w:rPr>
      </w:pPr>
      <w:r>
        <w:rPr>
          <w:rFonts w:ascii="Arial" w:cs="Arial" w:eastAsia="Arial" w:hAnsi="Arial"/>
          <w:sz w:val="17"/>
          <w:szCs w:val="17"/>
          <w:color w:val="auto"/>
        </w:rPr>
        <w:t>Our net revenue for the three months ended July 31, 2021 increased by $348.6 million compared to net revenue for the three months ended August 1, 2020. This was due to an increase in sales from all our end markets. Revenue increased from the data center end market by 62%, from the carrier infrastructure end market by 38%, from the enterprise networking end market by 41%, from the consumer end market by 23%, and from the automotive/industrial end market by 125% compared to the three months ended August 1, 2020. The increase in revenue from the data center end market was primarily due to the acquisition of Inphi and increase in demand for our embedded processors and nearline HDD controllers and preamplifiers. The increase in revenue from the carrier infrastructure end market was primarily due to the acquisition of Inphi and increase in demand from 5G base stations for our embedded processors and ethernet products. The increase in revenue from the enterprise networking end market was primarily due to the increase in demand for our ethernet products. The increase in revenue from the consumer end market was primarily due to the increase in demand for our custom SSD controllers. The increase in revenue from the automotive/industrial end market was primarily due to the increase in demand for our automotive ethernet connectivity products.</w:t>
      </w:r>
    </w:p>
    <w:p>
      <w:pPr>
        <w:spacing w:after="0" w:line="203" w:lineRule="exact"/>
        <w:rPr>
          <w:sz w:val="20"/>
          <w:szCs w:val="20"/>
          <w:color w:val="auto"/>
        </w:rPr>
      </w:pPr>
    </w:p>
    <w:p>
      <w:pPr>
        <w:ind w:right="20" w:firstLine="405"/>
        <w:spacing w:after="0" w:line="237" w:lineRule="auto"/>
        <w:rPr>
          <w:sz w:val="20"/>
          <w:szCs w:val="20"/>
          <w:color w:val="auto"/>
        </w:rPr>
      </w:pPr>
      <w:r>
        <w:rPr>
          <w:rFonts w:ascii="Arial" w:cs="Arial" w:eastAsia="Arial" w:hAnsi="Arial"/>
          <w:sz w:val="17"/>
          <w:szCs w:val="17"/>
          <w:color w:val="auto"/>
        </w:rPr>
        <w:t>Our net revenue for the six months ended July 31, 2021 increased by $487.2 million compared to net revenue for the six months ended August 1, 2020. This was due to an increase in sales from all our end markets. Revenue increased from the data center end market by 34%, from the carrier infrastructure end market by 38%, from the enterprise networking end market by 26%, from the consumer end market by 30% , and from the automotive/industrial end market by 96% compared to the six months ended August 1, 2020. The increase in revenue from the data center end market was primarily due to the acquisition of Inphi and increase in demand for our embedded processors and nearline HDD controllers and preamplifiers. The increase in revenue from the carrier infrastructure end market was primarily due to the acquisition of Inphi and increase in demand from 5G base stations for our embedded processors and ethernet products. The increase in revenue from the enterprise networking end market was primarily due to the increase in demand for our ethernet products. The increase in revenue from the consumer end market was primarily due to the increase in demand for our custom SSD controllers. The increase in revenue from the automotive/industrial end market was primarily due to the increase in demand for our automotive ethernet connectivity products.</w:t>
      </w:r>
    </w:p>
    <w:p>
      <w:pPr>
        <w:spacing w:after="0" w:line="216" w:lineRule="exact"/>
        <w:rPr>
          <w:sz w:val="20"/>
          <w:szCs w:val="20"/>
          <w:color w:val="auto"/>
        </w:rPr>
      </w:pPr>
    </w:p>
    <w:p>
      <w:pPr>
        <w:jc w:val="both"/>
        <w:ind w:right="240" w:firstLine="405"/>
        <w:spacing w:after="0" w:line="243" w:lineRule="auto"/>
        <w:rPr>
          <w:sz w:val="20"/>
          <w:szCs w:val="20"/>
          <w:color w:val="auto"/>
        </w:rPr>
      </w:pPr>
      <w:r>
        <w:rPr>
          <w:rFonts w:ascii="Arial" w:cs="Arial" w:eastAsia="Arial" w:hAnsi="Arial"/>
          <w:sz w:val="18"/>
          <w:szCs w:val="18"/>
          <w:color w:val="auto"/>
        </w:rPr>
        <w:t>In the three months ended July 31, 2021, unit shipments were 30% higher and average selling prices increased 18% compared to the three months ended August 1, 2020, for an overall increase in net revenue of 48%. In the six months ended July 31, 2021 unit shipment were 18% higher and average selling prices increased 16% compared to the six months ended August 1, 2020. This was primarily driven by our recent portfolio changes, including the acquisition of Inphi.</w:t>
      </w:r>
    </w:p>
    <w:p>
      <w:pPr>
        <w:spacing w:after="0" w:line="200" w:lineRule="exact"/>
        <w:rPr>
          <w:sz w:val="20"/>
          <w:szCs w:val="20"/>
          <w:color w:val="auto"/>
        </w:rPr>
      </w:pPr>
    </w:p>
    <w:p>
      <w:pPr>
        <w:spacing w:after="0" w:line="25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Borders>
              <w:bottom w:val="single" w:sz="8" w:color="auto"/>
            </w:tcBorders>
          </w:tcPr>
          <w:p>
            <w:pPr>
              <w:spacing w:after="0"/>
              <w:rPr>
                <w:sz w:val="16"/>
                <w:szCs w:val="16"/>
                <w:color w:val="auto"/>
              </w:rPr>
            </w:pPr>
          </w:p>
        </w:tc>
      </w:tr>
      <w:tr>
        <w:trPr>
          <w:trHeight w:val="135"/>
        </w:trPr>
        <w:tc>
          <w:tcPr>
            <w:tcW w:w="2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2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3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34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5"/>
        </w:trPr>
        <w:tc>
          <w:tcPr>
            <w:tcW w:w="2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704,051</w:t>
            </w:r>
          </w:p>
        </w:tc>
        <w:tc>
          <w:tcPr>
            <w:tcW w:w="12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368,041</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91.3%</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1,118,189</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734,780</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52.2%</w:t>
            </w:r>
          </w:p>
        </w:tc>
      </w:tr>
      <w:tr>
        <w:trPr>
          <w:trHeight w:val="230"/>
        </w:trPr>
        <w:tc>
          <w:tcPr>
            <w:tcW w:w="21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65.4 %</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50.6 %</w:t>
            </w:r>
          </w:p>
        </w:tc>
        <w:tc>
          <w:tcPr>
            <w:tcW w:w="1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58.6 %</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51.7 %</w:t>
            </w:r>
          </w:p>
        </w:tc>
        <w:tc>
          <w:tcPr>
            <w:tcW w:w="10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30"/>
        </w:trPr>
        <w:tc>
          <w:tcPr>
            <w:tcW w:w="2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371,830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359,256</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3.5%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789,971</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686,158</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15.1%</w:t>
            </w:r>
          </w:p>
        </w:tc>
      </w:tr>
      <w:tr>
        <w:trPr>
          <w:trHeight w:val="230"/>
        </w:trPr>
        <w:tc>
          <w:tcPr>
            <w:tcW w:w="21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34.6 %</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49.4 %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41.4 %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48.3 %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09" w:lineRule="exact"/>
        <w:rPr>
          <w:sz w:val="20"/>
          <w:szCs w:val="20"/>
          <w:color w:val="auto"/>
        </w:rPr>
      </w:pPr>
    </w:p>
    <w:p>
      <w:pPr>
        <w:ind w:right="240" w:firstLine="405"/>
        <w:spacing w:after="0" w:line="284" w:lineRule="auto"/>
        <w:rPr>
          <w:sz w:val="20"/>
          <w:szCs w:val="20"/>
          <w:color w:val="auto"/>
        </w:rPr>
      </w:pPr>
      <w:r>
        <w:rPr>
          <w:rFonts w:ascii="Arial" w:cs="Arial" w:eastAsia="Arial" w:hAnsi="Arial"/>
          <w:sz w:val="16"/>
          <w:szCs w:val="16"/>
          <w:color w:val="auto"/>
        </w:rPr>
        <w:t>Cost of goods sold as a percentage of net revenue increased for the three and six months ended July 31, 2021 compared to the three and six months ended August 1, 2020, which is primarily due to increased costs associated with the Inphi acquisition including amortization of inventory fair value adjustment and amortization of acquired intangible assets, as well as the increased product sales. As a result, gross margin for the three and six months ended July 31, 2021 decreased 14.8% and 6.9% percentage points compared to the three and six months ended August 1, 2020.</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2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Borders>
              <w:bottom w:val="single" w:sz="8" w:color="auto"/>
            </w:tcBorders>
          </w:tcPr>
          <w:p>
            <w:pPr>
              <w:spacing w:after="0"/>
              <w:rPr>
                <w:sz w:val="16"/>
                <w:szCs w:val="16"/>
                <w:color w:val="auto"/>
              </w:rPr>
            </w:pPr>
          </w:p>
        </w:tc>
      </w:tr>
      <w:tr>
        <w:trPr>
          <w:trHeight w:val="135"/>
        </w:trPr>
        <w:tc>
          <w:tcPr>
            <w:tcW w:w="2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8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2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0" w:type="dxa"/>
            <w:vAlign w:val="bottom"/>
            <w:gridSpan w:val="5"/>
          </w:tcPr>
          <w:p>
            <w:pPr>
              <w:ind w:left="34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6"/>
        </w:trPr>
        <w:tc>
          <w:tcPr>
            <w:tcW w:w="24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9"/>
              </w:rPr>
              <w:t>Research and development  $</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367,043</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277,139</w:t>
            </w:r>
          </w:p>
        </w:tc>
        <w:tc>
          <w:tcPr>
            <w:tcW w:w="12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32.4%</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653,143</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556,723</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17.3%</w:t>
            </w:r>
          </w:p>
        </w:tc>
      </w:tr>
      <w:tr>
        <w:trPr>
          <w:trHeight w:val="230"/>
        </w:trPr>
        <w:tc>
          <w:tcPr>
            <w:tcW w:w="244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180" w:type="dxa"/>
            <w:vAlign w:val="bottom"/>
          </w:tcPr>
          <w:p>
            <w:pPr>
              <w:jc w:val="right"/>
              <w:spacing w:after="0"/>
              <w:rPr>
                <w:sz w:val="20"/>
                <w:szCs w:val="20"/>
                <w:color w:val="auto"/>
              </w:rPr>
            </w:pPr>
            <w:r>
              <w:rPr>
                <w:rFonts w:ascii="Arial" w:cs="Arial" w:eastAsia="Arial" w:hAnsi="Arial"/>
                <w:sz w:val="18"/>
                <w:szCs w:val="18"/>
                <w:color w:val="auto"/>
              </w:rPr>
              <w:t>34.1 %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38.1 %</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34.2 %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39.2 %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22" w:lineRule="exact"/>
        <w:rPr>
          <w:sz w:val="20"/>
          <w:szCs w:val="20"/>
          <w:color w:val="auto"/>
        </w:rPr>
      </w:pPr>
    </w:p>
    <w:p>
      <w:pPr>
        <w:ind w:right="260" w:firstLine="405"/>
        <w:spacing w:after="0" w:line="270" w:lineRule="auto"/>
        <w:rPr>
          <w:sz w:val="20"/>
          <w:szCs w:val="20"/>
          <w:color w:val="auto"/>
        </w:rPr>
      </w:pPr>
      <w:r>
        <w:rPr>
          <w:rFonts w:ascii="Arial" w:cs="Arial" w:eastAsia="Arial" w:hAnsi="Arial"/>
          <w:sz w:val="17"/>
          <w:szCs w:val="17"/>
          <w:color w:val="auto"/>
        </w:rPr>
        <w:t>Research and development expense increased by $89.9 million in the three months ended July 31, 2021 compared to the three months ended August 1, 2020. The increase was primarily due to additional costs from our acquisition of Inphi, including $62.5 million of higher employee personnel-related costs, $13.5 million of higher engineering design and supplies costs, and $12.5 million of higher preproduction costs.</w:t>
      </w:r>
    </w:p>
    <w:p>
      <w:pPr>
        <w:spacing w:after="0" w:line="191"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Research and development expense increased by $96.4 million in the six months ended July 31, 2021 compared to the six months ended August 1, 2020. The increase was primarily due to additional costs from our acquisition of Inphi, including $63.4 million of higher employee personnel-related costs, $12.9 million of higher computer-aided design software related costs, $11.8 million of higher engineering design and supplies costs, and $6.6 million of higher information technology costs.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3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6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23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4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8"/>
        </w:trPr>
        <w:tc>
          <w:tcPr>
            <w:tcW w:w="2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2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300" w:type="dxa"/>
            <w:vAlign w:val="bottom"/>
            <w:shd w:val="clear" w:color="auto" w:fill="CCEEFF"/>
          </w:tcPr>
          <w:p>
            <w:pPr>
              <w:ind w:left="20"/>
              <w:spacing w:after="0" w:line="182" w:lineRule="exact"/>
              <w:rPr>
                <w:sz w:val="20"/>
                <w:szCs w:val="20"/>
                <w:color w:val="auto"/>
              </w:rPr>
            </w:pPr>
            <w:r>
              <w:rPr>
                <w:rFonts w:ascii="Arial" w:cs="Arial" w:eastAsia="Arial" w:hAnsi="Arial"/>
                <w:sz w:val="18"/>
                <w:szCs w:val="18"/>
                <w:color w:val="auto"/>
              </w:rPr>
              <w:t>Selling, general and</w:t>
            </w:r>
          </w:p>
        </w:tc>
        <w:tc>
          <w:tcPr>
            <w:tcW w:w="280" w:type="dxa"/>
            <w:vAlign w:val="bottom"/>
            <w:vMerge w:val="restart"/>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6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259,161</w:t>
            </w:r>
          </w:p>
        </w:tc>
        <w:tc>
          <w:tcPr>
            <w:tcW w:w="100" w:type="dxa"/>
            <w:vAlign w:val="bottom"/>
            <w:shd w:val="clear" w:color="auto" w:fill="CCEEFF"/>
          </w:tcPr>
          <w:p>
            <w:pPr>
              <w:spacing w:after="0"/>
              <w:rPr>
                <w:sz w:val="15"/>
                <w:szCs w:val="15"/>
                <w:color w:val="auto"/>
              </w:rPr>
            </w:pPr>
          </w:p>
        </w:tc>
        <w:tc>
          <w:tcPr>
            <w:tcW w:w="280" w:type="dxa"/>
            <w:vAlign w:val="bottom"/>
            <w:vMerge w:val="restart"/>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112,794</w:t>
            </w:r>
          </w:p>
        </w:tc>
        <w:tc>
          <w:tcPr>
            <w:tcW w:w="100" w:type="dxa"/>
            <w:vAlign w:val="bottom"/>
            <w:shd w:val="clear" w:color="auto" w:fill="CCEEFF"/>
          </w:tcPr>
          <w:p>
            <w:pPr>
              <w:spacing w:after="0"/>
              <w:rPr>
                <w:sz w:val="15"/>
                <w:szCs w:val="15"/>
                <w:color w:val="auto"/>
              </w:rPr>
            </w:pPr>
          </w:p>
        </w:tc>
        <w:tc>
          <w:tcPr>
            <w:tcW w:w="1320" w:type="dxa"/>
            <w:vAlign w:val="bottom"/>
            <w:vMerge w:val="restart"/>
            <w:shd w:val="clear" w:color="auto" w:fill="CCEEFF"/>
          </w:tcPr>
          <w:p>
            <w:pPr>
              <w:jc w:val="right"/>
              <w:ind w:right="304"/>
              <w:spacing w:after="0"/>
              <w:rPr>
                <w:sz w:val="20"/>
                <w:szCs w:val="20"/>
                <w:color w:val="auto"/>
              </w:rPr>
            </w:pPr>
            <w:r>
              <w:rPr>
                <w:rFonts w:ascii="Arial" w:cs="Arial" w:eastAsia="Arial" w:hAnsi="Arial"/>
                <w:sz w:val="18"/>
                <w:szCs w:val="18"/>
                <w:color w:val="auto"/>
              </w:rPr>
              <w:t>129.8%</w:t>
            </w:r>
          </w:p>
        </w:tc>
        <w:tc>
          <w:tcPr>
            <w:tcW w:w="100" w:type="dxa"/>
            <w:vAlign w:val="bottom"/>
            <w:shd w:val="clear" w:color="auto" w:fill="CCEEFF"/>
          </w:tcPr>
          <w:p>
            <w:pPr>
              <w:spacing w:after="0"/>
              <w:rPr>
                <w:sz w:val="15"/>
                <w:szCs w:val="15"/>
                <w:color w:val="auto"/>
              </w:rPr>
            </w:pPr>
          </w:p>
        </w:tc>
        <w:tc>
          <w:tcPr>
            <w:tcW w:w="300" w:type="dxa"/>
            <w:vAlign w:val="bottom"/>
            <w:vMerge w:val="restart"/>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460,627</w:t>
            </w:r>
          </w:p>
        </w:tc>
        <w:tc>
          <w:tcPr>
            <w:tcW w:w="100" w:type="dxa"/>
            <w:vAlign w:val="bottom"/>
            <w:shd w:val="clear" w:color="auto" w:fill="CCEEFF"/>
          </w:tcPr>
          <w:p>
            <w:pPr>
              <w:spacing w:after="0"/>
              <w:rPr>
                <w:sz w:val="15"/>
                <w:szCs w:val="15"/>
                <w:color w:val="auto"/>
              </w:rPr>
            </w:pPr>
          </w:p>
        </w:tc>
        <w:tc>
          <w:tcPr>
            <w:tcW w:w="280" w:type="dxa"/>
            <w:vAlign w:val="bottom"/>
            <w:vMerge w:val="restart"/>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234,821</w:t>
            </w:r>
          </w:p>
        </w:tc>
        <w:tc>
          <w:tcPr>
            <w:tcW w:w="100" w:type="dxa"/>
            <w:vAlign w:val="bottom"/>
            <w:shd w:val="clear" w:color="auto" w:fill="CCEEFF"/>
          </w:tcPr>
          <w:p>
            <w:pPr>
              <w:spacing w:after="0"/>
              <w:rPr>
                <w:sz w:val="15"/>
                <w:szCs w:val="15"/>
                <w:color w:val="auto"/>
              </w:rPr>
            </w:pPr>
          </w:p>
        </w:tc>
        <w:tc>
          <w:tcPr>
            <w:tcW w:w="1320" w:type="dxa"/>
            <w:vAlign w:val="bottom"/>
            <w:vMerge w:val="restart"/>
            <w:shd w:val="clear" w:color="auto" w:fill="CCEEFF"/>
          </w:tcPr>
          <w:p>
            <w:pPr>
              <w:jc w:val="right"/>
              <w:ind w:right="342"/>
              <w:spacing w:after="0"/>
              <w:rPr>
                <w:sz w:val="20"/>
                <w:szCs w:val="20"/>
                <w:color w:val="auto"/>
              </w:rPr>
            </w:pPr>
            <w:r>
              <w:rPr>
                <w:rFonts w:ascii="Arial" w:cs="Arial" w:eastAsia="Arial" w:hAnsi="Arial"/>
                <w:sz w:val="18"/>
                <w:szCs w:val="18"/>
                <w:color w:val="auto"/>
              </w:rPr>
              <w:t>96.2%</w:t>
            </w:r>
          </w:p>
        </w:tc>
        <w:tc>
          <w:tcPr>
            <w:tcW w:w="0" w:type="dxa"/>
            <w:vAlign w:val="bottom"/>
          </w:tcPr>
          <w:p>
            <w:pPr>
              <w:spacing w:after="0"/>
              <w:rPr>
                <w:sz w:val="1"/>
                <w:szCs w:val="1"/>
                <w:color w:val="auto"/>
              </w:rPr>
            </w:pPr>
          </w:p>
        </w:tc>
      </w:tr>
      <w:tr>
        <w:trPr>
          <w:trHeight w:val="229"/>
        </w:trPr>
        <w:tc>
          <w:tcPr>
            <w:tcW w:w="2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280" w:type="dxa"/>
            <w:vAlign w:val="bottom"/>
            <w:vMerge w:val="continue"/>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vMerge w:val="continue"/>
            <w:shd w:val="clear" w:color="auto" w:fill="CCEEFF"/>
          </w:tcPr>
          <w:p>
            <w:pPr>
              <w:spacing w:after="0"/>
              <w:rPr>
                <w:sz w:val="19"/>
                <w:szCs w:val="19"/>
                <w:color w:val="auto"/>
              </w:rPr>
            </w:pPr>
          </w:p>
        </w:tc>
        <w:tc>
          <w:tcPr>
            <w:tcW w:w="12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vMerge w:val="continue"/>
            <w:shd w:val="clear" w:color="auto" w:fill="CCEEFF"/>
          </w:tcPr>
          <w:p>
            <w:pPr>
              <w:spacing w:after="0"/>
              <w:rPr>
                <w:sz w:val="19"/>
                <w:szCs w:val="19"/>
                <w:color w:val="auto"/>
              </w:rPr>
            </w:pPr>
          </w:p>
        </w:tc>
        <w:tc>
          <w:tcPr>
            <w:tcW w:w="118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vMerge w:val="continue"/>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3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8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24.1 %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15.5 %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24.1 %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16.5 %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95" w:lineRule="exact"/>
        <w:rPr>
          <w:sz w:val="20"/>
          <w:szCs w:val="20"/>
          <w:color w:val="auto"/>
        </w:rPr>
      </w:pPr>
    </w:p>
    <w:p>
      <w:pPr>
        <w:jc w:val="both"/>
        <w:ind w:right="20" w:firstLine="405"/>
        <w:spacing w:after="0" w:line="253" w:lineRule="auto"/>
        <w:rPr>
          <w:sz w:val="20"/>
          <w:szCs w:val="20"/>
          <w:color w:val="auto"/>
        </w:rPr>
      </w:pPr>
      <w:r>
        <w:rPr>
          <w:rFonts w:ascii="Arial" w:cs="Arial" w:eastAsia="Arial" w:hAnsi="Arial"/>
          <w:sz w:val="17"/>
          <w:szCs w:val="17"/>
          <w:color w:val="auto"/>
        </w:rPr>
        <w:t>Selling, general and administrative expense increased by $146.4 million in the three months ended July 31, 2021 compared to the three months ended August 1, 2020. The increase was primarily due to additional costs from our acquisition of Inphi, including $83.1 million of higher intangibles amortization expense, $33.9 million of higher employee personnel-related costs and $30.7 million of higher integration costs.</w:t>
      </w:r>
    </w:p>
    <w:p>
      <w:pPr>
        <w:spacing w:after="0" w:line="192"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Selling, general and administrative expense increased by $225.8 million in the six months ended July 31, 2021 compared to the six months ended August 1, 2020. The increase was primarily due to additional costs from our acquisition of Inphi, including $91.5 million of higher intangibles amortization expense, $82.1 million of higher employee personnel-related costs and $66.3 million of higher integration costs.</w:t>
      </w:r>
    </w:p>
    <w:p>
      <w:pPr>
        <w:spacing w:after="0" w:line="20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2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jc w:val="right"/>
              <w:ind w:right="6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August 1,</w:t>
            </w:r>
          </w:p>
        </w:tc>
        <w:tc>
          <w:tcPr>
            <w:tcW w:w="13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21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218"/>
        </w:trPr>
        <w:tc>
          <w:tcPr>
            <w:tcW w:w="2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140" w:type="dxa"/>
            <w:vAlign w:val="bottom"/>
            <w:shd w:val="clear" w:color="auto" w:fill="CCEEFF"/>
          </w:tcPr>
          <w:p>
            <w:pPr>
              <w:ind w:left="20"/>
              <w:spacing w:after="0" w:line="182" w:lineRule="exact"/>
              <w:rPr>
                <w:sz w:val="20"/>
                <w:szCs w:val="20"/>
                <w:color w:val="auto"/>
              </w:rPr>
            </w:pPr>
            <w:r>
              <w:rPr>
                <w:rFonts w:ascii="Arial" w:cs="Arial" w:eastAsia="Arial" w:hAnsi="Arial"/>
                <w:sz w:val="18"/>
                <w:szCs w:val="18"/>
                <w:color w:val="auto"/>
              </w:rPr>
              <w:t>Restructuring related</w:t>
            </w:r>
          </w:p>
        </w:tc>
        <w:tc>
          <w:tcPr>
            <w:tcW w:w="300" w:type="dxa"/>
            <w:vAlign w:val="bottom"/>
            <w:vMerge w:val="restart"/>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12,294</w:t>
            </w:r>
          </w:p>
        </w:tc>
        <w:tc>
          <w:tcPr>
            <w:tcW w:w="100" w:type="dxa"/>
            <w:vAlign w:val="bottom"/>
            <w:shd w:val="clear" w:color="auto" w:fill="CCEEFF"/>
          </w:tcPr>
          <w:p>
            <w:pPr>
              <w:spacing w:after="0"/>
              <w:rPr>
                <w:sz w:val="15"/>
                <w:szCs w:val="15"/>
                <w:color w:val="auto"/>
              </w:rPr>
            </w:pPr>
          </w:p>
        </w:tc>
        <w:tc>
          <w:tcPr>
            <w:tcW w:w="280" w:type="dxa"/>
            <w:vAlign w:val="bottom"/>
            <w:vMerge w:val="restart"/>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120,590</w:t>
            </w:r>
          </w:p>
        </w:tc>
        <w:tc>
          <w:tcPr>
            <w:tcW w:w="120" w:type="dxa"/>
            <w:vAlign w:val="bottom"/>
            <w:shd w:val="clear" w:color="auto" w:fill="CCEEFF"/>
          </w:tcPr>
          <w:p>
            <w:pPr>
              <w:spacing w:after="0"/>
              <w:rPr>
                <w:sz w:val="15"/>
                <w:szCs w:val="15"/>
                <w:color w:val="auto"/>
              </w:rPr>
            </w:pPr>
          </w:p>
        </w:tc>
        <w:tc>
          <w:tcPr>
            <w:tcW w:w="132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1"/>
              </w:rPr>
              <w:t>(89.8)%</w:t>
            </w:r>
          </w:p>
        </w:tc>
        <w:tc>
          <w:tcPr>
            <w:tcW w:w="100" w:type="dxa"/>
            <w:vAlign w:val="bottom"/>
            <w:shd w:val="clear" w:color="auto" w:fill="CCEEFF"/>
          </w:tcPr>
          <w:p>
            <w:pPr>
              <w:spacing w:after="0"/>
              <w:rPr>
                <w:sz w:val="15"/>
                <w:szCs w:val="15"/>
                <w:color w:val="auto"/>
              </w:rPr>
            </w:pPr>
          </w:p>
        </w:tc>
        <w:tc>
          <w:tcPr>
            <w:tcW w:w="300" w:type="dxa"/>
            <w:vAlign w:val="bottom"/>
            <w:vMerge w:val="restart"/>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25,180</w:t>
            </w:r>
          </w:p>
        </w:tc>
        <w:tc>
          <w:tcPr>
            <w:tcW w:w="100" w:type="dxa"/>
            <w:vAlign w:val="bottom"/>
            <w:shd w:val="clear" w:color="auto" w:fill="CCEEFF"/>
          </w:tcPr>
          <w:p>
            <w:pPr>
              <w:spacing w:after="0"/>
              <w:rPr>
                <w:sz w:val="15"/>
                <w:szCs w:val="15"/>
                <w:color w:val="auto"/>
              </w:rPr>
            </w:pPr>
          </w:p>
        </w:tc>
        <w:tc>
          <w:tcPr>
            <w:tcW w:w="280" w:type="dxa"/>
            <w:vAlign w:val="bottom"/>
            <w:vMerge w:val="restart"/>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141,877</w:t>
            </w:r>
          </w:p>
        </w:tc>
        <w:tc>
          <w:tcPr>
            <w:tcW w:w="100" w:type="dxa"/>
            <w:vAlign w:val="bottom"/>
            <w:shd w:val="clear" w:color="auto" w:fill="CCEEFF"/>
          </w:tcPr>
          <w:p>
            <w:pPr>
              <w:spacing w:after="0"/>
              <w:rPr>
                <w:sz w:val="15"/>
                <w:szCs w:val="15"/>
                <w:color w:val="auto"/>
              </w:rPr>
            </w:pPr>
          </w:p>
        </w:tc>
        <w:tc>
          <w:tcPr>
            <w:tcW w:w="1340" w:type="dxa"/>
            <w:vAlign w:val="bottom"/>
            <w:vMerge w:val="restart"/>
            <w:shd w:val="clear" w:color="auto" w:fill="CCEEFF"/>
          </w:tcPr>
          <w:p>
            <w:pPr>
              <w:jc w:val="center"/>
              <w:spacing w:after="0"/>
              <w:rPr>
                <w:sz w:val="20"/>
                <w:szCs w:val="20"/>
                <w:color w:val="auto"/>
              </w:rPr>
            </w:pPr>
            <w:r>
              <w:rPr>
                <w:rFonts w:ascii="Arial" w:cs="Arial" w:eastAsia="Arial" w:hAnsi="Arial"/>
                <w:sz w:val="18"/>
                <w:szCs w:val="18"/>
                <w:color w:val="auto"/>
                <w:w w:val="91"/>
              </w:rPr>
              <w:t>(82.3)%</w:t>
            </w:r>
          </w:p>
        </w:tc>
        <w:tc>
          <w:tcPr>
            <w:tcW w:w="0" w:type="dxa"/>
            <w:vAlign w:val="bottom"/>
          </w:tcPr>
          <w:p>
            <w:pPr>
              <w:spacing w:after="0"/>
              <w:rPr>
                <w:sz w:val="1"/>
                <w:szCs w:val="1"/>
                <w:color w:val="auto"/>
              </w:rPr>
            </w:pPr>
          </w:p>
        </w:tc>
      </w:tr>
      <w:tr>
        <w:trPr>
          <w:trHeight w:val="229"/>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charges</w:t>
            </w:r>
          </w:p>
        </w:tc>
        <w:tc>
          <w:tcPr>
            <w:tcW w:w="300" w:type="dxa"/>
            <w:vAlign w:val="bottom"/>
            <w:vMerge w:val="continue"/>
            <w:shd w:val="clear" w:color="auto" w:fill="CCEEFF"/>
          </w:tcPr>
          <w:p>
            <w:pPr>
              <w:spacing w:after="0"/>
              <w:rPr>
                <w:sz w:val="19"/>
                <w:szCs w:val="19"/>
                <w:color w:val="auto"/>
              </w:rPr>
            </w:pPr>
          </w:p>
        </w:tc>
        <w:tc>
          <w:tcPr>
            <w:tcW w:w="118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vMerge w:val="continue"/>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3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vMerge w:val="continue"/>
            <w:shd w:val="clear" w:color="auto" w:fill="CCEEFF"/>
          </w:tcPr>
          <w:p>
            <w:pPr>
              <w:spacing w:after="0"/>
              <w:rPr>
                <w:sz w:val="19"/>
                <w:szCs w:val="19"/>
                <w:color w:val="auto"/>
              </w:rPr>
            </w:pPr>
          </w:p>
        </w:tc>
        <w:tc>
          <w:tcPr>
            <w:tcW w:w="118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vMerge w:val="continue"/>
            <w:shd w:val="clear" w:color="auto" w:fill="CCEEFF"/>
          </w:tcPr>
          <w:p>
            <w:pPr>
              <w:spacing w:after="0"/>
              <w:rPr>
                <w:sz w:val="19"/>
                <w:szCs w:val="19"/>
                <w:color w:val="auto"/>
              </w:rPr>
            </w:pPr>
          </w:p>
        </w:tc>
        <w:tc>
          <w:tcPr>
            <w:tcW w:w="12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16.6 %</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10.0 %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22" w:lineRule="exact"/>
        <w:rPr>
          <w:sz w:val="20"/>
          <w:szCs w:val="20"/>
          <w:color w:val="auto"/>
        </w:rPr>
      </w:pPr>
    </w:p>
    <w:p>
      <w:pPr>
        <w:ind w:right="80" w:firstLine="405"/>
        <w:spacing w:after="0" w:line="248" w:lineRule="auto"/>
        <w:rPr>
          <w:sz w:val="20"/>
          <w:szCs w:val="20"/>
          <w:color w:val="auto"/>
        </w:rPr>
      </w:pPr>
      <w:r>
        <w:rPr>
          <w:rFonts w:ascii="Arial" w:cs="Arial" w:eastAsia="Arial" w:hAnsi="Arial"/>
          <w:sz w:val="18"/>
          <w:szCs w:val="18"/>
          <w:color w:val="auto"/>
        </w:rPr>
        <w:t>We recognized $12.3 million and $25.2 million of total restructuring related charges in the three and six months ended July 31, 2021 as we continue to evaluate our existing operations to increase operational efficiency, decrease costs, and increase profitability. See “Note 7 -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40" w:type="dxa"/>
            <w:vAlign w:val="bottom"/>
          </w:tcPr>
          <w:p>
            <w:pPr>
              <w:spacing w:after="0"/>
              <w:rPr>
                <w:sz w:val="16"/>
                <w:szCs w:val="16"/>
                <w:color w:val="auto"/>
              </w:rPr>
            </w:pPr>
          </w:p>
        </w:tc>
        <w:tc>
          <w:tcPr>
            <w:tcW w:w="3140" w:type="dxa"/>
            <w:vAlign w:val="bottom"/>
            <w:tcBorders>
              <w:bottom w:val="single" w:sz="8" w:color="auto"/>
            </w:tcBorders>
            <w:gridSpan w:val="6"/>
          </w:tcPr>
          <w:p>
            <w:pPr>
              <w:ind w:left="86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Borders>
              <w:bottom w:val="single" w:sz="8" w:color="auto"/>
            </w:tcBorders>
          </w:tcPr>
          <w:p>
            <w:pPr>
              <w:spacing w:after="0"/>
              <w:rPr>
                <w:sz w:val="16"/>
                <w:szCs w:val="16"/>
                <w:color w:val="auto"/>
              </w:rPr>
            </w:pPr>
          </w:p>
        </w:tc>
      </w:tr>
      <w:tr>
        <w:trPr>
          <w:trHeight w:val="135"/>
        </w:trPr>
        <w:tc>
          <w:tcPr>
            <w:tcW w:w="2140" w:type="dxa"/>
            <w:vAlign w:val="bottom"/>
          </w:tcPr>
          <w:p>
            <w:pPr>
              <w:spacing w:after="0"/>
              <w:rPr>
                <w:sz w:val="11"/>
                <w:szCs w:val="11"/>
                <w:color w:val="auto"/>
              </w:rPr>
            </w:pPr>
          </w:p>
        </w:tc>
        <w:tc>
          <w:tcPr>
            <w:tcW w:w="960" w:type="dxa"/>
            <w:vAlign w:val="bottom"/>
          </w:tcPr>
          <w:p>
            <w:pPr>
              <w:jc w:val="center"/>
              <w:ind w:left="424"/>
              <w:spacing w:after="0" w:line="135" w:lineRule="exact"/>
              <w:rPr>
                <w:sz w:val="20"/>
                <w:szCs w:val="20"/>
                <w:color w:val="auto"/>
              </w:rPr>
            </w:pPr>
            <w:r>
              <w:rPr>
                <w:rFonts w:ascii="Arial" w:cs="Arial" w:eastAsia="Arial" w:hAnsi="Arial"/>
                <w:sz w:val="14"/>
                <w:szCs w:val="14"/>
                <w:b w:val="1"/>
                <w:bCs w:val="1"/>
                <w:color w:val="auto"/>
                <w:w w:val="89"/>
              </w:rPr>
              <w:t>July 31,</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30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6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jc w:val="right"/>
              <w:ind w:right="6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6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40" w:type="dxa"/>
            <w:vAlign w:val="bottom"/>
          </w:tcPr>
          <w:p>
            <w:pPr>
              <w:spacing w:after="0"/>
              <w:rPr>
                <w:sz w:val="16"/>
                <w:szCs w:val="16"/>
                <w:color w:val="auto"/>
              </w:rPr>
            </w:pPr>
          </w:p>
        </w:tc>
        <w:tc>
          <w:tcPr>
            <w:tcW w:w="960" w:type="dxa"/>
            <w:vAlign w:val="bottom"/>
            <w:tcBorders>
              <w:bottom w:val="single" w:sz="8" w:color="auto"/>
            </w:tcBorders>
          </w:tcPr>
          <w:p>
            <w:pPr>
              <w:jc w:val="right"/>
              <w:ind w:right="4"/>
              <w:spacing w:after="0"/>
              <w:rPr>
                <w:sz w:val="20"/>
                <w:szCs w:val="20"/>
                <w:color w:val="auto"/>
              </w:rPr>
            </w:pPr>
            <w:r>
              <w:rPr>
                <w:rFonts w:ascii="Arial" w:cs="Arial" w:eastAsia="Arial" w:hAnsi="Arial"/>
                <w:sz w:val="14"/>
                <w:szCs w:val="14"/>
                <w:b w:val="1"/>
                <w:bCs w:val="1"/>
                <w:color w:val="auto"/>
              </w:rPr>
              <w:t>2021</w:t>
            </w:r>
          </w:p>
        </w:tc>
        <w:tc>
          <w:tcPr>
            <w:tcW w:w="5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5"/>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960" w:type="dxa"/>
            <w:vAlign w:val="bottom"/>
            <w:shd w:val="clear" w:color="auto" w:fill="CCEEFF"/>
          </w:tcPr>
          <w:p>
            <w:pPr>
              <w:jc w:val="right"/>
              <w:ind w:right="784"/>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86"/>
              </w:rPr>
              <w:t>150</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577</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(74.0)%</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372</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1,635</w:t>
            </w:r>
          </w:p>
        </w:tc>
        <w:tc>
          <w:tcPr>
            <w:tcW w:w="8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(77.2)%</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960" w:type="dxa"/>
            <w:vAlign w:val="bottom"/>
          </w:tcPr>
          <w:p>
            <w:pPr>
              <w:spacing w:after="0"/>
              <w:rPr>
                <w:sz w:val="20"/>
                <w:szCs w:val="20"/>
                <w:color w:val="auto"/>
              </w:rPr>
            </w:pPr>
          </w:p>
        </w:tc>
        <w:tc>
          <w:tcPr>
            <w:tcW w:w="600" w:type="dxa"/>
            <w:vAlign w:val="bottom"/>
            <w:gridSpan w:val="2"/>
          </w:tcPr>
          <w:p>
            <w:pPr>
              <w:ind w:left="100"/>
              <w:spacing w:after="0"/>
              <w:rPr>
                <w:sz w:val="20"/>
                <w:szCs w:val="20"/>
                <w:color w:val="auto"/>
              </w:rPr>
            </w:pPr>
            <w:r>
              <w:rPr>
                <w:rFonts w:ascii="Arial" w:cs="Arial" w:eastAsia="Arial" w:hAnsi="Arial"/>
                <w:sz w:val="18"/>
                <w:szCs w:val="18"/>
                <w:color w:val="auto"/>
              </w:rPr>
              <w:t>— %</w:t>
            </w: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60" w:type="dxa"/>
            <w:vAlign w:val="bottom"/>
            <w:gridSpan w:val="2"/>
          </w:tcPr>
          <w:p>
            <w:pPr>
              <w:ind w:left="760"/>
              <w:spacing w:after="0"/>
              <w:rPr>
                <w:sz w:val="20"/>
                <w:szCs w:val="20"/>
                <w:color w:val="auto"/>
              </w:rPr>
            </w:pPr>
            <w:r>
              <w:rPr>
                <w:rFonts w:ascii="Arial" w:cs="Arial" w:eastAsia="Arial" w:hAnsi="Arial"/>
                <w:sz w:val="18"/>
                <w:szCs w:val="18"/>
                <w:color w:val="auto"/>
              </w:rPr>
              <w:t>— %</w:t>
            </w:r>
          </w:p>
        </w:tc>
        <w:tc>
          <w:tcPr>
            <w:tcW w:w="28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0.1 %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Interest income decreased by $0.4 million and $1.3 million in the three and six months ended July 31, 2021 compared to the three and six months ended August 1, 2020 due to lower interest rates on our invested cash.</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Borders>
              <w:bottom w:val="single" w:sz="8" w:color="auto"/>
            </w:tcBorders>
          </w:tcPr>
          <w:p>
            <w:pPr>
              <w:spacing w:after="0"/>
              <w:rPr>
                <w:sz w:val="16"/>
                <w:szCs w:val="16"/>
                <w:color w:val="auto"/>
              </w:rPr>
            </w:pPr>
          </w:p>
        </w:tc>
      </w:tr>
      <w:tr>
        <w:trPr>
          <w:trHeight w:val="134"/>
        </w:trPr>
        <w:tc>
          <w:tcPr>
            <w:tcW w:w="2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August 1,</w:t>
            </w:r>
          </w:p>
        </w:tc>
        <w:tc>
          <w:tcPr>
            <w:tcW w:w="134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August 1,</w:t>
            </w:r>
          </w:p>
        </w:tc>
        <w:tc>
          <w:tcPr>
            <w:tcW w:w="134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40" w:type="dxa"/>
            <w:vAlign w:val="bottom"/>
            <w:gridSpan w:val="5"/>
          </w:tcPr>
          <w:p>
            <w:pPr>
              <w:ind w:left="36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36"/>
        </w:trPr>
        <w:tc>
          <w:tcPr>
            <w:tcW w:w="2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81"/>
              <w:spacing w:after="0"/>
              <w:rPr>
                <w:sz w:val="20"/>
                <w:szCs w:val="20"/>
                <w:color w:val="auto"/>
              </w:rPr>
            </w:pPr>
            <w:r>
              <w:rPr>
                <w:rFonts w:ascii="Arial" w:cs="Arial" w:eastAsia="Arial" w:hAnsi="Arial"/>
                <w:sz w:val="18"/>
                <w:szCs w:val="18"/>
                <w:color w:val="auto"/>
              </w:rPr>
              <w:t>(33,814)</w:t>
            </w:r>
          </w:p>
        </w:tc>
        <w:tc>
          <w:tcPr>
            <w:tcW w:w="12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(15,635)</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116.3%</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(68,955)</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(32,465)</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112.4%</w:t>
            </w:r>
          </w:p>
        </w:tc>
      </w:tr>
      <w:tr>
        <w:trPr>
          <w:trHeight w:val="230"/>
        </w:trPr>
        <w:tc>
          <w:tcPr>
            <w:tcW w:w="21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09"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Interest expense increased by $18.2 million in the three months ended July 31, 2021 compared to the three months ended August 1, 2020. The increase was primarily due to the interest expense on the 2020 term loans in addition to the new 2026, 2028, and 2031 senior unsecured notes issued in the first quarter of fiscal 2022.</w:t>
      </w:r>
    </w:p>
    <w:p>
      <w:pPr>
        <w:spacing w:after="0" w:line="209" w:lineRule="exact"/>
        <w:rPr>
          <w:sz w:val="20"/>
          <w:szCs w:val="20"/>
          <w:color w:val="auto"/>
        </w:rPr>
      </w:pPr>
    </w:p>
    <w:p>
      <w:pPr>
        <w:ind w:right="240" w:firstLine="405"/>
        <w:spacing w:after="0" w:line="294" w:lineRule="auto"/>
        <w:rPr>
          <w:sz w:val="20"/>
          <w:szCs w:val="20"/>
          <w:color w:val="auto"/>
        </w:rPr>
      </w:pPr>
      <w:r>
        <w:rPr>
          <w:rFonts w:ascii="Arial" w:cs="Arial" w:eastAsia="Arial" w:hAnsi="Arial"/>
          <w:sz w:val="16"/>
          <w:szCs w:val="16"/>
          <w:color w:val="auto"/>
        </w:rPr>
        <w:t>Interest expense increased by $36.5 million in the six months ended July 31, 2021 compared to the six months ended August 1, 2020. The increase was primarily due to the interest expense on the 2020 term loans in addition to the new 2026, 2028, and 2031 senior unsecured notes issued in the first quarter of fiscal 2022, as well as the write-off of issuance costs related to the bridge loan when the loan was terminated in the first quarter of fiscal 2022.</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(loss),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Borders>
              <w:bottom w:val="single" w:sz="8" w:color="auto"/>
            </w:tcBorders>
          </w:tcPr>
          <w:p>
            <w:pPr>
              <w:spacing w:after="0"/>
              <w:rPr>
                <w:sz w:val="16"/>
                <w:szCs w:val="16"/>
                <w:color w:val="auto"/>
              </w:rPr>
            </w:pPr>
          </w:p>
        </w:tc>
      </w:tr>
      <w:tr>
        <w:trPr>
          <w:trHeight w:val="134"/>
        </w:trPr>
        <w:tc>
          <w:tcPr>
            <w:tcW w:w="21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130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August 1,</w:t>
            </w:r>
          </w:p>
        </w:tc>
        <w:tc>
          <w:tcPr>
            <w:tcW w:w="136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jc w:val="center"/>
              <w:ind w:right="420"/>
              <w:spacing w:after="0" w:line="135" w:lineRule="exact"/>
              <w:rPr>
                <w:sz w:val="20"/>
                <w:szCs w:val="20"/>
                <w:color w:val="auto"/>
              </w:rPr>
            </w:pPr>
            <w:r>
              <w:rPr>
                <w:rFonts w:ascii="Arial" w:cs="Arial" w:eastAsia="Arial" w:hAnsi="Arial"/>
                <w:sz w:val="14"/>
                <w:szCs w:val="14"/>
                <w:b w:val="1"/>
                <w:bCs w:val="1"/>
                <w:color w:val="auto"/>
                <w:w w:val="93"/>
              </w:rPr>
              <w:t>July 31,</w:t>
            </w:r>
          </w:p>
        </w:tc>
        <w:tc>
          <w:tcPr>
            <w:tcW w:w="280" w:type="dxa"/>
            <w:vAlign w:val="bottom"/>
          </w:tcPr>
          <w:p>
            <w:pPr>
              <w:spacing w:after="0"/>
              <w:rPr>
                <w:sz w:val="11"/>
                <w:szCs w:val="11"/>
                <w:color w:val="auto"/>
              </w:rPr>
            </w:pPr>
          </w:p>
        </w:tc>
        <w:tc>
          <w:tcPr>
            <w:tcW w:w="130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August 1,</w:t>
            </w:r>
          </w:p>
        </w:tc>
        <w:tc>
          <w:tcPr>
            <w:tcW w:w="136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(1,654)</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(440)</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275.9%</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(431)</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3,314</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262"/>
              <w:spacing w:after="0"/>
              <w:rPr>
                <w:sz w:val="20"/>
                <w:szCs w:val="20"/>
                <w:color w:val="auto"/>
              </w:rPr>
            </w:pPr>
            <w:r>
              <w:rPr>
                <w:rFonts w:ascii="Arial" w:cs="Arial" w:eastAsia="Arial" w:hAnsi="Arial"/>
                <w:sz w:val="18"/>
                <w:szCs w:val="18"/>
                <w:color w:val="auto"/>
              </w:rPr>
              <w:t>(113.0)%</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60" w:type="dxa"/>
            <w:vAlign w:val="bottom"/>
            <w:gridSpan w:val="2"/>
          </w:tcPr>
          <w:p>
            <w:pPr>
              <w:ind w:left="760"/>
              <w:spacing w:after="0"/>
              <w:rPr>
                <w:sz w:val="20"/>
                <w:szCs w:val="20"/>
                <w:color w:val="auto"/>
              </w:rPr>
            </w:pPr>
            <w:r>
              <w:rPr>
                <w:rFonts w:ascii="Arial" w:cs="Arial" w:eastAsia="Arial" w:hAnsi="Arial"/>
                <w:sz w:val="18"/>
                <w:szCs w:val="18"/>
                <w:color w:val="auto"/>
              </w:rPr>
              <w:t>— %</w:t>
            </w:r>
          </w:p>
        </w:tc>
        <w:tc>
          <w:tcPr>
            <w:tcW w:w="2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Other income (loss), net, changed by $1.2 million in the three months ended July 31, 2021 compared to the three months ended August 1, 2020. The higher loss was primarily due to the impairment recognized on a certain equity investment.</w:t>
      </w:r>
    </w:p>
    <w:p>
      <w:pPr>
        <w:spacing w:after="0" w:line="184" w:lineRule="exact"/>
        <w:rPr>
          <w:sz w:val="20"/>
          <w:szCs w:val="20"/>
          <w:color w:val="auto"/>
        </w:rPr>
      </w:pPr>
    </w:p>
    <w:p>
      <w:pPr>
        <w:jc w:val="both"/>
        <w:ind w:right="440" w:firstLine="405"/>
        <w:spacing w:after="0" w:line="235" w:lineRule="auto"/>
        <w:rPr>
          <w:sz w:val="20"/>
          <w:szCs w:val="20"/>
          <w:color w:val="auto"/>
        </w:rPr>
      </w:pPr>
      <w:r>
        <w:rPr>
          <w:rFonts w:ascii="Arial" w:cs="Arial" w:eastAsia="Arial" w:hAnsi="Arial"/>
          <w:sz w:val="18"/>
          <w:szCs w:val="18"/>
          <w:color w:val="auto"/>
        </w:rPr>
        <w:t>Other income (loss), net, changed by $3.7 million in the six months ended July 31, 2021 compared to the six months ended August 1, 2020. The higher loss in the six months ended August 1, 2020 was primarily due to the impairment recognized on a certain equity investment during the second quarter of fiscal 2022, as well as foreign currency rate fluctuations.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Benefit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Six Months Ended</w:t>
            </w:r>
          </w:p>
        </w:tc>
        <w:tc>
          <w:tcPr>
            <w:tcW w:w="1420" w:type="dxa"/>
            <w:vAlign w:val="bottom"/>
            <w:tcBorders>
              <w:bottom w:val="single" w:sz="8" w:color="auto"/>
            </w:tcBorders>
          </w:tcPr>
          <w:p>
            <w:pPr>
              <w:spacing w:after="0"/>
              <w:rPr>
                <w:sz w:val="16"/>
                <w:szCs w:val="16"/>
                <w:color w:val="auto"/>
              </w:rPr>
            </w:pPr>
          </w:p>
        </w:tc>
      </w:tr>
      <w:tr>
        <w:trPr>
          <w:trHeight w:val="134"/>
        </w:trPr>
        <w:tc>
          <w:tcPr>
            <w:tcW w:w="2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July 31,</w:t>
            </w:r>
          </w:p>
        </w:tc>
        <w:tc>
          <w:tcPr>
            <w:tcW w:w="260" w:type="dxa"/>
            <w:vAlign w:val="bottom"/>
          </w:tcPr>
          <w:p>
            <w:pPr>
              <w:spacing w:after="0"/>
              <w:rPr>
                <w:sz w:val="11"/>
                <w:szCs w:val="11"/>
                <w:color w:val="auto"/>
              </w:rPr>
            </w:pPr>
          </w:p>
        </w:tc>
        <w:tc>
          <w:tcPr>
            <w:tcW w:w="12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0"/>
              </w:rPr>
              <w:t>August 1,</w:t>
            </w:r>
          </w:p>
        </w:tc>
        <w:tc>
          <w:tcPr>
            <w:tcW w:w="1400" w:type="dxa"/>
            <w:vAlign w:val="bottom"/>
          </w:tcPr>
          <w:p>
            <w:pPr>
              <w:jc w:val="right"/>
              <w:ind w:right="54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3"/>
              </w:rPr>
              <w:t>July 31,</w:t>
            </w:r>
          </w:p>
        </w:tc>
        <w:tc>
          <w:tcPr>
            <w:tcW w:w="260" w:type="dxa"/>
            <w:vAlign w:val="bottom"/>
          </w:tcPr>
          <w:p>
            <w:pPr>
              <w:spacing w:after="0"/>
              <w:rPr>
                <w:sz w:val="11"/>
                <w:szCs w:val="11"/>
                <w:color w:val="auto"/>
              </w:rPr>
            </w:pPr>
          </w:p>
        </w:tc>
        <w:tc>
          <w:tcPr>
            <w:tcW w:w="124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August 1,</w:t>
            </w:r>
          </w:p>
        </w:tc>
        <w:tc>
          <w:tcPr>
            <w:tcW w:w="1420" w:type="dxa"/>
            <w:vAlign w:val="bottom"/>
          </w:tcPr>
          <w:p>
            <w:pPr>
              <w:jc w:val="right"/>
              <w:ind w:right="56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2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236"/>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for income taxes</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(25,558)</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(8,872)</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188.1%</w:t>
            </w:r>
          </w:p>
        </w:tc>
        <w:tc>
          <w:tcPr>
            <w:tcW w:w="100" w:type="dxa"/>
            <w:vAlign w:val="bottom"/>
            <w:shd w:val="clear" w:color="auto" w:fill="CCEEFF"/>
          </w:tcPr>
          <w:p>
            <w:pPr>
              <w:spacing w:after="0"/>
              <w:rPr>
                <w:sz w:val="20"/>
                <w:szCs w:val="20"/>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(53,323)</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(3,853)</w:t>
            </w:r>
          </w:p>
        </w:tc>
        <w:tc>
          <w:tcPr>
            <w:tcW w:w="100" w:type="dxa"/>
            <w:vAlign w:val="bottom"/>
            <w:shd w:val="clear" w:color="auto" w:fill="CCEEFF"/>
          </w:tcPr>
          <w:p>
            <w:pPr>
              <w:spacing w:after="0"/>
              <w:rPr>
                <w:sz w:val="20"/>
                <w:szCs w:val="20"/>
                <w:color w:val="auto"/>
              </w:rPr>
            </w:pPr>
          </w:p>
        </w:tc>
        <w:tc>
          <w:tcPr>
            <w:tcW w:w="1420" w:type="dxa"/>
            <w:vAlign w:val="bottom"/>
            <w:shd w:val="clear" w:color="auto" w:fill="CCEEFF"/>
          </w:tcPr>
          <w:p>
            <w:pPr>
              <w:jc w:val="right"/>
              <w:ind w:right="282"/>
              <w:spacing w:after="0"/>
              <w:rPr>
                <w:sz w:val="20"/>
                <w:szCs w:val="20"/>
                <w:color w:val="auto"/>
              </w:rPr>
            </w:pPr>
            <w:r>
              <w:rPr>
                <w:rFonts w:ascii="Arial" w:cs="Arial" w:eastAsia="Arial" w:hAnsi="Arial"/>
                <w:sz w:val="18"/>
                <w:szCs w:val="18"/>
                <w:color w:val="auto"/>
              </w:rPr>
              <w:t>1,283.9%</w:t>
            </w:r>
          </w:p>
        </w:tc>
      </w:tr>
    </w:tbl>
    <w:p>
      <w:pPr>
        <w:spacing w:after="0" w:line="310" w:lineRule="exact"/>
        <w:rPr>
          <w:sz w:val="20"/>
          <w:szCs w:val="20"/>
          <w:color w:val="auto"/>
        </w:rPr>
      </w:pPr>
    </w:p>
    <w:p>
      <w:pPr>
        <w:ind w:right="40" w:firstLine="405"/>
        <w:spacing w:after="0" w:line="239" w:lineRule="auto"/>
        <w:rPr>
          <w:sz w:val="20"/>
          <w:szCs w:val="20"/>
          <w:color w:val="auto"/>
        </w:rPr>
      </w:pPr>
      <w:r>
        <w:rPr>
          <w:rFonts w:ascii="Arial" w:cs="Arial" w:eastAsia="Arial" w:hAnsi="Arial"/>
          <w:sz w:val="17"/>
          <w:szCs w:val="17"/>
          <w:color w:val="auto"/>
        </w:rPr>
        <w:t>Our income tax benefit for the three months ended July 31, 2021 was $25.6 million compared to a tax benefit of $8.9 million for the three months ended August 1, 2020. Our income tax benefit for the three months ended July 31, 2021 differs from the tax benefit recorded in the same period in the prior year primarily due to the tax impact of an intra-entity transfer of certain intellectual property to a subsidiary in Singapore, which resulted in a tax benefit of $10.0 million in the current period. This amount, combined with discrete tax benefits from stock based compensation deductions versus prior periods, tax rate differentials on foreign income/(losses), as well as the recognition of tax benefits related to the expirations on the statutes of limitations for the assessment of taxes in certain jurisdictions were the primary drivers of the income tax benefits for the three months ended July 31, 2021 and the differences between the federal statutory tax rates of 21% and our effective income tax rates for these periods.</w:t>
      </w:r>
    </w:p>
    <w:p>
      <w:pPr>
        <w:spacing w:after="0" w:line="203" w:lineRule="exact"/>
        <w:rPr>
          <w:sz w:val="20"/>
          <w:szCs w:val="20"/>
          <w:color w:val="auto"/>
        </w:rPr>
      </w:pPr>
    </w:p>
    <w:p>
      <w:pPr>
        <w:ind w:right="160" w:firstLine="405"/>
        <w:spacing w:after="0" w:line="264" w:lineRule="auto"/>
        <w:rPr>
          <w:sz w:val="20"/>
          <w:szCs w:val="20"/>
          <w:color w:val="auto"/>
        </w:rPr>
      </w:pPr>
      <w:r>
        <w:rPr>
          <w:rFonts w:ascii="Arial" w:cs="Arial" w:eastAsia="Arial" w:hAnsi="Arial"/>
          <w:sz w:val="16"/>
          <w:szCs w:val="16"/>
          <w:color w:val="auto"/>
        </w:rPr>
        <w:t>Our income tax benefit for the six months ended July 31, 2021 was $53.3 million compared to a tax benefit of $3.9 million for the six months ended August 1, 2020. Our income tax benefit for the six months ended July 31, 2021 differs from the same period in the prior year primarily due to the tax impact of an intra-entity transfer of certain intellectual property to a subsidiary in Singapore, which resulted in a tax benefit of $10.0 million during the</w:t>
      </w:r>
    </w:p>
    <w:p>
      <w:pPr>
        <w:spacing w:after="0" w:line="1" w:lineRule="exact"/>
        <w:rPr>
          <w:sz w:val="20"/>
          <w:szCs w:val="20"/>
          <w:color w:val="auto"/>
        </w:rPr>
      </w:pPr>
    </w:p>
    <w:p>
      <w:pPr>
        <w:ind w:right="180"/>
        <w:spacing w:after="0" w:line="230" w:lineRule="auto"/>
        <w:rPr>
          <w:sz w:val="20"/>
          <w:szCs w:val="20"/>
          <w:color w:val="auto"/>
        </w:rPr>
      </w:pPr>
      <w:r>
        <w:rPr>
          <w:rFonts w:ascii="Arial" w:cs="Arial" w:eastAsia="Arial" w:hAnsi="Arial"/>
          <w:sz w:val="18"/>
          <w:szCs w:val="18"/>
          <w:color w:val="auto"/>
        </w:rPr>
        <w:t>period. This amount, combined with discrete tax benefits from stock based compensation deductions versus prior periods, tax rate differentials on foreign income/(losses), as well as the recognition of tax benefits related to the expirations on the statutes of limitations for the assessment of taxes in certain jurisdictions were the primary drivers of the income tax benefits for the six months ended July 31, 2021 and the differences between the federal statutory tax rates of 21% and our effective income tax rates for these periods.</w:t>
      </w:r>
    </w:p>
    <w:p>
      <w:pPr>
        <w:spacing w:after="0" w:line="205" w:lineRule="exact"/>
        <w:rPr>
          <w:sz w:val="20"/>
          <w:szCs w:val="20"/>
          <w:color w:val="auto"/>
        </w:rPr>
      </w:pPr>
    </w:p>
    <w:p>
      <w:pPr>
        <w:ind w:firstLine="405"/>
        <w:spacing w:after="0"/>
        <w:rPr>
          <w:sz w:val="20"/>
          <w:szCs w:val="20"/>
          <w:color w:val="auto"/>
        </w:rPr>
      </w:pPr>
      <w:r>
        <w:rPr>
          <w:rFonts w:ascii="Arial" w:cs="Arial" w:eastAsia="Arial" w:hAnsi="Arial"/>
          <w:sz w:val="17"/>
          <w:szCs w:val="17"/>
          <w:color w:val="auto"/>
        </w:rPr>
        <w:t>Our provision for income taxes may be affected by changes in the geographic mix of earnings with different applicable tax rates, changes in the realizability of deferred tax assets and liabilities, discrete items, intra-entity transfers of intellectual property,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w:t>
      </w:r>
    </w:p>
    <w:p>
      <w:pPr>
        <w:spacing w:after="0" w:line="204" w:lineRule="exact"/>
        <w:rPr>
          <w:sz w:val="20"/>
          <w:szCs w:val="20"/>
          <w:color w:val="auto"/>
        </w:rPr>
      </w:pPr>
    </w:p>
    <w:p>
      <w:pPr>
        <w:ind w:right="560" w:firstLine="405"/>
        <w:spacing w:after="0" w:line="235" w:lineRule="auto"/>
        <w:rPr>
          <w:sz w:val="20"/>
          <w:szCs w:val="20"/>
          <w:color w:val="auto"/>
        </w:rPr>
      </w:pPr>
      <w:r>
        <w:rPr>
          <w:rFonts w:ascii="Arial" w:cs="Arial" w:eastAsia="Arial" w:hAnsi="Arial"/>
          <w:sz w:val="18"/>
          <w:szCs w:val="18"/>
          <w:color w:val="auto"/>
        </w:rPr>
        <w:t>We also continuously evaluate potential changes to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w:t>
      </w:r>
      <w:r>
        <w:rPr>
          <w:rFonts w:ascii="Arial" w:cs="Arial" w:eastAsia="Arial" w:hAnsi="Arial"/>
          <w:sz w:val="18"/>
          <w:szCs w:val="18"/>
          <w:color w:val="auto"/>
        </w:rPr>
        <w:t xml:space="preserve"> </w:t>
      </w:r>
      <w:r>
        <w:rPr>
          <w:rFonts w:ascii="Arial" w:cs="Arial" w:eastAsia="Arial" w:hAnsi="Arial"/>
          <w:sz w:val="18"/>
          <w:szCs w:val="18"/>
          <w:i w:val="1"/>
          <w:iCs w:val="1"/>
          <w:color w:val="auto"/>
        </w:rPr>
        <w:t>taxation benefits, 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Our principal source of liquidity as of July 31, 2021 consisted of approximately $559.6 million of cash and cash equivalents, of which approximately $431.8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11 - Income Taxes” in the Notes to the Unaudited Condensed Consolidated Financial Statements for further information.</w:t>
      </w:r>
    </w:p>
    <w:p>
      <w:pPr>
        <w:spacing w:after="0" w:line="199" w:lineRule="exact"/>
        <w:rPr>
          <w:sz w:val="20"/>
          <w:szCs w:val="20"/>
          <w:color w:val="auto"/>
        </w:rPr>
      </w:pPr>
    </w:p>
    <w:p>
      <w:pPr>
        <w:jc w:val="both"/>
        <w:ind w:right="400" w:firstLine="405"/>
        <w:spacing w:after="0" w:line="270" w:lineRule="auto"/>
        <w:rPr>
          <w:sz w:val="20"/>
          <w:szCs w:val="20"/>
          <w:color w:val="auto"/>
        </w:rPr>
      </w:pPr>
      <w:r>
        <w:rPr>
          <w:rFonts w:ascii="Arial" w:cs="Arial" w:eastAsia="Arial" w:hAnsi="Arial"/>
          <w:sz w:val="17"/>
          <w:szCs w:val="17"/>
          <w:color w:val="auto"/>
        </w:rPr>
        <w:t>In April 2021, we assumed $15.7 million in principal of Inphi’s 0.75% convertible senior notes due 2021 and $506 million in principal of Inphi’s 0.75% convertible senior notes due 2025 from Inphi. We also acquired capped call assets in relation to the convertible debt. See “Note 5 - Debt” in the Notes to the Unaudited Condensed Consolidated Financial Statements for additional information.</w:t>
      </w:r>
    </w:p>
    <w:p>
      <w:pPr>
        <w:spacing w:after="0" w:line="177" w:lineRule="exact"/>
        <w:rPr>
          <w:sz w:val="20"/>
          <w:szCs w:val="20"/>
          <w:color w:val="auto"/>
        </w:rPr>
      </w:pPr>
    </w:p>
    <w:p>
      <w:pPr>
        <w:ind w:right="80" w:firstLine="405"/>
        <w:spacing w:after="0" w:line="239" w:lineRule="auto"/>
        <w:rPr>
          <w:sz w:val="20"/>
          <w:szCs w:val="20"/>
          <w:color w:val="auto"/>
        </w:rPr>
      </w:pPr>
      <w:r>
        <w:rPr>
          <w:rFonts w:ascii="Arial" w:cs="Arial" w:eastAsia="Arial" w:hAnsi="Arial"/>
          <w:sz w:val="17"/>
          <w:szCs w:val="17"/>
          <w:color w:val="auto"/>
        </w:rPr>
        <w:t>In December 2020, to fund the Inphi acquisition, we executed a debt agreement to obtain a $875 million 3-year term loan and a $875 million 5-year term loan. We also executed a debt agreement to obtain a $750 million revolving credit facility (“2020 Revolving Credit Facility”). In April 2021, we completed an offering and issued (i) $500 million of senior notes with a 5 year term due in 2026, (ii) $750 million of senior notes with a 7 year term due in 2028, and (iii) $750 million of senior notes with a 10 year term due in 2031. In addition, in May 2021, in conjunction with the U.S. domiciliation, we exchanged certain of our existing senior notes due in 2023 (“MTG 2023 Notes”) and 2028 (“MTG 2028 Notes”) that were previously issued by the former Bermuda-based parent with like notes that are now issued by the new parent domiciled in Delaware. See “Note 5 - Debt” in the Notes to the Unaudited Condensed Consolidated Financial Statements for additional information.</w:t>
      </w: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2" w:lineRule="exact"/>
        <w:rPr>
          <w:sz w:val="20"/>
          <w:szCs w:val="20"/>
          <w:color w:val="auto"/>
        </w:rPr>
      </w:pPr>
    </w:p>
    <w:p>
      <w:pPr>
        <w:ind w:right="120" w:firstLine="405"/>
        <w:spacing w:after="0" w:line="275" w:lineRule="auto"/>
        <w:rPr>
          <w:sz w:val="20"/>
          <w:szCs w:val="20"/>
          <w:color w:val="auto"/>
        </w:rPr>
      </w:pPr>
      <w:r>
        <w:rPr>
          <w:rFonts w:ascii="Arial" w:cs="Arial" w:eastAsia="Arial" w:hAnsi="Arial"/>
          <w:sz w:val="16"/>
          <w:szCs w:val="16"/>
          <w:color w:val="auto"/>
        </w:rPr>
        <w:t>Future payment of a regular quarterly cash dividend on our common shares and our planned repurchases of common stock will be subject to, among other things, the best interests of us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and the program remains suspended as we focus on reducing our debt and de-levering our balance sheet. We will continue to evaluate business conditions to decide when we can restart the share repurchase program</w:t>
      </w:r>
      <w:r>
        <w:rPr>
          <w:rFonts w:ascii="Arial" w:cs="Arial" w:eastAsia="Arial" w:hAnsi="Arial"/>
          <w:sz w:val="17"/>
          <w:szCs w:val="17"/>
          <w:color w:val="auto"/>
        </w:rPr>
        <w:t>.</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Net cash flow provided by operating activities for the six months ended July 31, 2021 was $208.4 million. We had a net loss of $364.7 million adjusted for the following non-cash items: amortization of acquired intangible assets of $405.3 million, share-based compensation expense of $206.8 million, amortization of inventory fair value adjustment associated with the Inphi acquisition of $169.6 million, depreciation and amortization of $118.1 million, deferred income tax benefit of $51.6 million, and $61.9 million net loss from other non-cash items. Cash outflow from working capital of $341.2 million for the six months ended July 31, 2021 was primarily driven by an increase in accounts receivable and inventory and a decrease in accrued employee compensation. The increase in accounts receivable is primarily due to increased sales, as well as the timing of shipments due to ongoing supply chain challenges. The increase in inventory is due to increased procurement to support our future growth. The decrease in accrued employee compensation is due to our annual bonus payment.</w:t>
      </w:r>
    </w:p>
    <w:p>
      <w:pPr>
        <w:spacing w:after="0" w:line="221"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Net cash flow provided by operating activities for the six months ended August 1, 2020 was $401.5 million. We had a net loss of $270.9 million adjusted for the following non-cash items: amortization of acquired intangible assets of $224.5 million, share-based compensation expense of $122.3 million, depreciation and amortization of $102.1 million, amortization of inventory fair value adjustment associated with the Aquantia and Avera acquisition of $17.3 million, deferred income tax expense of $0.4 million, and $14.9 million net loss from other non-cash items. Cash inflow from working capital of $74.2 million for the six months ended August 1, 2020 was primarily driven by a decrease in inventories an increase in accounts payable as well as an increase in accrued liabilities and other non-current liabilities, partially offset by a decrease in accrued employee compensation. The decrease in inventory is due to improved supply chain management. The increase in accounts payable was mainly due to timing of payment. The increase in accrued liabilities is due to an increase in ship and debit reserve and non-recurring engineering credits accrual. The decrease in accrued employee compensation is due to our annual bonus payment.</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For the six months ended July 31, 2021, net cash used in investing activities of $3.7 billion was primarily driven by net cash paid to acquire Inphi of $3.6 billion, purchases of property and equipment of $53.7 million, and purchases of technology licenses of $6.6 million.</w:t>
      </w:r>
    </w:p>
    <w:p>
      <w:pPr>
        <w:spacing w:after="0" w:line="198" w:lineRule="exact"/>
        <w:rPr>
          <w:sz w:val="20"/>
          <w:szCs w:val="20"/>
          <w:color w:val="auto"/>
        </w:rPr>
      </w:pPr>
    </w:p>
    <w:p>
      <w:pPr>
        <w:ind w:right="340" w:firstLine="405"/>
        <w:spacing w:after="0" w:line="261" w:lineRule="auto"/>
        <w:rPr>
          <w:sz w:val="20"/>
          <w:szCs w:val="20"/>
          <w:color w:val="auto"/>
        </w:rPr>
      </w:pPr>
      <w:r>
        <w:rPr>
          <w:rFonts w:ascii="Arial" w:cs="Arial" w:eastAsia="Arial" w:hAnsi="Arial"/>
          <w:sz w:val="18"/>
          <w:szCs w:val="18"/>
          <w:color w:val="auto"/>
        </w:rPr>
        <w:t>For the six months ended August 1, 2020, net cash used in investing activities of $58.9 million was primarily driven by purchases of property and equipment of $52.9 million and purchases of technology licenses of $6.8 million.</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100" w:firstLine="405"/>
        <w:spacing w:after="0" w:line="262" w:lineRule="auto"/>
        <w:rPr>
          <w:sz w:val="20"/>
          <w:szCs w:val="20"/>
          <w:color w:val="auto"/>
        </w:rPr>
      </w:pPr>
      <w:r>
        <w:rPr>
          <w:rFonts w:ascii="Arial" w:cs="Arial" w:eastAsia="Arial" w:hAnsi="Arial"/>
          <w:sz w:val="17"/>
          <w:szCs w:val="17"/>
          <w:color w:val="auto"/>
        </w:rPr>
        <w:t>For the six months ended July 31, 2021, net cash provided by financing activities of $3.3 billion was primarily attributable to proceeds from issuance of debt of $3.8 billion, proceeds from capped calls of $160.3 million partially offset by $275.0 million repayment of debt principal, $180.9 million of repurchase and settlement of convertible notes, $116.2 million tax withholding payments on behalf of employees for net share settlements, $89.9 million for payment of our quarterly dividends and $67.3 million payments on technology license obligations.</w:t>
      </w:r>
    </w:p>
    <w:p>
      <w:pPr>
        <w:spacing w:after="0" w:line="199" w:lineRule="exact"/>
        <w:rPr>
          <w:sz w:val="20"/>
          <w:szCs w:val="20"/>
          <w:color w:val="auto"/>
        </w:rPr>
      </w:pPr>
    </w:p>
    <w:p>
      <w:pPr>
        <w:ind w:right="140" w:firstLine="405"/>
        <w:spacing w:after="0" w:line="243" w:lineRule="auto"/>
        <w:rPr>
          <w:sz w:val="20"/>
          <w:szCs w:val="20"/>
          <w:color w:val="auto"/>
        </w:rPr>
      </w:pPr>
      <w:r>
        <w:rPr>
          <w:rFonts w:ascii="Arial" w:cs="Arial" w:eastAsia="Arial" w:hAnsi="Arial"/>
          <w:sz w:val="18"/>
          <w:szCs w:val="18"/>
          <w:color w:val="auto"/>
        </w:rPr>
        <w:t>For the six months ended August 1, 2020, net cash used in financing activities of $158.6 million was primarily attributable to $79.9 million for payment of our quarterly dividends, $56.7 million tax withholding payments on behalf of employees for net share settlements, $42.5 million payments for technology license obligations and $25.2 million for repurchases of our common stock. These outflows were partially offset by proceeds of $48.2 million from employee stock plans.</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48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At July 31, 2021, the Company had approximately $775.6 million in outstanding purchase orders with foundries.</w:t>
      </w:r>
    </w:p>
    <w:p>
      <w:pPr>
        <w:spacing w:after="0" w:line="209" w:lineRule="exact"/>
        <w:rPr>
          <w:sz w:val="20"/>
          <w:szCs w:val="20"/>
          <w:color w:val="auto"/>
        </w:rPr>
      </w:pPr>
    </w:p>
    <w:p>
      <w:pPr>
        <w:ind w:right="600" w:firstLine="405"/>
        <w:spacing w:after="0" w:line="261" w:lineRule="auto"/>
        <w:rPr>
          <w:sz w:val="20"/>
          <w:szCs w:val="20"/>
          <w:color w:val="auto"/>
        </w:rPr>
      </w:pPr>
      <w:r>
        <w:rPr>
          <w:rFonts w:ascii="Arial" w:cs="Arial" w:eastAsia="Arial" w:hAnsi="Arial"/>
          <w:sz w:val="18"/>
          <w:szCs w:val="18"/>
          <w:color w:val="auto"/>
        </w:rPr>
        <w:t>The following table summarizes our contractual obligation as of July 31, 2021 and the effect that such obligations are expected to have on our liquidity and cash flow in future periods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3200" w:type="dxa"/>
            <w:vAlign w:val="bottom"/>
            <w:tcBorders>
              <w:bottom w:val="single" w:sz="8" w:color="auto"/>
            </w:tcBorders>
            <w:gridSpan w:val="8"/>
          </w:tcPr>
          <w:p>
            <w:pPr>
              <w:ind w:left="360"/>
              <w:spacing w:after="0"/>
              <w:rPr>
                <w:sz w:val="20"/>
                <w:szCs w:val="20"/>
                <w:color w:val="auto"/>
              </w:rPr>
            </w:pPr>
            <w:r>
              <w:rPr>
                <w:rFonts w:ascii="Arial" w:cs="Arial" w:eastAsia="Arial" w:hAnsi="Arial"/>
                <w:sz w:val="14"/>
                <w:szCs w:val="14"/>
                <w:b w:val="1"/>
                <w:bCs w:val="1"/>
                <w:color w:val="auto"/>
              </w:rPr>
              <w:t>Contractual Obligations by Fiscal Year</w:t>
            </w: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3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Remainder of</w:t>
            </w:r>
          </w:p>
        </w:tc>
        <w:tc>
          <w:tcPr>
            <w:tcW w:w="200" w:type="dxa"/>
            <w:vAlign w:val="bottom"/>
          </w:tcPr>
          <w:p>
            <w:pPr>
              <w:spacing w:after="0"/>
              <w:rPr>
                <w:sz w:val="11"/>
                <w:szCs w:val="11"/>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vMerge w:val="restart"/>
          </w:tcPr>
          <w:p>
            <w:pPr>
              <w:jc w:val="right"/>
              <w:ind w:right="334"/>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2025</w:t>
            </w:r>
          </w:p>
        </w:tc>
        <w:tc>
          <w:tcPr>
            <w:tcW w:w="1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vMerge w:val="restart"/>
          </w:tcPr>
          <w:p>
            <w:pPr>
              <w:jc w:val="right"/>
              <w:ind w:right="292"/>
              <w:spacing w:after="0"/>
              <w:rPr>
                <w:sz w:val="20"/>
                <w:szCs w:val="20"/>
                <w:color w:val="auto"/>
              </w:rPr>
            </w:pPr>
            <w:r>
              <w:rPr>
                <w:rFonts w:ascii="Arial" w:cs="Arial" w:eastAsia="Arial" w:hAnsi="Arial"/>
                <w:sz w:val="14"/>
                <w:szCs w:val="14"/>
                <w:b w:val="1"/>
                <w:bCs w:val="1"/>
                <w:color w:val="auto"/>
              </w:rPr>
              <w:t>2026</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Thereafter</w:t>
            </w:r>
          </w:p>
        </w:tc>
        <w:tc>
          <w:tcPr>
            <w:tcW w:w="240" w:type="dxa"/>
            <w:vAlign w:val="bottom"/>
          </w:tcPr>
          <w:p>
            <w:pPr>
              <w:spacing w:after="0"/>
              <w:rPr>
                <w:sz w:val="11"/>
                <w:szCs w:val="11"/>
                <w:color w:val="auto"/>
              </w:rPr>
            </w:pPr>
          </w:p>
        </w:tc>
        <w:tc>
          <w:tcPr>
            <w:tcW w:w="920" w:type="dxa"/>
            <w:vAlign w:val="bottom"/>
            <w:vMerge w:val="restart"/>
          </w:tcPr>
          <w:p>
            <w:pPr>
              <w:jc w:val="right"/>
              <w:ind w:right="33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80" w:type="dxa"/>
            <w:vAlign w:val="bottom"/>
          </w:tcPr>
          <w:p>
            <w:pPr>
              <w:jc w:val="right"/>
              <w:ind w:right="31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Contractual obligations:</w:t>
            </w:r>
          </w:p>
        </w:tc>
        <w:tc>
          <w:tcPr>
            <w:tcW w:w="12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rPr>
                <w:sz w:val="20"/>
                <w:szCs w:val="20"/>
                <w:color w:val="auto"/>
              </w:rPr>
            </w:pPr>
            <w:r>
              <w:rPr>
                <w:rFonts w:ascii="Arial" w:cs="Arial" w:eastAsia="Arial" w:hAnsi="Arial"/>
                <w:sz w:val="18"/>
                <w:szCs w:val="18"/>
                <w:color w:val="auto"/>
              </w:rPr>
              <w:t>Principal payments on debt</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22,300</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65,625</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w w:val="99"/>
              </w:rPr>
              <w:t>1,462,452</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109,375</w:t>
            </w:r>
          </w:p>
        </w:tc>
        <w:tc>
          <w:tcPr>
            <w:tcW w:w="12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131,250</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2,959,290</w:t>
            </w:r>
          </w:p>
        </w:tc>
        <w:tc>
          <w:tcPr>
            <w:tcW w:w="10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4,750,292</w:t>
            </w:r>
          </w:p>
        </w:tc>
        <w:tc>
          <w:tcPr>
            <w:tcW w:w="0" w:type="dxa"/>
            <w:vAlign w:val="bottom"/>
          </w:tcPr>
          <w:p>
            <w:pPr>
              <w:spacing w:after="0"/>
              <w:rPr>
                <w:sz w:val="1"/>
                <w:szCs w:val="1"/>
                <w:color w:val="auto"/>
              </w:rPr>
            </w:pPr>
          </w:p>
        </w:tc>
      </w:tr>
      <w:tr>
        <w:trPr>
          <w:trHeight w:val="229"/>
        </w:trPr>
        <w:tc>
          <w:tcPr>
            <w:tcW w:w="3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obligations on debt</w:t>
            </w: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59,459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118,340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106,170</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84,978</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80,608</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216,797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666,352</w:t>
            </w: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line="230" w:lineRule="exact"/>
              <w:rPr>
                <w:sz w:val="20"/>
                <w:szCs w:val="20"/>
                <w:color w:val="auto"/>
              </w:rPr>
            </w:pPr>
            <w:r>
              <w:rPr>
                <w:rFonts w:ascii="Arial" w:cs="Arial" w:eastAsia="Arial" w:hAnsi="Arial"/>
                <w:sz w:val="18"/>
                <w:szCs w:val="18"/>
                <w:color w:val="auto"/>
              </w:rPr>
              <w:t xml:space="preserve">Facilities operating leases </w:t>
            </w:r>
            <w:r>
              <w:rPr>
                <w:rFonts w:ascii="Arial" w:cs="Arial" w:eastAsia="Arial" w:hAnsi="Arial"/>
                <w:sz w:val="23"/>
                <w:szCs w:val="23"/>
                <w:color w:val="auto"/>
                <w:vertAlign w:val="superscript"/>
              </w:rPr>
              <w:t>(1)</w:t>
            </w:r>
          </w:p>
        </w:tc>
        <w:tc>
          <w:tcPr>
            <w:tcW w:w="1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23,019</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38,077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32,947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23,843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20,164</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59,362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197,412</w:t>
            </w: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Purchase commitments to foundries </w:t>
            </w:r>
            <w:r>
              <w:rPr>
                <w:rFonts w:ascii="Arial" w:cs="Arial" w:eastAsia="Arial" w:hAnsi="Arial"/>
                <w:sz w:val="23"/>
                <w:szCs w:val="23"/>
                <w:color w:val="auto"/>
                <w:vertAlign w:val="superscript"/>
              </w:rPr>
              <w:t>(2)</w:t>
            </w: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775,625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216,333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212,033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185,157</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156,232</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1,545,380</w:t>
            </w: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rPr>
                <w:sz w:val="20"/>
                <w:szCs w:val="20"/>
                <w:color w:val="auto"/>
              </w:rPr>
            </w:pPr>
            <w:r>
              <w:rPr>
                <w:rFonts w:ascii="Arial" w:cs="Arial" w:eastAsia="Arial" w:hAnsi="Arial"/>
                <w:sz w:val="18"/>
                <w:szCs w:val="18"/>
                <w:color w:val="auto"/>
              </w:rPr>
              <w:t>Capital purchase obligations</w:t>
            </w:r>
          </w:p>
        </w:tc>
        <w:tc>
          <w:tcPr>
            <w:tcW w:w="1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74,611</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74,611</w:t>
            </w:r>
          </w:p>
        </w:tc>
        <w:tc>
          <w:tcPr>
            <w:tcW w:w="0" w:type="dxa"/>
            <w:vAlign w:val="bottom"/>
          </w:tcPr>
          <w:p>
            <w:pPr>
              <w:spacing w:after="0"/>
              <w:rPr>
                <w:sz w:val="1"/>
                <w:szCs w:val="1"/>
                <w:color w:val="auto"/>
              </w:rPr>
            </w:pPr>
          </w:p>
        </w:tc>
      </w:tr>
      <w:tr>
        <w:trPr>
          <w:trHeight w:val="229"/>
        </w:trPr>
        <w:tc>
          <w:tcPr>
            <w:tcW w:w="318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Technology license obligations </w:t>
            </w:r>
            <w:r>
              <w:rPr>
                <w:rFonts w:ascii="Arial" w:cs="Arial" w:eastAsia="Arial" w:hAnsi="Arial"/>
                <w:sz w:val="23"/>
                <w:szCs w:val="23"/>
                <w:color w:val="auto"/>
                <w:vertAlign w:val="superscript"/>
              </w:rPr>
              <w:t>(3)</w:t>
            </w: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59,749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85,735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67,795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43,359</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256,947</w:t>
            </w: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rPr>
                <w:sz w:val="20"/>
                <w:szCs w:val="20"/>
                <w:color w:val="auto"/>
              </w:rPr>
            </w:pPr>
            <w:r>
              <w:rPr>
                <w:rFonts w:ascii="Arial" w:cs="Arial" w:eastAsia="Arial" w:hAnsi="Arial"/>
                <w:sz w:val="18"/>
                <w:szCs w:val="18"/>
                <w:color w:val="auto"/>
              </w:rPr>
              <w:t>Other contractual commitments</w:t>
            </w:r>
          </w:p>
        </w:tc>
        <w:tc>
          <w:tcPr>
            <w:tcW w:w="120" w:type="dxa"/>
            <w:vAlign w:val="bottom"/>
          </w:tcPr>
          <w:p>
            <w:pPr>
              <w:spacing w:after="0"/>
              <w:rPr>
                <w:sz w:val="19"/>
                <w:szCs w:val="19"/>
                <w:color w:val="auto"/>
              </w:rPr>
            </w:pPr>
          </w:p>
        </w:tc>
        <w:tc>
          <w:tcPr>
            <w:tcW w:w="10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7,292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564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503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350</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4,709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13,418</w:t>
            </w:r>
          </w:p>
        </w:tc>
        <w:tc>
          <w:tcPr>
            <w:tcW w:w="0" w:type="dxa"/>
            <w:vAlign w:val="bottom"/>
          </w:tcPr>
          <w:p>
            <w:pPr>
              <w:spacing w:after="0"/>
              <w:rPr>
                <w:sz w:val="1"/>
                <w:szCs w:val="1"/>
                <w:color w:val="auto"/>
              </w:rPr>
            </w:pPr>
          </w:p>
        </w:tc>
      </w:tr>
      <w:tr>
        <w:trPr>
          <w:trHeight w:val="248"/>
        </w:trPr>
        <w:tc>
          <w:tcPr>
            <w:tcW w:w="31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contractual obligations</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1,014,763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531,402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1,881,961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447,215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388,913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3,240,158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7,504,412</w:t>
            </w:r>
          </w:p>
        </w:tc>
        <w:tc>
          <w:tcPr>
            <w:tcW w:w="0" w:type="dxa"/>
            <w:vAlign w:val="bottom"/>
          </w:tcPr>
          <w:p>
            <w:pPr>
              <w:spacing w:after="0"/>
              <w:rPr>
                <w:sz w:val="1"/>
                <w:szCs w:val="1"/>
                <w:color w:val="auto"/>
              </w:rPr>
            </w:pPr>
          </w:p>
        </w:tc>
      </w:tr>
      <w:tr>
        <w:trPr>
          <w:trHeight w:val="20"/>
        </w:trPr>
        <w:tc>
          <w:tcPr>
            <w:tcW w:w="31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1" w:lineRule="exact"/>
        <w:rPr>
          <w:sz w:val="20"/>
          <w:szCs w:val="20"/>
          <w:color w:val="auto"/>
        </w:rPr>
      </w:pPr>
    </w:p>
    <w:p>
      <w:pPr>
        <w:ind w:left="640" w:hanging="632"/>
        <w:spacing w:after="0"/>
        <w:tabs>
          <w:tab w:leader="none" w:pos="6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Amounts exclude contractual sublease proceeds of $39.4 million to be received through fiscal 2031.</w:t>
      </w:r>
    </w:p>
    <w:p>
      <w:pPr>
        <w:ind w:left="640" w:hanging="632"/>
        <w:spacing w:after="0"/>
        <w:tabs>
          <w:tab w:leader="none" w:pos="640" w:val="left"/>
        </w:tabs>
        <w:numPr>
          <w:ilvl w:val="0"/>
          <w:numId w:val="7"/>
        </w:numPr>
        <w:rPr>
          <w:rFonts w:ascii="Arial" w:cs="Arial" w:eastAsia="Arial" w:hAnsi="Arial"/>
          <w:sz w:val="17"/>
          <w:szCs w:val="17"/>
          <w:color w:val="auto"/>
        </w:rPr>
      </w:pPr>
      <w:r>
        <w:rPr>
          <w:rFonts w:ascii="Arial" w:cs="Arial" w:eastAsia="Arial" w:hAnsi="Arial"/>
          <w:sz w:val="17"/>
          <w:szCs w:val="17"/>
          <w:color w:val="auto"/>
        </w:rPr>
        <w:t>Amounts include contractual obligations from capacity reservation agreements, see “Note 10 - Commitments and Contingencies” for details.</w:t>
      </w:r>
    </w:p>
    <w:p>
      <w:pPr>
        <w:spacing w:after="0" w:line="7" w:lineRule="exact"/>
        <w:rPr>
          <w:rFonts w:ascii="Arial" w:cs="Arial" w:eastAsia="Arial" w:hAnsi="Arial"/>
          <w:sz w:val="17"/>
          <w:szCs w:val="17"/>
          <w:color w:val="auto"/>
        </w:rPr>
      </w:pPr>
    </w:p>
    <w:p>
      <w:pPr>
        <w:ind w:left="640" w:hanging="632"/>
        <w:spacing w:after="0"/>
        <w:tabs>
          <w:tab w:leader="none" w:pos="640" w:val="left"/>
        </w:tabs>
        <w:numPr>
          <w:ilvl w:val="0"/>
          <w:numId w:val="7"/>
        </w:numPr>
        <w:rPr>
          <w:rFonts w:ascii="Arial" w:cs="Arial" w:eastAsia="Arial" w:hAnsi="Arial"/>
          <w:sz w:val="16"/>
          <w:szCs w:val="16"/>
          <w:color w:val="auto"/>
        </w:rPr>
      </w:pPr>
      <w:r>
        <w:rPr>
          <w:rFonts w:ascii="Arial" w:cs="Arial" w:eastAsia="Arial" w:hAnsi="Arial"/>
          <w:sz w:val="16"/>
          <w:szCs w:val="16"/>
          <w:color w:val="auto"/>
        </w:rPr>
        <w:t>Amounts represent anticipated future cash payments, including anticipated interest payments not recorded in the consolidated balance sheet.</w:t>
      </w:r>
    </w:p>
    <w:p>
      <w:pPr>
        <w:spacing w:after="0" w:line="246" w:lineRule="exact"/>
        <w:rPr>
          <w:sz w:val="20"/>
          <w:szCs w:val="20"/>
          <w:color w:val="auto"/>
        </w:rPr>
      </w:pPr>
    </w:p>
    <w:p>
      <w:pPr>
        <w:ind w:right="20" w:firstLine="405"/>
        <w:spacing w:after="0" w:line="255" w:lineRule="auto"/>
        <w:rPr>
          <w:sz w:val="20"/>
          <w:szCs w:val="20"/>
          <w:color w:val="auto"/>
        </w:rPr>
      </w:pPr>
      <w:r>
        <w:rPr>
          <w:rFonts w:ascii="Arial" w:cs="Arial" w:eastAsia="Arial" w:hAnsi="Arial"/>
          <w:sz w:val="17"/>
          <w:szCs w:val="17"/>
          <w:color w:val="auto"/>
        </w:rPr>
        <w:t>In addition to the above commitments and contingencies, as of July 31, 2021, we have $29.6 million of unrecognized tax benefits as liabilities. We also have a liability for potential interest and penalties of $3.6 million as of July 31, 2021.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$2.1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2020 Term Loans. See “Note 5 - Debt” in the Notes to the Unaudited Condensed Consolidated Financial Statements for further information. A hypothetical increase or decrease in the interest rate by 1 percentage point would result in an increase or decrease in annual interest expense by approximately $17.4 million.</w:t>
      </w:r>
    </w:p>
    <w:p>
      <w:pPr>
        <w:spacing w:after="0" w:line="215"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fair value of our outstanding convertible notes is subject to interest rate risk, market risk and other factors due to convertible feature. The fair value of the convertible notes will generally increase as interest rates fall and decrease as interest rates rise. In addition, the fair value of the convertible notes will generally increase as our common stock price increases and will generally decrease as our common stock price declines in value. The interest and market value changes affect the fair value of the convertible notes but, with respect to the Inphi 2025 Convertible Notes, do not impact our financial position, cash flows or results of operations due to the fixed nature of the debt obligation. For the Inphi 2021 Convertible Notes, we elected the fair value option and carry the Inphi 2021 Convertible Notes at fair value. We hold capped calls in connection with the convertible notes. The capped calls provide for variable cash settlement based on our stock price. The capped calls qualify as derivatives and, accordingly, we measure the capped calls at fair value, with changes in fair value reported in earnings. See “Note 5 - Debt” in the Notes to the Unaudited Condensed Consolidated Financial Statements for further information.</w:t>
      </w:r>
    </w:p>
    <w:p>
      <w:pPr>
        <w:spacing w:after="0" w:line="218"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currently carry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July 31, 2021,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July 31, 2021,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July 31, 2021 that have materially affected, or are reasonably likely to materially affect, our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43" w:lineRule="exact"/>
        <w:rPr>
          <w:sz w:val="20"/>
          <w:szCs w:val="20"/>
          <w:color w:val="auto"/>
        </w:rPr>
      </w:pPr>
    </w:p>
    <w:p>
      <w:pPr>
        <w:ind w:right="18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40" w:firstLine="405"/>
        <w:spacing w:after="0" w:line="259"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228" w:lineRule="exact"/>
        <w:rPr>
          <w:sz w:val="20"/>
          <w:szCs w:val="20"/>
          <w:color w:val="auto"/>
        </w:rPr>
      </w:pPr>
    </w:p>
    <w:p>
      <w:pPr>
        <w:ind w:left="660" w:right="66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right="36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synergies, on a timely basis or at all, in connection with the Inphi merger and other strategic transactions;</w:t>
      </w:r>
    </w:p>
    <w:p>
      <w:pPr>
        <w:ind w:left="660" w:right="40" w:hanging="328"/>
        <w:spacing w:after="0" w:line="233"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jc w:val="both"/>
        <w:ind w:left="660" w:right="100" w:hanging="328"/>
        <w:spacing w:after="0" w:line="20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the impact of Brexit on the economy in the E.U., political conditions, such as the tariffs and trade restrictions with China and other foreign nations, and specific conditions in the end markets we address, including the continuing volatility in the technology sector and semiconductor industry;</w:t>
      </w:r>
    </w:p>
    <w:p>
      <w:pPr>
        <w:spacing w:after="0" w:line="2" w:lineRule="exact"/>
        <w:rPr>
          <w:rFonts w:ascii="Arial" w:cs="Arial" w:eastAsia="Arial" w:hAnsi="Arial"/>
          <w:sz w:val="22"/>
          <w:szCs w:val="22"/>
          <w:color w:val="auto"/>
        </w:rPr>
      </w:pPr>
    </w:p>
    <w:p>
      <w:pPr>
        <w:ind w:left="660" w:hanging="328"/>
        <w:spacing w:after="0" w:line="204"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3" w:lineRule="exact"/>
        <w:rPr>
          <w:rFonts w:ascii="Arial" w:cs="Arial" w:eastAsia="Arial" w:hAnsi="Arial"/>
          <w:sz w:val="22"/>
          <w:szCs w:val="22"/>
          <w:color w:val="auto"/>
        </w:rPr>
      </w:pPr>
    </w:p>
    <w:p>
      <w:pPr>
        <w:ind w:left="660" w:right="12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1"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hanging="328"/>
        <w:spacing w:after="0"/>
        <w:tabs>
          <w:tab w:leader="none" w:pos="660" w:val="left"/>
        </w:tabs>
        <w:numPr>
          <w:ilvl w:val="0"/>
          <w:numId w:val="8"/>
        </w:numPr>
        <w:rPr>
          <w:rFonts w:ascii="Arial" w:cs="Arial" w:eastAsia="Arial" w:hAnsi="Arial"/>
          <w:sz w:val="19"/>
          <w:szCs w:val="19"/>
          <w:color w:val="auto"/>
        </w:rPr>
      </w:pPr>
      <w:r>
        <w:rPr>
          <w:rFonts w:ascii="Arial" w:cs="Arial" w:eastAsia="Arial" w:hAnsi="Arial"/>
          <w:sz w:val="16"/>
          <w:szCs w:val="16"/>
          <w:color w:val="auto"/>
        </w:rPr>
        <w:t>risks related to the effects of any future acquisitions, divestitures or significant investments, such as our proposed acquisition of Innovium, Inc.;</w:t>
      </w:r>
    </w:p>
    <w:p>
      <w:pPr>
        <w:spacing w:after="0" w:line="21" w:lineRule="exact"/>
        <w:rPr>
          <w:rFonts w:ascii="Arial" w:cs="Arial" w:eastAsia="Arial" w:hAnsi="Arial"/>
          <w:sz w:val="19"/>
          <w:szCs w:val="19"/>
          <w:color w:val="auto"/>
        </w:rPr>
      </w:pPr>
    </w:p>
    <w:p>
      <w:pPr>
        <w:ind w:left="660" w:hanging="328"/>
        <w:spacing w:after="0" w:line="231" w:lineRule="auto"/>
        <w:tabs>
          <w:tab w:leader="none" w:pos="660" w:val="left"/>
        </w:tabs>
        <w:numPr>
          <w:ilvl w:val="0"/>
          <w:numId w:val="8"/>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160" w:hanging="328"/>
        <w:spacing w:after="0" w:line="213"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our manufacturing partners to produce our products;</w:t>
      </w:r>
    </w:p>
    <w:p>
      <w:pPr>
        <w:spacing w:after="0" w:line="200" w:lineRule="exact"/>
        <w:rPr>
          <w:sz w:val="20"/>
          <w:szCs w:val="20"/>
          <w:color w:val="auto"/>
        </w:rPr>
      </w:pPr>
    </w:p>
    <w:p>
      <w:pPr>
        <w:spacing w:after="0" w:line="3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60" w:hanging="328"/>
        <w:spacing w:after="0" w:line="218"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1" w:lineRule="exact"/>
        <w:rPr>
          <w:rFonts w:ascii="Arial" w:cs="Arial" w:eastAsia="Arial" w:hAnsi="Arial"/>
          <w:sz w:val="22"/>
          <w:szCs w:val="22"/>
          <w:color w:val="auto"/>
        </w:rPr>
      </w:pPr>
    </w:p>
    <w:p>
      <w:pPr>
        <w:ind w:left="660" w:hanging="328"/>
        <w:spacing w:after="0" w:line="204"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Cloud and infrastructure markets;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0" w:lineRule="exact"/>
        <w:rPr>
          <w:rFonts w:ascii="Arial" w:cs="Arial" w:eastAsia="Arial" w:hAnsi="Arial"/>
          <w:sz w:val="22"/>
          <w:szCs w:val="22"/>
          <w:color w:val="auto"/>
        </w:rPr>
      </w:pPr>
    </w:p>
    <w:p>
      <w:pPr>
        <w:ind w:left="660" w:right="700" w:hanging="328"/>
        <w:spacing w:after="0" w:line="213"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a timely and effective manner, as well as our ability to anticipate and adapt to changes in technology;</w:t>
      </w:r>
    </w:p>
    <w:p>
      <w:pPr>
        <w:ind w:left="660" w:hanging="328"/>
        <w:spacing w:after="0" w:line="204"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U.S.;</w:t>
      </w:r>
    </w:p>
    <w:p>
      <w:pPr>
        <w:spacing w:after="0" w:line="13" w:lineRule="exact"/>
        <w:rPr>
          <w:rFonts w:ascii="Arial" w:cs="Arial" w:eastAsia="Arial" w:hAnsi="Arial"/>
          <w:sz w:val="22"/>
          <w:szCs w:val="22"/>
          <w:color w:val="auto"/>
        </w:rPr>
      </w:pPr>
    </w:p>
    <w:p>
      <w:pPr>
        <w:ind w:left="660" w:right="20" w:hanging="328"/>
        <w:spacing w:after="0" w:line="218"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 including earthquakes, fires, floods, droughts, and tsunamis, particularly in certain regions in which we operate or own buildings, such as Santa Clara, California, and where our third party suppliers operate, such as Taiwan and elsewhere in the Pacific Rim;</w:t>
      </w:r>
    </w:p>
    <w:p>
      <w:pPr>
        <w:spacing w:after="0" w:line="2"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managerial, engineering, sales and marketing personnel;</w:t>
      </w:r>
    </w:p>
    <w:p>
      <w:pPr>
        <w:ind w:left="660" w:hanging="328"/>
        <w:spacing w:after="0" w:line="217" w:lineRule="auto"/>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of one or more of our major customers; and</w:t>
      </w:r>
    </w:p>
    <w:p>
      <w:pPr>
        <w:spacing w:after="0" w:line="13" w:lineRule="exact"/>
        <w:rPr>
          <w:rFonts w:ascii="Arial" w:cs="Arial" w:eastAsia="Arial" w:hAnsi="Arial"/>
          <w:sz w:val="22"/>
          <w:szCs w:val="22"/>
          <w:color w:val="auto"/>
        </w:rPr>
      </w:pPr>
    </w:p>
    <w:p>
      <w:pPr>
        <w:ind w:left="660" w:right="100" w:hanging="328"/>
        <w:spacing w:after="0" w:line="218"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7"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46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17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Although restrictions have eased in some places, the ongoing pandemic, including large</w:t>
      </w:r>
    </w:p>
    <w:p>
      <w:pPr>
        <w:ind w:right="20"/>
        <w:spacing w:after="0" w:line="226" w:lineRule="auto"/>
        <w:rPr>
          <w:sz w:val="20"/>
          <w:szCs w:val="20"/>
          <w:color w:val="auto"/>
        </w:rPr>
      </w:pPr>
      <w:r>
        <w:rPr>
          <w:rFonts w:ascii="Arial" w:cs="Arial" w:eastAsia="Arial" w:hAnsi="Arial"/>
          <w:sz w:val="18"/>
          <w:szCs w:val="18"/>
          <w:color w:val="auto"/>
        </w:rPr>
        <w:t>outbreaks, resurgences of COVID-19 in various regions (such as the U.S., various countries throughout Asia and India) and appearances of new variants of the virus, has resulted, and may continue to result, in their reinstitution. In addition, although many countries have vaccinated large segments of their population, COVID-19 continues to disrupt business activities, trade, and supply chains in many countries. We expect these impacts to continue for the foreseeable future.</w:t>
      </w:r>
    </w:p>
    <w:p>
      <w:pPr>
        <w:spacing w:after="0" w:line="217" w:lineRule="exact"/>
        <w:rPr>
          <w:sz w:val="20"/>
          <w:szCs w:val="20"/>
          <w:color w:val="auto"/>
        </w:rPr>
      </w:pPr>
    </w:p>
    <w:p>
      <w:pPr>
        <w:ind w:right="14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7"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51"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10"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w:t>
      </w:r>
    </w:p>
    <w:p>
      <w:pPr>
        <w:spacing w:after="0" w:line="198"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16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MERGER WITH INPHI</w:t>
      </w:r>
    </w:p>
    <w:p>
      <w:pPr>
        <w:spacing w:after="0" w:line="239" w:lineRule="exact"/>
        <w:rPr>
          <w:sz w:val="20"/>
          <w:szCs w:val="20"/>
          <w:color w:val="auto"/>
        </w:rPr>
      </w:pPr>
    </w:p>
    <w:p>
      <w:pPr>
        <w:ind w:right="40"/>
        <w:spacing w:after="0" w:line="248" w:lineRule="auto"/>
        <w:rPr>
          <w:sz w:val="20"/>
          <w:szCs w:val="20"/>
          <w:color w:val="auto"/>
        </w:rPr>
      </w:pPr>
      <w:r>
        <w:rPr>
          <w:rFonts w:ascii="Arial" w:cs="Arial" w:eastAsia="Arial" w:hAnsi="Arial"/>
          <w:sz w:val="18"/>
          <w:szCs w:val="18"/>
          <w:b w:val="1"/>
          <w:bCs w:val="1"/>
          <w:i w:val="1"/>
          <w:iCs w:val="1"/>
          <w:color w:val="auto"/>
        </w:rPr>
        <w:t>Our acquisition of Inphi involves a number of risks, including, among others, risks associated with our use of a significant portion of our cash and our taking on significant indebtedness, other financial risks, integration risks, and risks associated with the reactions of customers, suppliers and employees.</w:t>
      </w:r>
    </w:p>
    <w:p>
      <w:pPr>
        <w:spacing w:after="0" w:line="209"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On April 20, 2021, we completed our acquisition of Inphi. In connection with the transaction, Marvell Technology Group Ltd. became a wholly owned subsidiary of the Company and Inphi became a wholly owned subsidiary of the Company (collectively, these two transactions are referred to as the "Mergers"). In addition, as a result of the transaction, the Company is domiciled in the United States.</w:t>
      </w:r>
    </w:p>
    <w:p>
      <w:pPr>
        <w:spacing w:after="0" w:line="209"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incurrence of substantial indebtedness in connection with the financing of the Mergers has reduced our liquidity, and may limit our flexibility in responding to other business opportunities and increase our vulnerability to adverse economic and industry conditions.</w:t>
      </w:r>
    </w:p>
    <w:p>
      <w:pPr>
        <w:spacing w:after="0" w:line="198" w:lineRule="exact"/>
        <w:rPr>
          <w:sz w:val="20"/>
          <w:szCs w:val="20"/>
          <w:color w:val="auto"/>
        </w:rPr>
      </w:pPr>
    </w:p>
    <w:p>
      <w:pPr>
        <w:ind w:right="380" w:firstLine="405"/>
        <w:spacing w:after="0" w:line="324" w:lineRule="auto"/>
        <w:rPr>
          <w:sz w:val="20"/>
          <w:szCs w:val="20"/>
          <w:color w:val="auto"/>
        </w:rPr>
      </w:pPr>
      <w:r>
        <w:rPr>
          <w:rFonts w:ascii="Arial" w:cs="Arial" w:eastAsia="Arial" w:hAnsi="Arial"/>
          <w:sz w:val="16"/>
          <w:szCs w:val="16"/>
          <w:color w:val="auto"/>
        </w:rPr>
        <w:t>The benefits we expect to realize from the Mergers will depend, in part, on our ability to integrate the businesses successfully and efficiently. See also, “</w:t>
      </w:r>
      <w:r>
        <w:rPr>
          <w:rFonts w:ascii="Arial" w:cs="Arial" w:eastAsia="Arial" w:hAnsi="Arial"/>
          <w:sz w:val="16"/>
          <w:szCs w:val="16"/>
          <w:i w:val="1"/>
          <w:iCs w:val="1"/>
          <w:color w:val="auto"/>
        </w:rPr>
        <w:t>Failure to successfully integrate the businesses of Marvell and Inphi in the expected time frame may adversely affect our future results</w:t>
      </w:r>
      <w:r>
        <w:rPr>
          <w:rFonts w:ascii="Arial" w:cs="Arial" w:eastAsia="Arial" w:hAnsi="Arial"/>
          <w:sz w:val="16"/>
          <w:szCs w:val="16"/>
          <w:color w:val="auto"/>
        </w:rPr>
        <w:t>.”</w:t>
      </w:r>
    </w:p>
    <w:p>
      <w:pPr>
        <w:spacing w:after="0" w:line="151"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Furthermore, uncertainties with respect to integration related to the Mergers may cause our current and prospective employees to experience uncertainty about their futures. These uncertainties may impair our ability to retain, recruit or motivate key management, engineering, technical and other personnel. Similarly, our existing or prospective customers, licensees, suppliers and/or partners may delay, defer or cease purchasing products or services from or providing products or services to us; delay or defer other decisions concerning us; or otherwise seek to change the terms on which they do business with us. Any of the above could harm us, and thus decrease the benefits we expect to receive from the Mergers.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The Mergers may also result in significant charges or other liabilities, including taxes, that could adversely affect our results of operations, such as cash expenses and non-cash accounting charges incurred in connection with the acquisition and/or integration of the business and operations of Marvell and Inphi. The amount and timing of these possible charges are not yet known. Further, our failure to identify or accurately assess the magnitude of certain liabilities we are assuming in the transaction could result in unexpected litigation or regulatory exposure, unfavorable accounting charges, unexpected increases in taxes due, a loss of anticipated tax benefits or other adverse effects on our business, results of operations, financial condition or cash flows.</w:t>
      </w:r>
    </w:p>
    <w:p>
      <w:pPr>
        <w:spacing w:after="0" w:line="186"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Failure to successfully integrate the businesses of </w:t>
      </w:r>
      <w:r>
        <w:rPr>
          <w:rFonts w:ascii="Arial" w:cs="Arial" w:eastAsia="Arial" w:hAnsi="Arial"/>
          <w:sz w:val="17"/>
          <w:szCs w:val="17"/>
          <w:b w:val="1"/>
          <w:bCs w:val="1"/>
          <w:i w:val="1"/>
          <w:iCs w:val="1"/>
          <w:color w:val="231F20"/>
        </w:rPr>
        <w:t>Marvell</w:t>
      </w:r>
      <w:r>
        <w:rPr>
          <w:rFonts w:ascii="Arial" w:cs="Arial" w:eastAsia="Arial" w:hAnsi="Arial"/>
          <w:sz w:val="17"/>
          <w:szCs w:val="17"/>
          <w:b w:val="1"/>
          <w:bCs w:val="1"/>
          <w:i w:val="1"/>
          <w:iCs w:val="1"/>
          <w:color w:val="auto"/>
        </w:rPr>
        <w:t xml:space="preserve"> and Inphi in the expected time frame may adversely affect our future results.</w:t>
      </w:r>
    </w:p>
    <w:p>
      <w:pPr>
        <w:spacing w:after="0" w:line="250" w:lineRule="exact"/>
        <w:rPr>
          <w:sz w:val="20"/>
          <w:szCs w:val="20"/>
          <w:color w:val="auto"/>
        </w:rPr>
      </w:pPr>
    </w:p>
    <w:p>
      <w:pPr>
        <w:ind w:firstLine="441"/>
        <w:spacing w:after="0" w:line="255" w:lineRule="auto"/>
        <w:rPr>
          <w:sz w:val="20"/>
          <w:szCs w:val="20"/>
          <w:color w:val="auto"/>
        </w:rPr>
      </w:pPr>
      <w:r>
        <w:rPr>
          <w:rFonts w:ascii="Arial" w:cs="Arial" w:eastAsia="Arial" w:hAnsi="Arial"/>
          <w:sz w:val="17"/>
          <w:szCs w:val="17"/>
          <w:color w:val="auto"/>
        </w:rPr>
        <w:t>We entered into the Merger Agreement with Inphi with the expectation that the Mergers will result in various benefits to us, including certain cost savings and operational efficiencies or synergies. To realize these anticipated benefits, the businesses of Marvell and Inphi must be successfully integrated. Historically, Marvell and Inphi have been independent companies, and they were operated as such until the completion of the Mergers. The integration may be complex and time consuming and may require substantial resources and effort. Our management may face significant challenges in consolidating the operations of Marvell and Inphi, integrating the technologies, procedures, and policies, as well as addressing the different corporate cultures of the two companies and retaining key personnel. If the companies are not successfully integrated, the anticipated benefits of the Mergers may not be realized fully or at all or may take longer to realize than expected.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39"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98" w:lineRule="exact"/>
        <w:rPr>
          <w:sz w:val="20"/>
          <w:szCs w:val="20"/>
          <w:color w:val="auto"/>
        </w:rPr>
      </w:pPr>
    </w:p>
    <w:p>
      <w:pPr>
        <w:jc w:val="both"/>
        <w:ind w:right="140" w:firstLine="405"/>
        <w:spacing w:after="0" w:line="270"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02" w:lineRule="exact"/>
        <w:rPr>
          <w:sz w:val="20"/>
          <w:szCs w:val="20"/>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On September 19, 2019, we completed the acquisition of Aquantia Corp. (“Aquantia”);</w:t>
      </w:r>
    </w:p>
    <w:p>
      <w:pPr>
        <w:spacing w:after="0" w:line="188" w:lineRule="exact"/>
        <w:rPr>
          <w:rFonts w:ascii="Arial" w:cs="Arial" w:eastAsia="Arial" w:hAnsi="Arial"/>
          <w:sz w:val="22"/>
          <w:szCs w:val="22"/>
          <w:color w:val="auto"/>
        </w:rPr>
      </w:pPr>
    </w:p>
    <w:p>
      <w:pPr>
        <w:ind w:left="660" w:right="420" w:hanging="328"/>
        <w:spacing w:after="0" w:line="197"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w:t>
      </w:r>
    </w:p>
    <w:p>
      <w:pPr>
        <w:spacing w:after="0" w:line="166" w:lineRule="exact"/>
        <w:rPr>
          <w:rFonts w:ascii="Arial" w:cs="Arial" w:eastAsia="Arial" w:hAnsi="Arial"/>
          <w:sz w:val="22"/>
          <w:szCs w:val="22"/>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On December 6, 2019, we sold NXP USA, Inc. certain assets related to our Wi-Fi Connectivity business;</w:t>
      </w:r>
    </w:p>
    <w:p>
      <w:pPr>
        <w:spacing w:after="0" w:line="165" w:lineRule="exact"/>
        <w:rPr>
          <w:rFonts w:ascii="Arial" w:cs="Arial" w:eastAsia="Arial" w:hAnsi="Arial"/>
          <w:sz w:val="22"/>
          <w:szCs w:val="22"/>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On April 20, 2021, we completed the acquisition of Inphi; and</w:t>
      </w:r>
    </w:p>
    <w:p>
      <w:pPr>
        <w:spacing w:after="0" w:line="192" w:lineRule="exact"/>
        <w:rPr>
          <w:rFonts w:ascii="Arial" w:cs="Arial" w:eastAsia="Arial" w:hAnsi="Arial"/>
          <w:sz w:val="22"/>
          <w:szCs w:val="22"/>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On August 3, 2021, we announced the potential acquisition of Innovium, Inc. (which is subject to customary closing conditions).</w:t>
      </w:r>
    </w:p>
    <w:p>
      <w:pPr>
        <w:spacing w:after="0" w:line="215"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Mergers, acquisitions and divestitures include a number of risks and present financial, managerial and operational challenges.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209"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shares to finance an acquisition, such as our proposed acquisition of Innovium, will result in an increase in the number of outstanding shares and will reduce the ownership percentage of each of our outstanding stockholders.</w:t>
      </w:r>
    </w:p>
    <w:p>
      <w:pPr>
        <w:spacing w:after="0" w:line="188"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both"/>
        <w:ind w:right="180" w:firstLine="405"/>
        <w:spacing w:after="0" w:line="248"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09"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198"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w:t>
      </w:r>
    </w:p>
    <w:p>
      <w:pPr>
        <w:spacing w:after="0" w:line="198"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We used a significant portion of our cash and incurred substantial indebtedness in connection with the financing of our acquisition of Cavium, which was completed in fiscal year 2019. In fiscal year 2020, we used cash and indebtedness to finance our acquisition of Aquantia and indebtedness to finance our acquisition of Avera. As of December 11, 2019, we repaid the entire amount of the indebtedness related to the Aquantia and Avera acquisitions. In addition, we used a significant portion of our cash and incurred substantial indebtedness in connection with the financing of our acquisition of Inphi, which was completed in fiscal year 2022. Our use of cash to fund our current and future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360"/>
        <w:spacing w:after="0" w:line="250" w:lineRule="auto"/>
        <w:rPr>
          <w:sz w:val="20"/>
          <w:szCs w:val="20"/>
          <w:color w:val="auto"/>
        </w:rPr>
      </w:pPr>
      <w:r>
        <w:rPr>
          <w:rFonts w:ascii="Arial" w:cs="Arial" w:eastAsia="Arial" w:hAnsi="Arial"/>
          <w:sz w:val="18"/>
          <w:szCs w:val="18"/>
          <w:b w:val="1"/>
          <w:bCs w:val="1"/>
          <w:color w:val="auto"/>
        </w:rPr>
        <w:t>We rely on our manufacturing 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8"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manufacturing partners to produce our products. We also currently rely on several third-party assembly and test subcontractors to assemble, package and test our products. This exposes us to a variety of risks, including the following:</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25" w:lineRule="exact"/>
        <w:rPr>
          <w:sz w:val="20"/>
          <w:szCs w:val="20"/>
          <w:color w:val="auto"/>
        </w:rPr>
      </w:pPr>
    </w:p>
    <w:p>
      <w:pPr>
        <w:ind w:firstLine="405"/>
        <w:spacing w:after="0" w:line="264"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Taiwan and Canada. Because of the geographic concentration of most of these third-party foundries, as well as our assembly and test</w:t>
      </w:r>
    </w:p>
    <w:p>
      <w:pPr>
        <w:spacing w:after="0" w:line="1" w:lineRule="exact"/>
        <w:rPr>
          <w:sz w:val="20"/>
          <w:szCs w:val="20"/>
          <w:color w:val="auto"/>
        </w:rPr>
      </w:pPr>
    </w:p>
    <w:p>
      <w:pPr>
        <w:spacing w:after="0" w:line="237" w:lineRule="auto"/>
        <w:rPr>
          <w:sz w:val="20"/>
          <w:szCs w:val="20"/>
          <w:color w:val="auto"/>
        </w:rPr>
      </w:pPr>
      <w:r>
        <w:rPr>
          <w:rFonts w:ascii="Arial" w:cs="Arial" w:eastAsia="Arial" w:hAnsi="Arial"/>
          <w:sz w:val="17"/>
          <w:szCs w:val="17"/>
          <w:color w:val="auto"/>
        </w:rPr>
        <w:t>subcontractors, we are exposed to the risk that their operations may be disrupted by regional disasters including, for example, droughts,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25" w:lineRule="exact"/>
        <w:rPr>
          <w:sz w:val="20"/>
          <w:szCs w:val="20"/>
          <w:color w:val="auto"/>
        </w:rPr>
      </w:pPr>
    </w:p>
    <w:p>
      <w:pPr>
        <w:ind w:right="20" w:firstLine="405"/>
        <w:spacing w:after="0" w:line="254" w:lineRule="auto"/>
        <w:rPr>
          <w:sz w:val="20"/>
          <w:szCs w:val="20"/>
          <w:color w:val="auto"/>
        </w:rPr>
      </w:pPr>
      <w:r>
        <w:rPr>
          <w:rFonts w:ascii="Arial" w:cs="Arial" w:eastAsia="Arial" w:hAnsi="Arial"/>
          <w:sz w:val="16"/>
          <w:szCs w:val="16"/>
          <w:color w:val="auto"/>
        </w:rPr>
        <w:t>The ability of each of our manufacturing partners to provide us with semiconductor devices is limited by its available capacity and existing obligations. When demand is strong, availability of our partners' capacity may be constrained or not available, and with limited exceptions such as our wafer supply capacity reservation agreement with one of our suppliers,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manufacturing partners may induce them to reallocate capacity to those customers. Most of our</w:t>
      </w:r>
    </w:p>
    <w:p>
      <w:pPr>
        <w:spacing w:after="0" w:line="1" w:lineRule="exact"/>
        <w:rPr>
          <w:sz w:val="20"/>
          <w:szCs w:val="20"/>
          <w:color w:val="auto"/>
        </w:rPr>
      </w:pPr>
    </w:p>
    <w:p>
      <w:pPr>
        <w:spacing w:after="0" w:line="255" w:lineRule="auto"/>
        <w:rPr>
          <w:sz w:val="20"/>
          <w:szCs w:val="20"/>
          <w:color w:val="auto"/>
        </w:rPr>
      </w:pPr>
      <w:r>
        <w:rPr>
          <w:rFonts w:ascii="Arial" w:cs="Arial" w:eastAsia="Arial" w:hAnsi="Arial"/>
          <w:sz w:val="16"/>
          <w:szCs w:val="16"/>
          <w:color w:val="auto"/>
        </w:rPr>
        <w:t>manufacturing partners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w:t>
      </w:r>
      <w:r>
        <w:rPr>
          <w:rFonts w:ascii="Arial" w:cs="Arial" w:eastAsia="Arial" w:hAnsi="Arial"/>
          <w:sz w:val="16"/>
          <w:szCs w:val="16"/>
          <w:color w:val="auto"/>
        </w:rPr>
        <w:t xml:space="preserve"> </w:t>
      </w:r>
      <w:r>
        <w:rPr>
          <w:rFonts w:ascii="Arial" w:cs="Arial" w:eastAsia="Arial" w:hAnsi="Arial"/>
          <w:sz w:val="16"/>
          <w:szCs w:val="16"/>
          <w:i w:val="1"/>
          <w:iCs w:val="1"/>
          <w:color w:val="auto"/>
        </w:rPr>
        <w:t>design integration, which may result in reduced manufacturing yields, delays in product deliveries and increased expenses.</w:t>
      </w:r>
      <w:r>
        <w:rPr>
          <w:rFonts w:ascii="Arial" w:cs="Arial" w:eastAsia="Arial" w:hAnsi="Arial"/>
          <w:sz w:val="16"/>
          <w:szCs w:val="16"/>
          <w:color w:val="auto"/>
        </w:rPr>
        <w:t>” Moreover, if any of our third-party manufacturing partners or other suppliers are unable to secure the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4"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For example, in response to growth in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challenges have in the past, and may in the future, limit our ability to fully satisfy the increase in demand for some of our products.</w:t>
      </w:r>
    </w:p>
    <w:p>
      <w:pPr>
        <w:spacing w:after="0" w:line="215"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 In addition, our testing and assembly partners may be single sourced and it may be difficult for us to transition to other partners for these services.</w:t>
      </w:r>
    </w:p>
    <w:p>
      <w:pPr>
        <w:spacing w:after="0" w:line="203" w:lineRule="exact"/>
        <w:rPr>
          <w:sz w:val="20"/>
          <w:szCs w:val="20"/>
          <w:color w:val="auto"/>
        </w:rPr>
      </w:pPr>
    </w:p>
    <w:p>
      <w:pPr>
        <w:ind w:right="20" w:firstLine="405"/>
        <w:spacing w:after="0" w:line="252" w:lineRule="auto"/>
        <w:rPr>
          <w:sz w:val="20"/>
          <w:szCs w:val="20"/>
          <w:color w:val="auto"/>
        </w:rPr>
      </w:pPr>
      <w:r>
        <w:rPr>
          <w:rFonts w:ascii="Arial" w:cs="Arial" w:eastAsia="Arial" w:hAnsi="Arial"/>
          <w:sz w:val="16"/>
          <w:szCs w:val="16"/>
          <w:color w:val="auto"/>
        </w:rPr>
        <w:t>In order to secure sufficient capacity when demand is high and to mitigate the risks described in the foregoing paragraph, we may enter into various arrangements with our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any such arrangement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 For example, on July 13, 2021, the Company entered into a wafer supply capacity reservation agreement with a supplier to reserve manufacturing supply capacity due to the current global supply shortage environment. Under the agreement, the Company has agreed to pay certain fees as well as to meet an annual wafer purchase commitment in exchange for the supplier's guarantee to produce a specific minimum quantity of wafers for each of the calendar years from 2022 through 2025. In addition, subsequent to quarter end the Company entered into a capacity reservation agreement with another supplier to reserve additional materials, assembly, and test capacity. Under the agreement, the Company is required to make certain refundable deposits and to meet annual purchase commitments for calendar years from 2022 through 2026 in exchange for the supplier’s guarantee to produce material and reserve capacity for a minimum quantity of devices.</w:t>
      </w:r>
    </w:p>
    <w:p>
      <w:pPr>
        <w:spacing w:after="0" w:line="193" w:lineRule="exact"/>
        <w:rPr>
          <w:sz w:val="20"/>
          <w:szCs w:val="20"/>
          <w:color w:val="auto"/>
        </w:rPr>
      </w:pPr>
    </w:p>
    <w:p>
      <w:pPr>
        <w:ind w:right="140" w:firstLine="414"/>
        <w:spacing w:after="0" w:line="225" w:lineRule="auto"/>
        <w:rPr>
          <w:sz w:val="20"/>
          <w:szCs w:val="20"/>
          <w:color w:val="auto"/>
        </w:rPr>
      </w:pPr>
      <w:r>
        <w:rPr>
          <w:rFonts w:ascii="Arial" w:cs="Arial" w:eastAsia="Arial" w:hAnsi="Arial"/>
          <w:sz w:val="18"/>
          <w:szCs w:val="18"/>
          <w:color w:val="auto"/>
        </w:rPr>
        <w:t>Recent supply shortages in the semiconductor industry of multi-layer complex substrates, IC packaging capacity and fab constraints have resulted in increased lead times, inability to meet demand, and increased costs during calendar 2020, and these supply constraints are currently expected to continue throughout calendar 2021 and into calendar 2022. Of these shortages, ABF substrates are the most constrained at this time and most of these suppliers are located in Japan and Taiwan. Because of the geographic concentration of these suppliers,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20" w:firstLine="405"/>
        <w:spacing w:after="0" w:line="291" w:lineRule="auto"/>
        <w:rPr>
          <w:sz w:val="20"/>
          <w:szCs w:val="20"/>
          <w:color w:val="auto"/>
        </w:rPr>
      </w:pPr>
      <w:r>
        <w:rPr>
          <w:rFonts w:ascii="Arial" w:cs="Arial" w:eastAsia="Arial" w:hAnsi="Arial"/>
          <w:sz w:val="17"/>
          <w:szCs w:val="17"/>
          <w:color w:val="auto"/>
        </w:rPr>
        <w:t>To the extent that we rely on outside manufacturing partners, we may have a reduced ability to directly control product delivery schedules and quality assurance, which could result in product shortages or quality assurance problems that could delay shipments or increase costs.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jc w:val="both"/>
        <w:ind w:right="24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82" w:lineRule="exact"/>
        <w:rPr>
          <w:sz w:val="20"/>
          <w:szCs w:val="20"/>
          <w:color w:val="auto"/>
        </w:rPr>
      </w:pPr>
    </w:p>
    <w:p>
      <w:pPr>
        <w:jc w:val="both"/>
        <w:ind w:right="28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95"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54" w:lineRule="exact"/>
        <w:rPr>
          <w:sz w:val="20"/>
          <w:szCs w:val="20"/>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3"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55" w:lineRule="exact"/>
        <w:rPr>
          <w:rFonts w:ascii="Arial" w:cs="Arial" w:eastAsia="Arial" w:hAnsi="Arial"/>
          <w:sz w:val="22"/>
          <w:szCs w:val="22"/>
          <w:color w:val="auto"/>
        </w:rPr>
      </w:pPr>
    </w:p>
    <w:p>
      <w:pPr>
        <w:ind w:left="660" w:hanging="328"/>
        <w:spacing w:after="0" w:line="231" w:lineRule="auto"/>
        <w:tabs>
          <w:tab w:leader="none" w:pos="655" w:val="left"/>
        </w:tabs>
        <w:numPr>
          <w:ilvl w:val="0"/>
          <w:numId w:val="11"/>
        </w:numPr>
        <w:rPr>
          <w:rFonts w:ascii="Arial" w:cs="Arial" w:eastAsia="Arial" w:hAnsi="Arial"/>
          <w:sz w:val="21"/>
          <w:szCs w:val="21"/>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17"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195" w:lineRule="exact"/>
        <w:rPr>
          <w:sz w:val="20"/>
          <w:szCs w:val="20"/>
          <w:color w:val="auto"/>
        </w:rPr>
      </w:pPr>
    </w:p>
    <w:p>
      <w:pPr>
        <w:ind w:right="60" w:firstLine="405"/>
        <w:spacing w:after="0" w:line="255"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6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“Research and Development” under Results of Operations.</w:t>
      </w:r>
    </w:p>
    <w:p>
      <w:pPr>
        <w:spacing w:after="0" w:line="170"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80" w:lineRule="exact"/>
        <w:rPr>
          <w:sz w:val="20"/>
          <w:szCs w:val="20"/>
          <w:color w:val="auto"/>
        </w:rPr>
      </w:pPr>
    </w:p>
    <w:p>
      <w:pPr>
        <w:ind w:right="20" w:firstLine="405"/>
        <w:spacing w:after="0" w:line="256"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206"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7" w:lineRule="exact"/>
        <w:rPr>
          <w:sz w:val="20"/>
          <w:szCs w:val="20"/>
          <w:color w:val="auto"/>
        </w:rPr>
      </w:pPr>
    </w:p>
    <w:p>
      <w:pPr>
        <w:jc w:val="both"/>
        <w:spacing w:after="0" w:line="250" w:lineRule="auto"/>
        <w:rPr>
          <w:sz w:val="20"/>
          <w:szCs w:val="20"/>
          <w:color w:val="auto"/>
        </w:rPr>
      </w:pPr>
      <w:r>
        <w:rPr>
          <w:rFonts w:ascii="Arial" w:cs="Arial" w:eastAsia="Arial" w:hAnsi="Arial"/>
          <w:sz w:val="18"/>
          <w:szCs w:val="18"/>
          <w:b w:val="1"/>
          <w:bCs w:val="1"/>
          <w:color w:val="333333"/>
        </w:rPr>
        <w:t>Some of our customers require our products and our third-party contractors to undergo a lengthy and expensive qualification process which does not assure product sales. If we are unsuccessful or delayed in qualifying these products with a customer, our business and operating results would suffer.</w:t>
      </w:r>
    </w:p>
    <w:p>
      <w:pPr>
        <w:spacing w:after="0" w:line="208" w:lineRule="exact"/>
        <w:rPr>
          <w:sz w:val="20"/>
          <w:szCs w:val="20"/>
          <w:color w:val="auto"/>
        </w:rPr>
      </w:pPr>
    </w:p>
    <w:p>
      <w:pPr>
        <w:ind w:right="20" w:firstLine="405"/>
        <w:spacing w:after="0" w:line="271"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contractors undergo extensive qualification processes, which involve testing of our products in the customers’ systems, as well as testing for reliability. This qualification process may take several months and qualification of a product by a customer does not assure any sales of the product to that customer. Even after successful qualification and sales of a product to a customer, a subsequent revision in our third party contractors’ manufacturing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29" w:lineRule="exact"/>
        <w:rPr>
          <w:sz w:val="20"/>
          <w:szCs w:val="20"/>
          <w:color w:val="auto"/>
        </w:rPr>
      </w:pPr>
    </w:p>
    <w:p>
      <w:pPr>
        <w:ind w:right="120" w:firstLine="405"/>
        <w:spacing w:after="0" w:line="237" w:lineRule="auto"/>
        <w:rPr>
          <w:sz w:val="20"/>
          <w:szCs w:val="20"/>
          <w:color w:val="auto"/>
        </w:rPr>
      </w:pPr>
      <w:r>
        <w:rPr>
          <w:rFonts w:ascii="Arial" w:cs="Arial" w:eastAsia="Arial" w:hAnsi="Arial"/>
          <w:sz w:val="17"/>
          <w:szCs w:val="17"/>
          <w:color w:val="auto"/>
        </w:rPr>
        <w:t>We make highly complex electronic components and, accordingly, there is a risk of defects in any of our products. Such defects can give rise to the significant costs noted below. Moreover, since the cost of replacing defective semiconductor devices is often much higher than the value of the devices themselves, we are subject to damage claims from customers in excess of the amounts they pay us for our products, including consequential damages. We also face exposure to potential liability resulting from the fact that our customers typically integrate the semiconductors we sell into numerous consumer products, including automobiles. We are exposed to product liability claims if our semiconductors. or the consumer products integrated with our semiconductors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203" w:lineRule="exact"/>
        <w:rPr>
          <w:sz w:val="20"/>
          <w:szCs w:val="20"/>
          <w:color w:val="auto"/>
        </w:rPr>
      </w:pPr>
    </w:p>
    <w:p>
      <w:pPr>
        <w:ind w:right="160"/>
        <w:spacing w:after="0" w:line="246"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224" w:lineRule="exact"/>
        <w:rPr>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00" w:lineRule="exact"/>
        <w:rPr>
          <w:sz w:val="20"/>
          <w:szCs w:val="20"/>
          <w:color w:val="auto"/>
        </w:rPr>
      </w:pPr>
    </w:p>
    <w:p>
      <w:pPr>
        <w:spacing w:after="0" w:line="3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6"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4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5"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8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6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Sales to an increasing number of our customers require licenses in order for us to export our products; there can be no assurances that such licenses will be approved by the U.S. Government. For example, we have received notices from the U.S. government that it intends to deny some of our requests for licenses.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has adopted a new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which may also be impacted by export restrictions. Customers in China may also choose to develop indigenous solutions, as replacements for products that are subject to U.S. export controls. So far in calendar 2021, new restrictions have been implemented which may further impact our business. If export restrictions related to Chinese customers are sustained for a long period of time, or increased, or if other export restrictions are imposed, including restrictions on trade with other countries, it will have an adverse impact on our revenues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186" w:lineRule="exact"/>
        <w:rPr>
          <w:sz w:val="20"/>
          <w:szCs w:val="20"/>
          <w:color w:val="auto"/>
        </w:rPr>
      </w:pPr>
    </w:p>
    <w:p>
      <w:pPr>
        <w:ind w:right="38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405"/>
        <w:spacing w:after="0" w:line="251"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current U.S. presidential administration’s policy goals are not fully understood yet, but such policies may include some changes to the status quo, which may cause damage to our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 government in connection with trade with China have</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reduced the demand for our products and damaged our business” </w:t>
      </w:r>
      <w:r>
        <w:rPr>
          <w:rFonts w:ascii="Arial" w:cs="Arial" w:eastAsia="Arial" w:hAnsi="Arial"/>
          <w:sz w:val="17"/>
          <w:szCs w:val="17"/>
          <w:color w:val="auto"/>
        </w:rPr>
        <w:t>and</w:t>
      </w:r>
      <w:r>
        <w:rPr>
          <w:rFonts w:ascii="Arial" w:cs="Arial" w:eastAsia="Arial" w:hAnsi="Arial"/>
          <w:sz w:val="17"/>
          <w:szCs w:val="17"/>
          <w:i w:val="1"/>
          <w:iCs w:val="1"/>
          <w:color w:val="auto"/>
        </w:rPr>
        <w:t xml:space="preserve"> “Changes in existing taxation benefits, rules or practices may adversely affect our financial results</w:t>
      </w:r>
      <w:r>
        <w:rPr>
          <w:rFonts w:ascii="Arial" w:cs="Arial" w:eastAsia="Arial" w:hAnsi="Arial"/>
          <w:sz w:val="17"/>
          <w:szCs w:val="17"/>
          <w:color w:val="auto"/>
        </w:rPr>
        <w:t>.”</w:t>
      </w:r>
    </w:p>
    <w:p>
      <w:pPr>
        <w:spacing w:after="0" w:line="208" w:lineRule="exact"/>
        <w:rPr>
          <w:sz w:val="20"/>
          <w:szCs w:val="20"/>
          <w:color w:val="auto"/>
        </w:rPr>
      </w:pPr>
    </w:p>
    <w:p>
      <w:pPr>
        <w:ind w:right="6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140" w:firstLine="405"/>
        <w:spacing w:after="0" w:line="276"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In addition, our primary assembly and test subcontractors are located in the Pacific Rim region. As a result, disruptions affecting the operations of our suppliers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80% and 79% of our net revenue in the three months ended July 31, 2021 and August 1, 2020, respectively.</w:t>
      </w:r>
    </w:p>
    <w:p>
      <w:pPr>
        <w:spacing w:after="0" w:line="188" w:lineRule="exact"/>
        <w:rPr>
          <w:sz w:val="20"/>
          <w:szCs w:val="20"/>
          <w:color w:val="auto"/>
        </w:rPr>
      </w:pPr>
    </w:p>
    <w:p>
      <w:pPr>
        <w:ind w:right="40"/>
        <w:spacing w:after="0" w:line="243"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80" w:hanging="328"/>
        <w:spacing w:after="0" w:line="261" w:lineRule="auto"/>
        <w:tabs>
          <w:tab w:leader="none" w:pos="6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4"/>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right="42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202" w:lineRule="exact"/>
        <w:rPr>
          <w:rFonts w:ascii="Arial" w:cs="Arial" w:eastAsia="Arial" w:hAnsi="Arial"/>
          <w:sz w:val="20"/>
          <w:szCs w:val="20"/>
          <w:color w:val="auto"/>
        </w:rPr>
      </w:pPr>
    </w:p>
    <w:p>
      <w:pPr>
        <w:ind w:left="660" w:right="70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2"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51"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241" w:lineRule="exact"/>
        <w:rPr>
          <w:sz w:val="20"/>
          <w:szCs w:val="20"/>
          <w:color w:val="auto"/>
        </w:rPr>
      </w:pPr>
    </w:p>
    <w:p>
      <w:pPr>
        <w:ind w:firstLine="405"/>
        <w:spacing w:after="0" w:line="235" w:lineRule="auto"/>
        <w:rPr>
          <w:sz w:val="20"/>
          <w:szCs w:val="20"/>
          <w:color w:val="auto"/>
        </w:rPr>
      </w:pPr>
      <w:r>
        <w:rPr>
          <w:rFonts w:ascii="Arial" w:cs="Arial" w:eastAsia="Arial" w:hAnsi="Arial"/>
          <w:sz w:val="17"/>
          <w:szCs w:val="17"/>
          <w:color w:val="auto"/>
        </w:rPr>
        <w:t>Markets for our 5G and Cloud products may not develop in the manner or in the time periods we anticipate. If domestic and global economic conditions worsen, particularly in light of the impacts of the COVID-19 pandemic and potential global recession resulting therefrom,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7"/>
          <w:szCs w:val="17"/>
          <w:color w:val="333333"/>
        </w:rPr>
        <w:t>s a result of the fact that the markets for 5G and Cloud are not yet fully developed, demand for these</w:t>
      </w:r>
      <w:r>
        <w:rPr>
          <w:rFonts w:ascii="Arial" w:cs="Arial" w:eastAsia="Arial" w:hAnsi="Arial"/>
          <w:sz w:val="17"/>
          <w:szCs w:val="17"/>
          <w:color w:val="auto"/>
        </w:rPr>
        <w:t xml:space="preserve"> </w:t>
      </w:r>
      <w:r>
        <w:rPr>
          <w:rFonts w:ascii="Arial" w:cs="Arial" w:eastAsia="Arial" w:hAnsi="Arial"/>
          <w:sz w:val="17"/>
          <w:szCs w:val="17"/>
          <w:color w:val="333333"/>
        </w:rPr>
        <w:t xml:space="preserve">products may be unpredictable and may vary significantly from one period to another. </w:t>
      </w:r>
      <w:r>
        <w:rPr>
          <w:rFonts w:ascii="Arial" w:cs="Arial" w:eastAsia="Arial" w:hAnsi="Arial"/>
          <w:sz w:val="17"/>
          <w:szCs w:val="17"/>
          <w:color w:val="000000"/>
        </w:rPr>
        <w:t>See also, “</w:t>
      </w:r>
      <w:r>
        <w:rPr>
          <w:rFonts w:ascii="Arial" w:cs="Arial" w:eastAsia="Arial" w:hAnsi="Arial"/>
          <w:sz w:val="17"/>
          <w:szCs w:val="17"/>
          <w:i w:val="1"/>
          <w:iCs w:val="1"/>
          <w:color w:val="000000"/>
        </w:rPr>
        <w:t>Our sales are concentrated in a few large customers. If we</w:t>
      </w:r>
      <w:r>
        <w:rPr>
          <w:rFonts w:ascii="Arial" w:cs="Arial" w:eastAsia="Arial" w:hAnsi="Arial"/>
          <w:sz w:val="17"/>
          <w:szCs w:val="17"/>
          <w:color w:val="333333"/>
        </w:rPr>
        <w:t xml:space="preserve"> </w:t>
      </w:r>
      <w:r>
        <w:rPr>
          <w:rFonts w:ascii="Arial" w:cs="Arial" w:eastAsia="Arial" w:hAnsi="Arial"/>
          <w:sz w:val="17"/>
          <w:szCs w:val="17"/>
          <w:i w:val="1"/>
          <w:iCs w:val="1"/>
          <w:color w:val="000000"/>
        </w:rPr>
        <w:t>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7"/>
          <w:szCs w:val="17"/>
          <w:color w:val="000000"/>
        </w:rPr>
        <w:t>” See also, “</w:t>
      </w:r>
      <w:r>
        <w:rPr>
          <w:rFonts w:ascii="Arial" w:cs="Arial" w:eastAsia="Arial" w:hAnsi="Arial"/>
          <w:sz w:val="17"/>
          <w:szCs w:val="17"/>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7"/>
          <w:szCs w:val="17"/>
          <w:color w:val="000000"/>
        </w:rPr>
        <w:t>for additional risks related to export restrictions that may impact certain</w:t>
      </w:r>
      <w:r>
        <w:rPr>
          <w:rFonts w:ascii="Arial" w:cs="Arial" w:eastAsia="Arial" w:hAnsi="Arial"/>
          <w:sz w:val="17"/>
          <w:szCs w:val="17"/>
          <w:i w:val="1"/>
          <w:iCs w:val="1"/>
          <w:color w:val="000000"/>
        </w:rPr>
        <w:t xml:space="preserve"> </w:t>
      </w:r>
      <w:r>
        <w:rPr>
          <w:rFonts w:ascii="Arial" w:cs="Arial" w:eastAsia="Arial" w:hAnsi="Arial"/>
          <w:sz w:val="17"/>
          <w:szCs w:val="17"/>
          <w:color w:val="000000"/>
        </w:rPr>
        <w:t>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40" w:firstLine="405"/>
        <w:spacing w:after="0" w:line="238" w:lineRule="auto"/>
        <w:rPr>
          <w:sz w:val="20"/>
          <w:szCs w:val="20"/>
          <w:color w:val="auto"/>
        </w:rPr>
      </w:pPr>
      <w:r>
        <w:rPr>
          <w:rFonts w:ascii="Arial" w:cs="Arial" w:eastAsia="Arial" w:hAnsi="Arial"/>
          <w:sz w:val="18"/>
          <w:szCs w:val="18"/>
          <w:color w:val="auto"/>
        </w:rPr>
        <w:t>We receive a significant amount of our revenue from a limited number of customers. For example, during fiscal 2021, there was one distributor, whose revenue as a percentage of our net revenue was 10% or greater of total net revenues. In addition, net revenue from our ten (10) largest customers, including distributors, represented 66% of our net revenue for the fiscal year ended January 30, 2021.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18"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40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202" w:lineRule="exact"/>
        <w:rPr>
          <w:rFonts w:ascii="Arial" w:cs="Arial" w:eastAsia="Arial" w:hAnsi="Arial"/>
          <w:sz w:val="20"/>
          <w:szCs w:val="20"/>
          <w:color w:val="auto"/>
        </w:rPr>
      </w:pPr>
    </w:p>
    <w:p>
      <w:pPr>
        <w:ind w:left="660" w:right="320" w:hanging="328"/>
        <w:spacing w:after="0" w:line="277" w:lineRule="auto"/>
        <w:tabs>
          <w:tab w:leader="none" w:pos="648" w:val="left"/>
        </w:tabs>
        <w:numPr>
          <w:ilvl w:val="0"/>
          <w:numId w:val="16"/>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w:t>
      </w:r>
    </w:p>
    <w:p>
      <w:pPr>
        <w:spacing w:after="0" w:line="156" w:lineRule="exact"/>
        <w:rPr>
          <w:sz w:val="20"/>
          <w:szCs w:val="20"/>
          <w:color w:val="auto"/>
        </w:rPr>
      </w:pPr>
    </w:p>
    <w:p>
      <w:pPr>
        <w:ind w:right="20" w:firstLine="405"/>
        <w:spacing w:after="0" w:line="261" w:lineRule="auto"/>
        <w:rPr>
          <w:sz w:val="20"/>
          <w:szCs w:val="20"/>
          <w:color w:val="auto"/>
        </w:rPr>
      </w:pPr>
      <w:r>
        <w:rPr>
          <w:rFonts w:ascii="Arial" w:cs="Arial" w:eastAsia="Arial" w:hAnsi="Arial"/>
          <w:sz w:val="16"/>
          <w:szCs w:val="16"/>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197" w:lineRule="exact"/>
        <w:rPr>
          <w:sz w:val="20"/>
          <w:szCs w:val="20"/>
          <w:color w:val="auto"/>
        </w:rPr>
      </w:pPr>
    </w:p>
    <w:p>
      <w:pPr>
        <w:ind w:right="220"/>
        <w:spacing w:after="0" w:line="245"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12"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140" w:firstLine="405"/>
        <w:spacing w:after="0"/>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w:t>
      </w:r>
    </w:p>
    <w:p>
      <w:pPr>
        <w:spacing w:after="0" w:line="218" w:lineRule="exact"/>
        <w:rPr>
          <w:sz w:val="20"/>
          <w:szCs w:val="20"/>
          <w:color w:val="auto"/>
        </w:rPr>
      </w:pPr>
    </w:p>
    <w:p>
      <w:pPr>
        <w:ind w:right="120" w:firstLine="405"/>
        <w:spacing w:after="0" w:line="239" w:lineRule="auto"/>
        <w:rPr>
          <w:sz w:val="20"/>
          <w:szCs w:val="20"/>
          <w:color w:val="auto"/>
        </w:rPr>
      </w:pPr>
      <w:r>
        <w:rPr>
          <w:rFonts w:ascii="Arial" w:cs="Arial" w:eastAsia="Arial" w:hAnsi="Arial"/>
          <w:sz w:val="18"/>
          <w:szCs w:val="18"/>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8"/>
          <w:szCs w:val="18"/>
          <w:i w:val="1"/>
          <w:iCs w:val="1"/>
          <w:color w:val="auto"/>
        </w:rPr>
        <w:t>We rely on our manufacturing partners for the manufacture, assembly and</w:t>
      </w:r>
      <w:r>
        <w:rPr>
          <w:rFonts w:ascii="Arial" w:cs="Arial" w:eastAsia="Arial" w:hAnsi="Arial"/>
          <w:sz w:val="18"/>
          <w:szCs w:val="18"/>
          <w:color w:val="auto"/>
        </w:rPr>
        <w:t xml:space="preserve"> </w:t>
      </w:r>
      <w:r>
        <w:rPr>
          <w:rFonts w:ascii="Arial" w:cs="Arial" w:eastAsia="Arial" w:hAnsi="Arial"/>
          <w:sz w:val="18"/>
          <w:szCs w:val="18"/>
          <w:i w:val="1"/>
          <w:iCs w:val="1"/>
          <w:color w:val="auto"/>
        </w:rPr>
        <w:t>testing of our products, and the failure of any of these third-party vendors to deliver products or otherwise perform as requested could damage our relationships with our customers, decrease our sales and limit our ability to grow our business</w:t>
      </w:r>
      <w:r>
        <w:rPr>
          <w:rFonts w:ascii="Arial" w:cs="Arial" w:eastAsia="Arial" w:hAnsi="Arial"/>
          <w:sz w:val="18"/>
          <w:szCs w:val="18"/>
          <w:color w:val="auto"/>
        </w:rPr>
        <w:t>” for additional information on the impacts of supply chain</w:t>
      </w:r>
      <w:r>
        <w:rPr>
          <w:rFonts w:ascii="Arial" w:cs="Arial" w:eastAsia="Arial" w:hAnsi="Arial"/>
          <w:sz w:val="18"/>
          <w:szCs w:val="18"/>
          <w:i w:val="1"/>
          <w:iCs w:val="1"/>
          <w:color w:val="auto"/>
        </w:rPr>
        <w:t xml:space="preserve"> </w:t>
      </w:r>
      <w:r>
        <w:rPr>
          <w:rFonts w:ascii="Arial" w:cs="Arial" w:eastAsia="Arial" w:hAnsi="Arial"/>
          <w:sz w:val="18"/>
          <w:szCs w:val="18"/>
          <w:color w:val="auto"/>
        </w:rPr>
        <w:t>cross-dependencies on our business.</w:t>
      </w:r>
    </w:p>
    <w:p>
      <w:pPr>
        <w:spacing w:after="0" w:line="218"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209"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In addition, the semiconductor industry has experienced increased consolidation over the past several years. For example, NVIDIA Corporation acquired Mellanox Technologies on April 27, 2020 and Infineon acquired Cypress Semiconductors on April 16, 2020. In July 2020, Analog Devices Inc. announced its intent to merge with Maxim Integrated Products Inc. In September 2020, NVIDIA announced its intent to acquire Arm Limited. We license technology from Arm Limited that is included in a majority of our products and would be adversely impacted if the pricing for, or availability of, the relevant technology is changed in an adverse manner as a result of this transaction. In October 2020, AMD announced its intent to acquire Xilinx, Inc. Consolidation among our competitors has led, and in the future could lead, to a changing competitive landscape, capabilities and market share, which could put us at a competitive disadvantage and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4" w:lineRule="exact"/>
        <w:rPr>
          <w:sz w:val="20"/>
          <w:szCs w:val="20"/>
          <w:color w:val="auto"/>
        </w:rPr>
      </w:pPr>
    </w:p>
    <w:p>
      <w:pPr>
        <w:ind w:right="160"/>
        <w:spacing w:after="0" w:line="312" w:lineRule="auto"/>
        <w:rPr>
          <w:sz w:val="20"/>
          <w:szCs w:val="20"/>
          <w:color w:val="auto"/>
        </w:rPr>
      </w:pPr>
      <w:r>
        <w:rPr>
          <w:rFonts w:ascii="Arial" w:cs="Arial" w:eastAsia="Arial" w:hAnsi="Arial"/>
          <w:sz w:val="16"/>
          <w:szCs w:val="16"/>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and testing and assembly.</w:t>
      </w:r>
    </w:p>
    <w:p>
      <w:pPr>
        <w:spacing w:after="0" w:line="160"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1"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may affect pricing of such commodities. For example, recent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207"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29" w:lineRule="exact"/>
        <w:rPr>
          <w:sz w:val="20"/>
          <w:szCs w:val="20"/>
          <w:color w:val="auto"/>
        </w:rPr>
      </w:pPr>
    </w:p>
    <w:p>
      <w:pPr>
        <w:ind w:firstLine="405"/>
        <w:spacing w:after="0"/>
        <w:rPr>
          <w:sz w:val="20"/>
          <w:szCs w:val="20"/>
          <w:color w:val="auto"/>
        </w:rPr>
      </w:pPr>
      <w:r>
        <w:rPr>
          <w:rFonts w:ascii="Arial" w:cs="Arial" w:eastAsia="Arial" w:hAnsi="Arial"/>
          <w:sz w:val="17"/>
          <w:szCs w:val="17"/>
          <w:color w:val="auto"/>
        </w:rPr>
        <w:t>As a result of the closing of the transaction with Inphi, the Company is now domiciled in the United States. Therefore, the income from all foreign subsidiaries is now subject to the U.S. provisions applicable to Global Intangible Low Taxed Income (“GILTI”), which generally requires for GILTI income to be included in the taxable income of U.S. entities. The U.S. currently has a federal tax rate of 21%, and that federal income tax rate could be increased in the future by the current Congress and presidential administration, which has proposed raising it to as high as 28%. This proposed increased tax rate could cause our overall effective tax rate to increase significantly versus our effective tax rate when we were a Bermuda-domiciled company, which could materially impact our financial results, including our earnings and cash flow.</w:t>
      </w:r>
    </w:p>
    <w:p>
      <w:pPr>
        <w:spacing w:after="0" w:line="218"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80" w:firstLine="405"/>
        <w:spacing w:after="0" w:line="272" w:lineRule="auto"/>
        <w:rPr>
          <w:sz w:val="20"/>
          <w:szCs w:val="20"/>
          <w:color w:val="auto"/>
        </w:rPr>
      </w:pPr>
      <w:r>
        <w:rPr>
          <w:rFonts w:ascii="Arial" w:cs="Arial" w:eastAsia="Arial" w:hAnsi="Arial"/>
          <w:sz w:val="16"/>
          <w:szCs w:val="16"/>
          <w:color w:val="auto"/>
        </w:rPr>
        <w:t>In addition, in prior years, we have entered into incentive agreements in certain foreign jurisdictions that if certain criteria are met, the foreign jurisdiction will provide a more favorable tax rate than their current statutory rate. For example, our Singapore subsidiary qualifies for the Development and Expansion Incentive until June 2024, which is effective until June 2024, and generally can be extended.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Receipt of past and future benefits under tax agreements may depend on our ability to fulfill commitments regarding employment of personnel or performance of specified activities in the applicable jurisdictions. Changes in our business plans, including divestitures, could result in termination of an agreement or loss of benefits thereunder. If any of our tax agreements in any of these foreign jurisdictions were terminated, our results of operations could be harmed.</w:t>
      </w:r>
    </w:p>
    <w:p>
      <w:pPr>
        <w:spacing w:after="0" w:line="195" w:lineRule="exact"/>
        <w:rPr>
          <w:sz w:val="20"/>
          <w:szCs w:val="20"/>
          <w:color w:val="auto"/>
        </w:rPr>
      </w:pPr>
    </w:p>
    <w:p>
      <w:pPr>
        <w:ind w:right="20" w:firstLine="405"/>
        <w:spacing w:after="0" w:line="269"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to have a tax system that facilitated offshore structuring by attracting profits without commensurate economic activity. To avoid EU “blacklisting”, both Bermuda and Cayman Islands introduced new legislation in December 2018, which came into force on January 1, 2019. These laws required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to comply with the economic substance requirements. It is still not clear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198"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In addition, both in the current period and in a prior period, the Company transferred certain intellectual property to a related entity in Singapore. The impact to the Company was determined based on our determination of the fair value of this property, which required management to make significant estimates and to apply complex tax regulations in multiple jurisdictions. In a future period, local tax authorities may challenge the fair value determinations made by the Company, which could adversely impact our expected tax benefits from this transaction.</w:t>
      </w:r>
    </w:p>
    <w:p>
      <w:pPr>
        <w:spacing w:after="0" w:line="199"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Our profitability and effective tax rate could be impacted by unexpected changes to our statutory income tax rates or income tax liabilities. Such changes might include changes in tax law or regulations, changes to our geographic mix of earnings, changes in the valuation of deferred tax assets and liabilities, discrete items,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 Our current corporate effective tax rate fluctuates significantly from period to period, and is based upon the application of currently applicable income tax laws, regulations and treaties, as well as current judicial and administrative interpretations of these income tax laws, regulations and treaties, in various jurisdictions.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60" w:firstLine="405"/>
        <w:spacing w:after="0" w:line="284" w:lineRule="auto"/>
        <w:rPr>
          <w:sz w:val="20"/>
          <w:szCs w:val="20"/>
          <w:color w:val="auto"/>
        </w:rPr>
      </w:pPr>
      <w:r>
        <w:rPr>
          <w:rFonts w:ascii="Arial" w:cs="Arial" w:eastAsia="Arial" w:hAnsi="Arial"/>
          <w:sz w:val="16"/>
          <w:szCs w:val="16"/>
          <w:color w:val="auto"/>
        </w:rPr>
        <w:t>On July 6, 2018, in connection with our acquisition of Cavium, we incurred substantial indebtedness pursuant to a Credit Agreement (the “2018 Credit Agreement”). The 2018 Credit Agreement provided for a $900.0 million Term Loan (the “2018 Term Loan”). During the first quarter of fiscal 2022, the entire outstanding principal balance of the 2018 Term Loan was repaid in full and the 2018 Credit Agreement was terminated. See “Note 5 - Debt” for discussion of the debt financing in the Notes to Consolidated Financial Statements set forth in Part II, Item 8 of the Annual Report on Form 10-K.</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17"/>
        <w:spacing w:after="0" w:line="238" w:lineRule="auto"/>
        <w:rPr>
          <w:sz w:val="20"/>
          <w:szCs w:val="20"/>
          <w:color w:val="auto"/>
        </w:rPr>
      </w:pPr>
      <w:r>
        <w:rPr>
          <w:rFonts w:ascii="Arial" w:cs="Arial" w:eastAsia="Arial" w:hAnsi="Arial"/>
          <w:sz w:val="18"/>
          <w:szCs w:val="18"/>
          <w:color w:val="auto"/>
        </w:rPr>
        <w:t>We paid the cash portion of the consideration for the Mergers and other fees and expenses required to be paid in connection with the Mergers from cash on hand and borrowings. On the closing date of the Mergers, the entire principal amount was funded and incurred in respect of the $1.75 billion senior unsecured term loan facility, comprised of a $875.0 million 3-year term loan tranche (the “3-Year Term Loan”) and a $875.0 million 5-year term loan tranche (the “5-Year Term Loan,” and collectively with the 3-Year Term Loan, the “2020 Term Loan Facility”). The 2020 Term Loan Facility is evidenced by a credit agreement, dated December 7, 2020 (the “2020 Term Loan Agreement”) with JPMorgan Chase Bank, N.A., as administrative agent and a lender, and the other lenders from time to time party thereto. In addition to the 2020 Term Loan Agreement, on December 7, 2020, we entered into a revolving credit agreement with JPMorgan Chase Bank, N.A., as administrative agent and a lender, and the other lenders from time to time party thereto (“Revolving Credit Agreement” and together with the 2020 Term Loan Agreement, the “Credit Agreements”), which provides for a $750 million revolving credit facility.</w:t>
      </w:r>
    </w:p>
    <w:p>
      <w:pPr>
        <w:spacing w:after="0" w:line="218" w:lineRule="exact"/>
        <w:rPr>
          <w:sz w:val="20"/>
          <w:szCs w:val="20"/>
          <w:color w:val="auto"/>
        </w:rPr>
      </w:pPr>
    </w:p>
    <w:p>
      <w:pPr>
        <w:ind w:right="320" w:firstLine="417"/>
        <w:spacing w:after="0" w:line="324" w:lineRule="auto"/>
        <w:rPr>
          <w:sz w:val="20"/>
          <w:szCs w:val="20"/>
          <w:color w:val="auto"/>
        </w:rPr>
      </w:pPr>
      <w:r>
        <w:rPr>
          <w:rFonts w:ascii="Arial" w:cs="Arial" w:eastAsia="Arial" w:hAnsi="Arial"/>
          <w:sz w:val="16"/>
          <w:szCs w:val="16"/>
          <w:color w:val="auto"/>
        </w:rPr>
        <w:t>The commitments for the $2.5 billion senior 364-day bridge term loan facility, as evidenced by a commitment letter dated as of October 29, 2020, with JPMorgan Chase Bank, N.A., and the other financial institutions that have joined thereto, terminated in full on the closing date of the Mergers.</w:t>
      </w:r>
    </w:p>
    <w:p>
      <w:pPr>
        <w:spacing w:after="0" w:line="151" w:lineRule="exact"/>
        <w:rPr>
          <w:sz w:val="20"/>
          <w:szCs w:val="20"/>
          <w:color w:val="auto"/>
        </w:rPr>
      </w:pPr>
    </w:p>
    <w:p>
      <w:pPr>
        <w:ind w:right="40" w:firstLine="417"/>
        <w:spacing w:after="0"/>
        <w:rPr>
          <w:sz w:val="20"/>
          <w:szCs w:val="20"/>
          <w:color w:val="auto"/>
        </w:rPr>
      </w:pPr>
      <w:r>
        <w:rPr>
          <w:rFonts w:ascii="Arial" w:cs="Arial" w:eastAsia="Arial" w:hAnsi="Arial"/>
          <w:sz w:val="18"/>
          <w:szCs w:val="18"/>
          <w:color w:val="auto"/>
        </w:rPr>
        <w:t>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On May 4, 2021, the Company completed exchange offers for approximately $434 million in aggregate principal amount of our 2023 Notes and approximately $479 million in aggregate principal amount of our 2028 Notes, and such Senior Notes were subsequently cancelled. We are obligated to pay interest on the outstanding Senior Notes on June 22 and December 22 of each year. The 2023 Notes will mature on June 22, 2023 and the 2028 Notes will mature on June 22, 2028.</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6" w:lineRule="exact"/>
        <w:rPr>
          <w:sz w:val="20"/>
          <w:szCs w:val="20"/>
          <w:color w:val="auto"/>
        </w:rPr>
      </w:pPr>
    </w:p>
    <w:p>
      <w:pPr>
        <w:ind w:right="220" w:firstLine="405"/>
        <w:spacing w:after="0" w:line="294" w:lineRule="auto"/>
        <w:rPr>
          <w:sz w:val="20"/>
          <w:szCs w:val="20"/>
          <w:color w:val="auto"/>
        </w:rPr>
      </w:pPr>
      <w:r>
        <w:rPr>
          <w:rFonts w:ascii="Arial" w:cs="Arial" w:eastAsia="Arial" w:hAnsi="Arial"/>
          <w:sz w:val="16"/>
          <w:szCs w:val="16"/>
          <w:color w:val="auto"/>
        </w:rPr>
        <w:t>Although the Credit Agreements contain restrictions on our ability to incur additional indebtedness and the indenture governing the Senior Notes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174"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The Credit Agreements and the indenture governing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99" w:lineRule="exact"/>
        <w:rPr>
          <w:sz w:val="20"/>
          <w:szCs w:val="20"/>
          <w:color w:val="auto"/>
        </w:rPr>
      </w:pPr>
    </w:p>
    <w:p>
      <w:pPr>
        <w:jc w:val="both"/>
        <w:ind w:right="120" w:firstLine="405"/>
        <w:spacing w:after="0" w:line="324"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29" w:lineRule="exact"/>
        <w:rPr>
          <w:sz w:val="20"/>
          <w:szCs w:val="20"/>
          <w:color w:val="auto"/>
        </w:rPr>
      </w:pPr>
    </w:p>
    <w:p>
      <w:pPr>
        <w:ind w:firstLine="405"/>
        <w:spacing w:after="0" w:line="258"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senior unsecured long-term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governing the Senior Notes impose restrictions on our business.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Credit Agreements and the indenture governing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governing the Senior Notes. Our ability to meet the leverage ratio set forth in the Credit Agreements may be affected by events beyond our control.</w:t>
      </w:r>
    </w:p>
    <w:p>
      <w:pPr>
        <w:spacing w:after="0" w:line="202"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The foregoing restrictions could limit our ability to plan for, or react to, changes in market conditions or our capital needs. We do not know whether we will be granted waivers under, or amendments to, our Credit Agreements or to the indenture governing the Senior Notes if for any reason we are unable to meet these requirements, or whether we will be able to refinance our indebtedness on terms acceptable to us, or at all.</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right="40"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outstanding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outstanding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outstanding Senior Notes at the option of the holder.</w:t>
      </w:r>
    </w:p>
    <w:p>
      <w:pPr>
        <w:spacing w:after="0" w:line="243" w:lineRule="exact"/>
        <w:rPr>
          <w:sz w:val="20"/>
          <w:szCs w:val="20"/>
          <w:color w:val="auto"/>
        </w:rPr>
      </w:pPr>
    </w:p>
    <w:p>
      <w:pPr>
        <w:ind w:right="120" w:firstLine="405"/>
        <w:spacing w:after="0" w:line="274" w:lineRule="auto"/>
        <w:rPr>
          <w:sz w:val="20"/>
          <w:szCs w:val="20"/>
          <w:color w:val="auto"/>
        </w:rPr>
      </w:pPr>
      <w:r>
        <w:rPr>
          <w:rFonts w:ascii="Arial" w:cs="Arial" w:eastAsia="Arial" w:hAnsi="Arial"/>
          <w:sz w:val="16"/>
          <w:szCs w:val="16"/>
          <w:color w:val="auto"/>
        </w:rPr>
        <w:t>We are required to repurchase the outstanding Senior Notes at the option of each holder upon the occurrence of a change of control repurchase event as defined in the indenture governing the Senior Notes. However, we may not have sufficient funds to repurchase the outstanding Senior Notes in cash at the time of any change of control repurchase event. Our failure to repurchase the outstanding Senior Notes upon a change of control repurchase event would be an event of default under the indenture governing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outstanding Senior Notes prior to their scheduled maturity, it could have a negative impact on our cash and liquidity and could impact our ability to invest financial resources in other strategic initiatives.</w:t>
      </w: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We had approximately $11.0 billion of goodwill and $6.3 billion of acquired intangible assets on our unaudited condensed consolidated balance sheet as of July 31, 2021.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15"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16"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For example, during the second quarter of fiscal year 2021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w:t>
      </w:r>
    </w:p>
    <w:p>
      <w:pPr>
        <w:spacing w:after="0" w:line="243" w:lineRule="exact"/>
        <w:rPr>
          <w:sz w:val="20"/>
          <w:szCs w:val="20"/>
          <w:color w:val="auto"/>
        </w:rPr>
      </w:pPr>
    </w:p>
    <w:p>
      <w:pPr>
        <w:ind w:right="80" w:firstLine="405"/>
        <w:spacing w:after="0" w:line="258" w:lineRule="auto"/>
        <w:rPr>
          <w:sz w:val="20"/>
          <w:szCs w:val="20"/>
          <w:color w:val="auto"/>
        </w:rPr>
      </w:pPr>
      <w:r>
        <w:rPr>
          <w:rFonts w:ascii="Arial" w:cs="Arial" w:eastAsia="Arial" w:hAnsi="Arial"/>
          <w:sz w:val="16"/>
          <w:szCs w:val="16"/>
          <w:color w:val="auto"/>
        </w:rPr>
        <w:t>We have determined that our business operates as a single operating segment with five primary components,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04"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00" w:lineRule="exact"/>
        <w:rPr>
          <w:rFonts w:ascii="Arial" w:cs="Arial" w:eastAsia="Arial" w:hAnsi="Arial"/>
          <w:sz w:val="20"/>
          <w:szCs w:val="20"/>
          <w:color w:val="auto"/>
        </w:rPr>
      </w:pPr>
    </w:p>
    <w:p>
      <w:pPr>
        <w:spacing w:after="0" w:line="200" w:lineRule="exact"/>
        <w:rPr>
          <w:rFonts w:ascii="Arial" w:cs="Arial" w:eastAsia="Arial" w:hAnsi="Arial"/>
          <w:sz w:val="20"/>
          <w:szCs w:val="20"/>
          <w:color w:val="auto"/>
        </w:rPr>
      </w:pPr>
    </w:p>
    <w:p>
      <w:pPr>
        <w:spacing w:after="0" w:line="369" w:lineRule="exact"/>
        <w:rPr>
          <w:rFonts w:ascii="Arial" w:cs="Arial" w:eastAsia="Arial" w:hAnsi="Arial"/>
          <w:sz w:val="20"/>
          <w:szCs w:val="20"/>
          <w:color w:val="auto"/>
        </w:rPr>
      </w:pPr>
    </w:p>
    <w:p>
      <w:pPr>
        <w:ind w:left="5540"/>
        <w:spacing w:after="0"/>
        <w:rPr>
          <w:rFonts w:ascii="Arial" w:cs="Arial" w:eastAsia="Arial" w:hAnsi="Arial"/>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hanging="328"/>
        <w:spacing w:after="0" w:line="230" w:lineRule="auto"/>
        <w:tabs>
          <w:tab w:leader="none" w:pos="648" w:val="left"/>
        </w:tabs>
        <w:numPr>
          <w:ilvl w:val="0"/>
          <w:numId w:val="19"/>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19"/>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6" w:lineRule="exact"/>
        <w:rPr>
          <w:sz w:val="20"/>
          <w:szCs w:val="20"/>
          <w:color w:val="auto"/>
        </w:rPr>
      </w:pPr>
    </w:p>
    <w:p>
      <w:pPr>
        <w:ind w:right="8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4"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20" w:firstLine="405"/>
        <w:spacing w:after="0" w:line="269"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8"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73" w:lineRule="exact"/>
        <w:rPr>
          <w:sz w:val="20"/>
          <w:szCs w:val="20"/>
          <w:color w:val="auto"/>
        </w:rPr>
      </w:pPr>
    </w:p>
    <w:p>
      <w:pPr>
        <w:ind w:right="20" w:firstLine="405"/>
        <w:spacing w:after="0" w:line="252"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As a result of the Mergers pursuant to which we became a U.S. domiciled company, these CFIUS regulatory conditions recently terminated.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previously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As a result of the transaction with Inphi, we are now domiciled in the United States. As a result, we are requesting to be released from some of the above FOCI-related obligations. We can offer no assurance that such a request will be granted in a timely manner or at all.</w:t>
      </w:r>
    </w:p>
    <w:p>
      <w:pPr>
        <w:spacing w:after="0" w:line="210"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3" w:name="page64"/>
    <w:bookmarkEnd w:id="6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4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215"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215"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15" w:lineRule="exact"/>
        <w:rPr>
          <w:sz w:val="20"/>
          <w:szCs w:val="20"/>
          <w:color w:val="auto"/>
        </w:rPr>
      </w:pPr>
    </w:p>
    <w:p>
      <w:pPr>
        <w:ind w:left="660" w:right="280" w:hanging="328"/>
        <w:spacing w:after="0" w:line="230"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80" w:hanging="328"/>
        <w:spacing w:after="0" w:line="230"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16"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4" w:name="page65"/>
    <w:bookmarkEnd w:id="6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29" w:lineRule="exact"/>
        <w:rPr>
          <w:sz w:val="20"/>
          <w:szCs w:val="20"/>
          <w:color w:val="auto"/>
        </w:rPr>
      </w:pPr>
    </w:p>
    <w:p>
      <w:pPr>
        <w:ind w:firstLine="405"/>
        <w:spacing w:after="0" w:line="258"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ransomware attacks, phishing attacks, and denial-of-service attacks. In addition, we may be the target of email scams that attempt to acquire personal information or company assets.</w:t>
      </w:r>
    </w:p>
    <w:p>
      <w:pPr>
        <w:spacing w:after="0" w:line="204"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2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semiconductor solutions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7"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5" w:name="page66"/>
    <w:bookmarkEnd w:id="6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firstLine="405"/>
        <w:spacing w:after="0" w:line="282" w:lineRule="auto"/>
        <w:rPr>
          <w:sz w:val="20"/>
          <w:szCs w:val="20"/>
          <w:color w:val="auto"/>
        </w:rPr>
      </w:pPr>
      <w:r>
        <w:rPr>
          <w:rFonts w:ascii="Arial" w:cs="Arial" w:eastAsia="Arial" w:hAnsi="Arial"/>
          <w:sz w:val="16"/>
          <w:szCs w:val="16"/>
          <w:color w:val="auto"/>
        </w:rPr>
        <w:t>In response the COVID-19 pandemic, we modified our workplace practices globally, which has resulted in many of our employees working remotely for extended periods of time. As a result, many of our employees have expressed a preference to continue to work from home two to three days a week</w:t>
      </w:r>
    </w:p>
    <w:p>
      <w:pPr>
        <w:ind w:right="120"/>
        <w:spacing w:after="0" w:line="241" w:lineRule="auto"/>
        <w:rPr>
          <w:sz w:val="20"/>
          <w:szCs w:val="20"/>
          <w:color w:val="auto"/>
        </w:rPr>
      </w:pPr>
      <w:r>
        <w:rPr>
          <w:rFonts w:ascii="Arial" w:cs="Arial" w:eastAsia="Arial" w:hAnsi="Arial"/>
          <w:sz w:val="18"/>
          <w:szCs w:val="18"/>
          <w:color w:val="auto"/>
        </w:rPr>
        <w:t>post-pandemic. In response, we recently announced a hybrid work policy for most of our U.S. based employees, where employees may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w:t>
      </w:r>
    </w:p>
    <w:p>
      <w:pPr>
        <w:spacing w:after="0" w:line="214" w:lineRule="exact"/>
        <w:rPr>
          <w:sz w:val="20"/>
          <w:szCs w:val="20"/>
          <w:color w:val="auto"/>
        </w:rPr>
      </w:pPr>
    </w:p>
    <w:p>
      <w:pPr>
        <w:ind w:right="46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Delaware Law may require us to defer payment of declared dividends or suspend share repurchases.</w:t>
      </w:r>
    </w:p>
    <w:p>
      <w:pPr>
        <w:spacing w:after="0" w:line="148" w:lineRule="exact"/>
        <w:rPr>
          <w:sz w:val="20"/>
          <w:szCs w:val="20"/>
          <w:color w:val="auto"/>
        </w:rPr>
      </w:pPr>
    </w:p>
    <w:p>
      <w:pPr>
        <w:ind w:right="40" w:firstLine="405"/>
        <w:spacing w:after="0" w:line="253"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$1.0 billion share repurchase program. An aggregate of $1.1 billion of shares have been repurchased under that program as of July 31, 2021. Future payment of a regular quarterly cash dividend on our common shares and future share repurchases will be subject to, among other things: the best interests of our company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As of July 31, 2021, there was $564.5 million remaining available for future share repurchases of the authorization.</w:t>
      </w:r>
    </w:p>
    <w:p>
      <w:pPr>
        <w:spacing w:after="0" w:line="207"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60" w:firstLine="405"/>
        <w:spacing w:after="0" w:line="239" w:lineRule="auto"/>
        <w:rPr>
          <w:sz w:val="20"/>
          <w:szCs w:val="20"/>
          <w:color w:val="auto"/>
        </w:rPr>
      </w:pPr>
      <w:r>
        <w:rPr>
          <w:rFonts w:ascii="Arial" w:cs="Arial" w:eastAsia="Arial" w:hAnsi="Arial"/>
          <w:sz w:val="18"/>
          <w:szCs w:val="18"/>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stockholder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18"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1"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6" w:name="page67"/>
    <w:bookmarkEnd w:id="6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26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shares, such U.S. holder generally would be taxed at ordinary income tax rates on any gain realized on the sale or exchange of the shares and on any “excess distributions” (including constructive distributions) received on the shares. Such U.S. holder could also be subject to a special interest charge with respect to any such gain or excess distribution.</w:t>
      </w:r>
    </w:p>
    <w:p>
      <w:pPr>
        <w:spacing w:after="0" w:line="182"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An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right="20" w:firstLine="405"/>
        <w:spacing w:after="0"/>
        <w:rPr>
          <w:sz w:val="20"/>
          <w:szCs w:val="20"/>
          <w:color w:val="auto"/>
        </w:rPr>
      </w:pPr>
      <w:r>
        <w:rPr>
          <w:rFonts w:ascii="Arial" w:cs="Arial" w:eastAsia="Arial" w:hAnsi="Arial"/>
          <w:sz w:val="17"/>
          <w:szCs w:val="17"/>
          <w:color w:val="auto"/>
        </w:rPr>
        <w:t>In the second quarter of fiscal 2022, the Company issued an aggregate of 3,864,984 shares of common stock to holders of certain notes that elected to voluntarily convert $193.0 million principal amount of the notes pursuant to the terms and conditions of the Indenture, dated as of September 12, 2016, between Inphi Corporation and Wells Fargo Bank, National Association, as trustee, as amended by the First Supplemental Indenture, dated as of April 20, 2021, and the Indenture, dated as of April 24, 2020, between Inphi Corporation and U.S. Bank National Association, as trustee, as amended by the First Supplemental Indenture, dated as of April 20, 2021. The common stock issued as a result of these conversions were issued in reliance upon the exemption from the registration in Section 3(a)(9) of the Securities Act.</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the program remains suspended as we focus on reducing our debt and de-levering our balance sheet. As a result, the Company did not repurchase any shares during the three months ended July 31, 2021. Although share repurchases are temporarily suspended, we have $564.5 million of repurchase authority remaining under our current share repurchase program.</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7" w:name="page68"/>
    <w:bookmarkEnd w:id="6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120" w:type="dxa"/>
            <w:vAlign w:val="bottom"/>
            <w:gridSpan w:val="2"/>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80" w:type="dxa"/>
            <w:vAlign w:val="bottom"/>
            <w:gridSpan w:val="26"/>
          </w:tcPr>
          <w:p>
            <w:pPr>
              <w:ind w:left="100"/>
              <w:spacing w:after="0"/>
              <w:rPr>
                <w:sz w:val="20"/>
                <w:szCs w:val="20"/>
                <w:color w:val="auto"/>
              </w:rPr>
            </w:pPr>
            <w:r>
              <w:rPr>
                <w:rFonts w:ascii="Arial" w:cs="Arial" w:eastAsia="Arial" w:hAnsi="Arial"/>
                <w:sz w:val="14"/>
                <w:szCs w:val="14"/>
                <w:b w:val="1"/>
                <w:bCs w:val="1"/>
                <w:color w:val="auto"/>
              </w:rPr>
              <w:t>Item</w:t>
            </w:r>
          </w:p>
        </w:tc>
      </w:tr>
      <w:tr>
        <w:trPr>
          <w:trHeight w:val="188"/>
        </w:trPr>
        <w:tc>
          <w:tcPr>
            <w:tcW w:w="1020" w:type="dxa"/>
            <w:vAlign w:val="bottom"/>
            <w:tcBorders>
              <w:top w:val="single" w:sz="8" w:color="auto"/>
            </w:tcBorders>
          </w:tcPr>
          <w:p>
            <w:pPr>
              <w:ind w:left="14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6"/>
          </w:tcPr>
          <w:p>
            <w:pPr>
              <w:spacing w:after="0" w:line="189" w:lineRule="exact"/>
              <w:rPr>
                <w:rFonts w:ascii="Arial" w:cs="Arial" w:eastAsia="Arial" w:hAnsi="Arial"/>
                <w:sz w:val="18"/>
                <w:szCs w:val="18"/>
                <w:color w:val="0000FF"/>
                <w:w w:val="89"/>
              </w:rPr>
            </w:pPr>
            <w:hyperlink r:id="rId90">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8"/>
          </w:tcPr>
          <w:p>
            <w:pPr>
              <w:spacing w:after="0"/>
              <w:rPr>
                <w:sz w:val="16"/>
                <w:szCs w:val="16"/>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7"/>
              </w:rPr>
            </w:pPr>
            <w:hyperlink r:id="rId90">
              <w:r>
                <w:rPr>
                  <w:rFonts w:ascii="Arial" w:cs="Arial" w:eastAsia="Arial" w:hAnsi="Arial"/>
                  <w:sz w:val="18"/>
                  <w:szCs w:val="18"/>
                  <w:color w:val="0000FF"/>
                  <w:w w:val="97"/>
                </w:rPr>
                <w:t>October 29, 2020, by and among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bottom w:val="single" w:sz="8" w:color="0000FF"/>
            </w:tcBorders>
            <w:gridSpan w:val="23"/>
          </w:tcPr>
          <w:p>
            <w:pPr>
              <w:spacing w:after="0" w:line="156" w:lineRule="exact"/>
              <w:rPr>
                <w:rFonts w:ascii="Arial" w:cs="Arial" w:eastAsia="Arial" w:hAnsi="Arial"/>
                <w:sz w:val="18"/>
                <w:szCs w:val="18"/>
                <w:color w:val="0000FF"/>
                <w:w w:val="93"/>
              </w:rPr>
            </w:pPr>
            <w:hyperlink r:id="rId90">
              <w:r>
                <w:rPr>
                  <w:rFonts w:ascii="Arial" w:cs="Arial" w:eastAsia="Arial" w:hAnsi="Arial"/>
                  <w:sz w:val="18"/>
                  <w:szCs w:val="18"/>
                  <w:color w:val="0000FF"/>
                  <w:w w:val="93"/>
                </w:rPr>
                <w:t>Inphi Corporation, Maui HoldCo, Inc., Maui Acquisition Company</w:t>
              </w:r>
            </w:hyperlink>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9"/>
          </w:tcPr>
          <w:p>
            <w:pPr>
              <w:spacing w:after="0" w:line="156" w:lineRule="exact"/>
              <w:rPr>
                <w:rFonts w:ascii="Arial" w:cs="Arial" w:eastAsia="Arial" w:hAnsi="Arial"/>
                <w:sz w:val="18"/>
                <w:szCs w:val="18"/>
                <w:color w:val="0000FF"/>
                <w:w w:val="94"/>
              </w:rPr>
            </w:pPr>
            <w:hyperlink r:id="rId90">
              <w:r>
                <w:rPr>
                  <w:rFonts w:ascii="Arial" w:cs="Arial" w:eastAsia="Arial" w:hAnsi="Arial"/>
                  <w:sz w:val="18"/>
                  <w:szCs w:val="18"/>
                  <w:color w:val="0000FF"/>
                  <w:w w:val="94"/>
                </w:rPr>
                <w:t>Ltd and Indigo Acquisition Corp.</w:t>
              </w:r>
            </w:hyperlink>
          </w:p>
        </w:tc>
        <w:tc>
          <w:tcPr>
            <w:tcW w:w="2500" w:type="dxa"/>
            <w:vAlign w:val="bottom"/>
            <w:gridSpan w:val="19"/>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91">
              <w:r>
                <w:rPr>
                  <w:rFonts w:ascii="Arial" w:cs="Arial" w:eastAsia="Arial" w:hAnsi="Arial"/>
                  <w:sz w:val="18"/>
                  <w:szCs w:val="18"/>
                  <w:color w:val="0000FF"/>
                </w:rPr>
                <w:t>Amended and Restated Certificate of Incorporation of Marvell</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5"/>
          </w:tcPr>
          <w:p>
            <w:pPr>
              <w:spacing w:after="0" w:line="156" w:lineRule="exact"/>
              <w:rPr>
                <w:rFonts w:ascii="Arial" w:cs="Arial" w:eastAsia="Arial" w:hAnsi="Arial"/>
                <w:sz w:val="18"/>
                <w:szCs w:val="18"/>
                <w:color w:val="0000FF"/>
              </w:rPr>
            </w:pPr>
            <w:hyperlink r:id="rId91">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320" w:type="dxa"/>
            <w:vAlign w:val="bottom"/>
            <w:tcBorders>
              <w:bottom w:val="single" w:sz="8" w:color="0000FF"/>
            </w:tcBorders>
            <w:gridSpan w:val="13"/>
          </w:tcPr>
          <w:p>
            <w:pPr>
              <w:spacing w:after="0"/>
              <w:rPr>
                <w:rFonts w:ascii="Arial" w:cs="Arial" w:eastAsia="Arial" w:hAnsi="Arial"/>
                <w:sz w:val="18"/>
                <w:szCs w:val="18"/>
                <w:color w:val="0000FF"/>
                <w:w w:val="91"/>
              </w:rPr>
            </w:pPr>
            <w:hyperlink r:id="rId92">
              <w:r>
                <w:rPr>
                  <w:rFonts w:ascii="Arial" w:cs="Arial" w:eastAsia="Arial" w:hAnsi="Arial"/>
                  <w:sz w:val="18"/>
                  <w:szCs w:val="18"/>
                  <w:color w:val="0000FF"/>
                  <w:w w:val="91"/>
                </w:rPr>
                <w:t>Amended and Restated Bylaws of Marvell Technology, Inc.</w:t>
              </w:r>
            </w:hyperlink>
          </w:p>
        </w:tc>
        <w:tc>
          <w:tcPr>
            <w:tcW w:w="740" w:type="dxa"/>
            <w:vAlign w:val="bottom"/>
            <w:gridSpan w:val="21"/>
          </w:tcPr>
          <w:p>
            <w:pPr>
              <w:spacing w:after="0"/>
              <w:rPr>
                <w:sz w:val="18"/>
                <w:szCs w:val="18"/>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93">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3"/>
              </w:rPr>
            </w:pPr>
            <w:hyperlink r:id="rId93">
              <w:r>
                <w:rPr>
                  <w:rFonts w:ascii="Arial" w:cs="Arial" w:eastAsia="Arial" w:hAnsi="Arial"/>
                  <w:sz w:val="18"/>
                  <w:szCs w:val="18"/>
                  <w:color w:val="0000FF"/>
                  <w:w w:val="93"/>
                </w:rPr>
                <w:t>among Marvell Technology, Inc., Inphi Corporation and Wells Fargo</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90"/>
              </w:rPr>
            </w:pPr>
            <w:hyperlink r:id="rId93">
              <w:r>
                <w:rPr>
                  <w:rFonts w:ascii="Arial" w:cs="Arial" w:eastAsia="Arial" w:hAnsi="Arial"/>
                  <w:sz w:val="18"/>
                  <w:szCs w:val="18"/>
                  <w:color w:val="0000FF"/>
                  <w:w w:val="90"/>
                </w:rPr>
                <w:t>Bank, National Association, as trustee</w:t>
              </w:r>
            </w:hyperlink>
          </w:p>
        </w:tc>
        <w:tc>
          <w:tcPr>
            <w:tcW w:w="2260" w:type="dxa"/>
            <w:vAlign w:val="bottom"/>
            <w:tcBorders>
              <w:top w:val="single" w:sz="8" w:color="0000FF"/>
            </w:tcBorders>
            <w:gridSpan w:val="22"/>
          </w:tcPr>
          <w:p>
            <w:pPr>
              <w:spacing w:after="0"/>
              <w:rPr>
                <w:sz w:val="13"/>
                <w:szCs w:val="13"/>
                <w:color w:val="auto"/>
              </w:rPr>
            </w:pPr>
          </w:p>
        </w:tc>
        <w:tc>
          <w:tcPr>
            <w:tcW w:w="40" w:type="dxa"/>
            <w:vAlign w:val="bottom"/>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94">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6"/>
              </w:rPr>
            </w:pPr>
            <w:hyperlink r:id="rId94">
              <w:r>
                <w:rPr>
                  <w:rFonts w:ascii="Arial" w:cs="Arial" w:eastAsia="Arial" w:hAnsi="Arial"/>
                  <w:sz w:val="18"/>
                  <w:szCs w:val="18"/>
                  <w:color w:val="0000FF"/>
                  <w:w w:val="96"/>
                </w:rPr>
                <w:t>among Marvell Technology, Inc., Inphi Corporation and U.S. Bank</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80" w:type="dxa"/>
            <w:vAlign w:val="bottom"/>
            <w:tcBorders>
              <w:top w:val="single" w:sz="8" w:color="0000FF"/>
            </w:tcBorders>
            <w:gridSpan w:val="26"/>
          </w:tcPr>
          <w:p>
            <w:pPr>
              <w:spacing w:after="0" w:line="156" w:lineRule="exact"/>
              <w:rPr>
                <w:rFonts w:ascii="Arial" w:cs="Arial" w:eastAsia="Arial" w:hAnsi="Arial"/>
                <w:sz w:val="18"/>
                <w:szCs w:val="18"/>
                <w:color w:val="0000FF"/>
              </w:rPr>
            </w:pPr>
            <w:hyperlink r:id="rId94">
              <w:r>
                <w:rPr>
                  <w:rFonts w:ascii="Arial" w:cs="Arial" w:eastAsia="Arial" w:hAnsi="Arial"/>
                  <w:sz w:val="18"/>
                  <w:szCs w:val="18"/>
                  <w:color w:val="0000FF"/>
                </w:rPr>
                <w:t>National Association, as trustee</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95">
              <w:r>
                <w:rPr>
                  <w:rFonts w:ascii="Arial" w:cs="Arial" w:eastAsia="Arial" w:hAnsi="Arial"/>
                  <w:sz w:val="18"/>
                  <w:szCs w:val="18"/>
                  <w:color w:val="0000FF"/>
                </w:rPr>
                <w:t>Base Indenture, dated as of April 12, 2021, between Marvell</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8"/>
              </w:rPr>
            </w:pPr>
            <w:hyperlink r:id="rId95">
              <w:r>
                <w:rPr>
                  <w:rFonts w:ascii="Arial" w:cs="Arial" w:eastAsia="Arial" w:hAnsi="Arial"/>
                  <w:sz w:val="18"/>
                  <w:szCs w:val="18"/>
                  <w:color w:val="0000FF"/>
                  <w:w w:val="98"/>
                </w:rPr>
                <w:t>Technology, Inc. and U.S. Bank National Association, as trustee</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96">
              <w:r>
                <w:rPr>
                  <w:rFonts w:ascii="Arial" w:cs="Arial" w:eastAsia="Arial" w:hAnsi="Arial"/>
                  <w:sz w:val="18"/>
                  <w:szCs w:val="18"/>
                  <w:color w:val="0000FF"/>
                  <w:w w:val="98"/>
                </w:rPr>
                <w:t>First Supplemental Indenture, dated as of April 12,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8"/>
              </w:rPr>
            </w:pPr>
            <w:hyperlink r:id="rId96">
              <w:r>
                <w:rPr>
                  <w:rFonts w:ascii="Arial" w:cs="Arial" w:eastAsia="Arial" w:hAnsi="Arial"/>
                  <w:sz w:val="18"/>
                  <w:szCs w:val="18"/>
                  <w:color w:val="0000FF"/>
                  <w:w w:val="98"/>
                </w:rPr>
                <w:t>among Marvell Technology, Inc.,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38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90"/>
              </w:rPr>
            </w:pPr>
            <w:hyperlink r:id="rId96">
              <w:r>
                <w:rPr>
                  <w:rFonts w:ascii="Arial" w:cs="Arial" w:eastAsia="Arial" w:hAnsi="Arial"/>
                  <w:sz w:val="18"/>
                  <w:szCs w:val="18"/>
                  <w:color w:val="0000FF"/>
                  <w:w w:val="90"/>
                </w:rPr>
                <w:t>and U.S. Bank National Association, as trustee</w:t>
              </w:r>
            </w:hyperlink>
          </w:p>
        </w:tc>
        <w:tc>
          <w:tcPr>
            <w:tcW w:w="1420" w:type="dxa"/>
            <w:vAlign w:val="bottom"/>
            <w:tcBorders>
              <w:top w:val="single" w:sz="8" w:color="0000FF"/>
            </w:tcBorders>
            <w:gridSpan w:val="10"/>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96">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500,000,000 1.650% Senior Notes due 2026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6">
              <w:r>
                <w:rPr>
                  <w:rFonts w:ascii="Arial" w:cs="Arial" w:eastAsia="Arial" w:hAnsi="Arial"/>
                  <w:sz w:val="18"/>
                  <w:szCs w:val="18"/>
                  <w:color w:val="0000FF"/>
                  <w:w w:val="96"/>
                </w:rPr>
                <w:t>Exhibit A to Exhibit 4.4)</w:t>
              </w:r>
            </w:hyperlink>
          </w:p>
        </w:tc>
        <w:tc>
          <w:tcPr>
            <w:tcW w:w="304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96">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2.450%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6">
              <w:r>
                <w:rPr>
                  <w:rFonts w:ascii="Arial" w:cs="Arial" w:eastAsia="Arial" w:hAnsi="Arial"/>
                  <w:sz w:val="18"/>
                  <w:szCs w:val="18"/>
                  <w:color w:val="0000FF"/>
                  <w:w w:val="95"/>
                </w:rPr>
                <w:t>Exhibit B to Exhibit 4.4)</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96">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2.950% Senior Notes due 2031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6">
              <w:r>
                <w:rPr>
                  <w:rFonts w:ascii="Arial" w:cs="Arial" w:eastAsia="Arial" w:hAnsi="Arial"/>
                  <w:sz w:val="18"/>
                  <w:szCs w:val="18"/>
                  <w:color w:val="0000FF"/>
                  <w:w w:val="95"/>
                </w:rPr>
                <w:t>Exhibit B to Exhibit 4.4)</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3"/>
              </w:rPr>
            </w:pPr>
            <w:hyperlink r:id="rId97">
              <w:r>
                <w:rPr>
                  <w:rFonts w:ascii="Arial" w:cs="Arial" w:eastAsia="Arial" w:hAnsi="Arial"/>
                  <w:sz w:val="18"/>
                  <w:szCs w:val="18"/>
                  <w:color w:val="0000FF"/>
                  <w:w w:val="93"/>
                </w:rPr>
                <w:t>Second Supplemental Indenture, dated as of May 4, 2021, between</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40" w:type="dxa"/>
            <w:vAlign w:val="bottom"/>
            <w:tcBorders>
              <w:top w:val="single" w:sz="8" w:color="0000FF"/>
            </w:tcBorders>
            <w:gridSpan w:val="24"/>
          </w:tcPr>
          <w:p>
            <w:pPr>
              <w:spacing w:after="0" w:line="156" w:lineRule="exact"/>
              <w:rPr>
                <w:rFonts w:ascii="Arial" w:cs="Arial" w:eastAsia="Arial" w:hAnsi="Arial"/>
                <w:sz w:val="18"/>
                <w:szCs w:val="18"/>
                <w:color w:val="0000FF"/>
                <w:w w:val="93"/>
              </w:rPr>
            </w:pPr>
            <w:hyperlink r:id="rId97">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18"/>
          </w:tcPr>
          <w:p>
            <w:pPr>
              <w:spacing w:after="0" w:line="156" w:lineRule="exact"/>
              <w:rPr>
                <w:rFonts w:ascii="Arial" w:cs="Arial" w:eastAsia="Arial" w:hAnsi="Arial"/>
                <w:sz w:val="18"/>
                <w:szCs w:val="18"/>
                <w:color w:val="0000FF"/>
              </w:rPr>
            </w:pPr>
            <w:hyperlink r:id="rId97">
              <w:r>
                <w:rPr>
                  <w:rFonts w:ascii="Arial" w:cs="Arial" w:eastAsia="Arial" w:hAnsi="Arial"/>
                  <w:sz w:val="18"/>
                  <w:szCs w:val="18"/>
                  <w:color w:val="0000FF"/>
                </w:rPr>
                <w:t>trustee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gridSpan w:val="6"/>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2120" w:type="dxa"/>
            <w:vAlign w:val="bottom"/>
            <w:gridSpan w:val="9"/>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97">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433,817,000 4.200% Senior Notes due 2023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7">
              <w:r>
                <w:rPr>
                  <w:rFonts w:ascii="Arial" w:cs="Arial" w:eastAsia="Arial" w:hAnsi="Arial"/>
                  <w:sz w:val="18"/>
                  <w:szCs w:val="18"/>
                  <w:color w:val="0000FF"/>
                  <w:w w:val="96"/>
                </w:rPr>
                <w:t>Exhibit A to Exhibit 4.8)</w:t>
              </w:r>
            </w:hyperlink>
          </w:p>
        </w:tc>
        <w:tc>
          <w:tcPr>
            <w:tcW w:w="304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97">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479,394,000 4.875%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7">
              <w:r>
                <w:rPr>
                  <w:rFonts w:ascii="Arial" w:cs="Arial" w:eastAsia="Arial" w:hAnsi="Arial"/>
                  <w:sz w:val="18"/>
                  <w:szCs w:val="18"/>
                  <w:color w:val="0000FF"/>
                  <w:w w:val="95"/>
                </w:rPr>
                <w:t>Exhibit B to Exhibit 4.8)</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3"/>
              </w:rPr>
            </w:pPr>
            <w:hyperlink r:id="rId98">
              <w:r>
                <w:rPr>
                  <w:rFonts w:ascii="Arial" w:cs="Arial" w:eastAsia="Arial" w:hAnsi="Arial"/>
                  <w:sz w:val="18"/>
                  <w:szCs w:val="18"/>
                  <w:color w:val="0000FF"/>
                  <w:w w:val="93"/>
                </w:rPr>
                <w:t>Second Supplemental Indenture, dated as of April 15, 2021, by and</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00" w:type="dxa"/>
            <w:vAlign w:val="bottom"/>
            <w:tcBorders>
              <w:top w:val="single" w:sz="8" w:color="0000FF"/>
            </w:tcBorders>
            <w:gridSpan w:val="27"/>
          </w:tcPr>
          <w:p>
            <w:pPr>
              <w:spacing w:after="0" w:line="156" w:lineRule="exact"/>
              <w:rPr>
                <w:rFonts w:ascii="Arial" w:cs="Arial" w:eastAsia="Arial" w:hAnsi="Arial"/>
                <w:sz w:val="18"/>
                <w:szCs w:val="18"/>
                <w:color w:val="0000FF"/>
                <w:w w:val="95"/>
              </w:rPr>
            </w:pPr>
            <w:hyperlink r:id="rId98">
              <w:r>
                <w:rPr>
                  <w:rFonts w:ascii="Arial" w:cs="Arial" w:eastAsia="Arial" w:hAnsi="Arial"/>
                  <w:sz w:val="18"/>
                  <w:szCs w:val="18"/>
                  <w:color w:val="0000FF"/>
                  <w:w w:val="95"/>
                </w:rPr>
                <w:t>between Marvell Technology Group Ltd. and U.S. Bank National</w:t>
              </w:r>
            </w:hyperlink>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6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1"/>
              </w:rPr>
            </w:pPr>
            <w:hyperlink r:id="rId98">
              <w:r>
                <w:rPr>
                  <w:rFonts w:ascii="Arial" w:cs="Arial" w:eastAsia="Arial" w:hAnsi="Arial"/>
                  <w:sz w:val="18"/>
                  <w:szCs w:val="18"/>
                  <w:color w:val="0000FF"/>
                  <w:w w:val="91"/>
                </w:rPr>
                <w:t>Association</w:t>
              </w:r>
            </w:hyperlink>
          </w:p>
        </w:tc>
        <w:tc>
          <w:tcPr>
            <w:tcW w:w="388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99">
              <w:r>
                <w:rPr>
                  <w:rFonts w:ascii="Arial" w:cs="Arial" w:eastAsia="Arial" w:hAnsi="Arial"/>
                  <w:sz w:val="18"/>
                  <w:szCs w:val="18"/>
                  <w:color w:val="0000FF"/>
                </w:rPr>
                <w:t>Form of Indemnification Agreement</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40" w:type="dxa"/>
            <w:vAlign w:val="bottom"/>
            <w:gridSpan w:val="6"/>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2140" w:type="dxa"/>
            <w:vAlign w:val="bottom"/>
            <w:gridSpan w:val="1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8"/>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6"/>
              </w:rPr>
            </w:pPr>
            <w:hyperlink r:id="rId100">
              <w:r>
                <w:rPr>
                  <w:rFonts w:ascii="Arial" w:cs="Arial" w:eastAsia="Arial" w:hAnsi="Arial"/>
                  <w:sz w:val="18"/>
                  <w:szCs w:val="18"/>
                  <w:color w:val="0000FF"/>
                  <w:w w:val="96"/>
                </w:rPr>
                <w:t>Credit Agreement, dated as of December 7, 2020, among Marvell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60" w:type="dxa"/>
            <w:vAlign w:val="bottom"/>
            <w:tcBorders>
              <w:top w:val="single" w:sz="8" w:color="0000FF"/>
              <w:bottom w:val="single" w:sz="8" w:color="0000FF"/>
            </w:tcBorders>
            <w:gridSpan w:val="20"/>
          </w:tcPr>
          <w:p>
            <w:pPr>
              <w:spacing w:after="0" w:line="156" w:lineRule="exact"/>
              <w:rPr>
                <w:rFonts w:ascii="Arial" w:cs="Arial" w:eastAsia="Arial" w:hAnsi="Arial"/>
                <w:sz w:val="18"/>
                <w:szCs w:val="18"/>
                <w:color w:val="0000FF"/>
                <w:w w:val="92"/>
              </w:rPr>
            </w:pPr>
            <w:hyperlink r:id="rId100">
              <w:r>
                <w:rPr>
                  <w:rFonts w:ascii="Arial" w:cs="Arial" w:eastAsia="Arial" w:hAnsi="Arial"/>
                  <w:sz w:val="18"/>
                  <w:szCs w:val="18"/>
                  <w:color w:val="0000FF"/>
                  <w:w w:val="92"/>
                </w:rPr>
                <w:t>Technology Group Ltd., Maui HoldCo, Inc., the Guarantors party</w:t>
              </w:r>
            </w:hyperlink>
          </w:p>
        </w:tc>
        <w:tc>
          <w:tcPr>
            <w:tcW w:w="20" w:type="dxa"/>
            <w:vAlign w:val="bottom"/>
            <w:tcBorders>
              <w:top w:val="single" w:sz="8" w:color="0000FF"/>
            </w:tcBorders>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2"/>
              </w:rPr>
            </w:pPr>
            <w:hyperlink r:id="rId100">
              <w:r>
                <w:rPr>
                  <w:rFonts w:ascii="Arial" w:cs="Arial" w:eastAsia="Arial" w:hAnsi="Arial"/>
                  <w:sz w:val="18"/>
                  <w:szCs w:val="18"/>
                  <w:color w:val="0000FF"/>
                  <w:w w:val="92"/>
                </w:rPr>
                <w:t>thereto, the Lenders party thereto and JPMorgan Chase Bank, N.A.,</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100">
              <w:r>
                <w:rPr>
                  <w:rFonts w:ascii="Arial" w:cs="Arial" w:eastAsia="Arial" w:hAnsi="Arial"/>
                  <w:sz w:val="18"/>
                  <w:szCs w:val="18"/>
                  <w:color w:val="0000FF"/>
                  <w:w w:val="93"/>
                </w:rPr>
                <w:t>as the Administrative Agent</w:t>
              </w:r>
            </w:hyperlink>
          </w:p>
        </w:tc>
        <w:tc>
          <w:tcPr>
            <w:tcW w:w="288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2"/>
              </w:rPr>
            </w:pPr>
            <w:hyperlink r:id="rId101">
              <w:r>
                <w:rPr>
                  <w:rFonts w:ascii="Arial" w:cs="Arial" w:eastAsia="Arial" w:hAnsi="Arial"/>
                  <w:sz w:val="18"/>
                  <w:szCs w:val="18"/>
                  <w:color w:val="0000FF"/>
                  <w:w w:val="92"/>
                </w:rPr>
                <w:t>Revolving Credit Agreement, dated as of December 7, 2020, among</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80" w:type="dxa"/>
            <w:vAlign w:val="bottom"/>
            <w:tcBorders>
              <w:top w:val="single" w:sz="8" w:color="0000FF"/>
              <w:bottom w:val="single" w:sz="8" w:color="0000FF"/>
            </w:tcBorders>
            <w:gridSpan w:val="31"/>
          </w:tcPr>
          <w:p>
            <w:pPr>
              <w:spacing w:after="0" w:line="156" w:lineRule="exact"/>
              <w:rPr>
                <w:rFonts w:ascii="Arial" w:cs="Arial" w:eastAsia="Arial" w:hAnsi="Arial"/>
                <w:sz w:val="18"/>
                <w:szCs w:val="18"/>
                <w:color w:val="0000FF"/>
                <w:w w:val="93"/>
              </w:rPr>
            </w:pPr>
            <w:hyperlink r:id="rId101">
              <w:r>
                <w:rPr>
                  <w:rFonts w:ascii="Arial" w:cs="Arial" w:eastAsia="Arial" w:hAnsi="Arial"/>
                  <w:sz w:val="18"/>
                  <w:szCs w:val="18"/>
                  <w:color w:val="0000FF"/>
                  <w:w w:val="93"/>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00" w:type="dxa"/>
            <w:vAlign w:val="bottom"/>
            <w:gridSpan w:val="32"/>
          </w:tcPr>
          <w:p>
            <w:pPr>
              <w:spacing w:after="0" w:line="156" w:lineRule="exact"/>
              <w:rPr>
                <w:rFonts w:ascii="Arial" w:cs="Arial" w:eastAsia="Arial" w:hAnsi="Arial"/>
                <w:sz w:val="18"/>
                <w:szCs w:val="18"/>
                <w:color w:val="0000FF"/>
                <w:w w:val="93"/>
              </w:rPr>
            </w:pPr>
            <w:hyperlink r:id="rId101">
              <w:r>
                <w:rPr>
                  <w:rFonts w:ascii="Arial" w:cs="Arial" w:eastAsia="Arial" w:hAnsi="Arial"/>
                  <w:sz w:val="18"/>
                  <w:szCs w:val="18"/>
                  <w:color w:val="0000FF"/>
                  <w:w w:val="93"/>
                </w:rPr>
                <w:t>party thereto, the Lenders party thereto and Bank of America, N.A.,</w:t>
              </w:r>
            </w:hyperlink>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2"/>
              </w:rPr>
            </w:pPr>
            <w:hyperlink r:id="rId101">
              <w:r>
                <w:rPr>
                  <w:rFonts w:ascii="Arial" w:cs="Arial" w:eastAsia="Arial" w:hAnsi="Arial"/>
                  <w:sz w:val="18"/>
                  <w:szCs w:val="18"/>
                  <w:color w:val="0000FF"/>
                  <w:w w:val="92"/>
                </w:rPr>
                <w:t>as the Administrative Agent</w:t>
              </w:r>
            </w:hyperlink>
          </w:p>
        </w:tc>
        <w:tc>
          <w:tcPr>
            <w:tcW w:w="2920" w:type="dxa"/>
            <w:vAlign w:val="bottom"/>
            <w:tcBorders>
              <w:top w:val="single" w:sz="8" w:color="0000FF"/>
            </w:tcBorders>
            <w:gridSpan w:val="24"/>
          </w:tcPr>
          <w:p>
            <w:pPr>
              <w:spacing w:after="0"/>
              <w:rPr>
                <w:sz w:val="13"/>
                <w:szCs w:val="13"/>
                <w:color w:val="auto"/>
              </w:rPr>
            </w:pPr>
          </w:p>
        </w:tc>
        <w:tc>
          <w:tcPr>
            <w:tcW w:w="100" w:type="dxa"/>
            <w:vAlign w:val="bottom"/>
            <w:gridSpan w:val="4"/>
          </w:tcPr>
          <w:p>
            <w:pPr>
              <w:spacing w:after="0"/>
              <w:rPr>
                <w:sz w:val="13"/>
                <w:szCs w:val="13"/>
                <w:color w:val="auto"/>
              </w:rPr>
            </w:pPr>
          </w:p>
        </w:tc>
      </w:tr>
      <w:tr>
        <w:trPr>
          <w:trHeight w:val="885"/>
        </w:trPr>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40" w:type="dxa"/>
            <w:vAlign w:val="bottom"/>
            <w:gridSpan w:val="18"/>
          </w:tcPr>
          <w:p>
            <w:pPr>
              <w:jc w:val="right"/>
              <w:ind w:right="40"/>
              <w:spacing w:after="0"/>
              <w:rPr>
                <w:sz w:val="20"/>
                <w:szCs w:val="20"/>
                <w:color w:val="auto"/>
              </w:rPr>
            </w:pPr>
            <w:r>
              <w:rPr>
                <w:rFonts w:ascii="Arial" w:cs="Arial" w:eastAsia="Arial" w:hAnsi="Arial"/>
                <w:sz w:val="18"/>
                <w:szCs w:val="18"/>
                <w:color w:val="auto"/>
              </w:rPr>
              <w:t>67</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88"/>
        </w:trPr>
        <w:tc>
          <w:tcPr>
            <w:tcW w:w="820" w:type="dxa"/>
            <w:vAlign w:val="bottom"/>
            <w:gridSpan w:val="2"/>
            <w:vMerge w:val="continue"/>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5"/>
        </w:trPr>
        <w:tc>
          <w:tcPr>
            <w:tcW w:w="70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8-K</w:t>
            </w:r>
          </w:p>
        </w:tc>
        <w:tc>
          <w:tcPr>
            <w:tcW w:w="120" w:type="dxa"/>
            <w:vAlign w:val="bottom"/>
          </w:tcPr>
          <w:p>
            <w:pPr>
              <w:spacing w:after="0"/>
              <w:rPr>
                <w:sz w:val="19"/>
                <w:szCs w:val="19"/>
                <w:color w:val="auto"/>
              </w:rPr>
            </w:pPr>
          </w:p>
        </w:tc>
        <w:tc>
          <w:tcPr>
            <w:tcW w:w="1100" w:type="dxa"/>
            <w:vAlign w:val="bottom"/>
            <w:tcBorders>
              <w:top w:val="single" w:sz="8" w:color="auto"/>
            </w:tcBorders>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19"/>
                <w:szCs w:val="19"/>
                <w:color w:val="auto"/>
              </w:rPr>
            </w:pPr>
          </w:p>
        </w:tc>
        <w:tc>
          <w:tcPr>
            <w:tcW w:w="13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19"/>
                <w:szCs w:val="19"/>
                <w:color w:val="auto"/>
              </w:rPr>
            </w:pPr>
          </w:p>
        </w:tc>
        <w:tc>
          <w:tcPr>
            <w:tcW w:w="14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10/30/2020</w:t>
            </w:r>
          </w:p>
        </w:tc>
        <w:tc>
          <w:tcPr>
            <w:tcW w:w="0" w:type="dxa"/>
            <w:vAlign w:val="bottom"/>
          </w:tcPr>
          <w:p>
            <w:pPr>
              <w:spacing w:after="0"/>
              <w:rPr>
                <w:sz w:val="1"/>
                <w:szCs w:val="1"/>
                <w:color w:val="auto"/>
              </w:rPr>
            </w:pPr>
          </w:p>
        </w:tc>
      </w:tr>
      <w:tr>
        <w:trPr>
          <w:trHeight w:val="75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404"/>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1"/>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1"/>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4/19/2021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r>
        <w:trPr>
          <w:trHeight w:val="756"/>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bl>
    <w:p>
      <w:pPr>
        <w:sectPr>
          <w:pgSz w:w="11900" w:h="16838" w:orient="portrait"/>
          <w:cols w:equalWidth="0" w:num="2">
            <w:col w:w="6200" w:space="120"/>
            <w:col w:w="4920"/>
          </w:cols>
          <w:pgMar w:left="320" w:top="130" w:right="339" w:bottom="1440" w:gutter="0" w:footer="0" w:header="0"/>
        </w:sectPr>
      </w:pPr>
    </w:p>
    <w:bookmarkStart w:id="68" w:name="page69"/>
    <w:bookmarkEnd w:id="68"/>
    <w:p>
      <w:pPr>
        <w:spacing w:after="0"/>
        <w:rPr>
          <w:rFonts w:ascii="Arial" w:cs="Arial" w:eastAsia="Arial" w:hAnsi="Arial"/>
          <w:sz w:val="14"/>
          <w:szCs w:val="14"/>
          <w:u w:val="single" w:color="auto"/>
          <w:color w:val="0000FF"/>
        </w:rPr>
      </w:pPr>
      <w:hyperlink w:anchor="page1">
        <w:r>
          <w:rPr>
            <w:rFonts w:ascii="Arial" w:cs="Arial" w:eastAsia="Arial" w:hAnsi="Arial"/>
            <w:sz w:val="14"/>
            <w:szCs w:val="14"/>
            <w:u w:val="single" w:color="auto"/>
            <w:color w:val="0000FF"/>
          </w:rPr>
          <w:t>Table of Contents</w:t>
        </w:r>
      </w:hyperlink>
    </w:p>
    <w:p>
      <w:pPr>
        <w:sectPr>
          <w:pgSz w:w="11900" w:h="16838" w:orient="portrait"/>
          <w:cols w:equalWidth="0" w:num="1">
            <w:col w:w="10880"/>
          </w:cols>
          <w:pgMar w:left="320" w:top="130"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140" w:type="dxa"/>
        <w:tblCellMar>
          <w:top w:w="0" w:type="dxa"/>
          <w:left w:w="0" w:type="dxa"/>
          <w:bottom w:w="0" w:type="dxa"/>
          <w:right w:w="0" w:type="dxa"/>
        </w:tblCellMar>
      </w:tblPr>
      <w:tr>
        <w:trPr>
          <w:trHeight w:val="207"/>
        </w:trPr>
        <w:tc>
          <w:tcPr>
            <w:tcW w:w="1000" w:type="dxa"/>
            <w:vAlign w:val="bottom"/>
          </w:tcPr>
          <w:p>
            <w:pPr>
              <w:spacing w:after="0"/>
              <w:rPr>
                <w:sz w:val="20"/>
                <w:szCs w:val="20"/>
                <w:color w:val="auto"/>
              </w:rPr>
            </w:pPr>
            <w:r>
              <w:rPr>
                <w:rFonts w:ascii="Arial" w:cs="Arial" w:eastAsia="Arial" w:hAnsi="Arial"/>
                <w:sz w:val="18"/>
                <w:szCs w:val="18"/>
                <w:color w:val="auto"/>
              </w:rPr>
              <w:t>10.4**</w:t>
            </w:r>
          </w:p>
        </w:tc>
        <w:tc>
          <w:tcPr>
            <w:tcW w:w="5160" w:type="dxa"/>
            <w:vAlign w:val="bottom"/>
            <w:gridSpan w:val="41"/>
          </w:tcPr>
          <w:p>
            <w:pPr>
              <w:spacing w:after="0"/>
              <w:rPr>
                <w:rFonts w:ascii="Arial" w:cs="Arial" w:eastAsia="Arial" w:hAnsi="Arial"/>
                <w:sz w:val="18"/>
                <w:szCs w:val="18"/>
                <w:color w:val="0000FF"/>
                <w:w w:val="99"/>
              </w:rPr>
            </w:pPr>
            <w:hyperlink r:id="rId103">
              <w:r>
                <w:rPr>
                  <w:rFonts w:ascii="Arial" w:cs="Arial" w:eastAsia="Arial" w:hAnsi="Arial"/>
                  <w:sz w:val="18"/>
                  <w:szCs w:val="18"/>
                  <w:color w:val="0000FF"/>
                  <w:w w:val="99"/>
                </w:rPr>
                <w:t>Amendment No. 1 to Credit Agreement, dated as of December 7,</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700" w:type="dxa"/>
            <w:vAlign w:val="bottom"/>
            <w:tcBorders>
              <w:top w:val="single" w:sz="8" w:color="0000FF"/>
            </w:tcBorders>
            <w:gridSpan w:val="21"/>
          </w:tcPr>
          <w:p>
            <w:pPr>
              <w:spacing w:after="0" w:line="156" w:lineRule="exact"/>
              <w:rPr>
                <w:rFonts w:ascii="Arial" w:cs="Arial" w:eastAsia="Arial" w:hAnsi="Arial"/>
                <w:sz w:val="18"/>
                <w:szCs w:val="18"/>
                <w:color w:val="0000FF"/>
                <w:w w:val="92"/>
              </w:rPr>
            </w:pPr>
            <w:hyperlink r:id="rId103">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gridSpan w:val="16"/>
            <w:vMerge w:val="restart"/>
          </w:tcPr>
          <w:p>
            <w:pPr>
              <w:spacing w:after="0"/>
              <w:rPr>
                <w:rFonts w:ascii="Arial" w:cs="Arial" w:eastAsia="Arial" w:hAnsi="Arial"/>
                <w:sz w:val="18"/>
                <w:szCs w:val="18"/>
                <w:color w:val="0000FF"/>
              </w:rPr>
            </w:pPr>
            <w:hyperlink r:id="rId103">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640" w:type="dxa"/>
            <w:vAlign w:val="bottom"/>
            <w:tcBorders>
              <w:top w:val="single" w:sz="8" w:color="0000FF"/>
            </w:tcBorders>
            <w:gridSpan w:val="18"/>
          </w:tcPr>
          <w:p>
            <w:pPr>
              <w:spacing w:after="0" w:line="156" w:lineRule="exact"/>
              <w:rPr>
                <w:rFonts w:ascii="Arial" w:cs="Arial" w:eastAsia="Arial" w:hAnsi="Arial"/>
                <w:sz w:val="18"/>
                <w:szCs w:val="18"/>
                <w:color w:val="0000FF"/>
                <w:w w:val="91"/>
              </w:rPr>
            </w:pPr>
            <w:hyperlink r:id="rId103">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gridSpan w:val="1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040" w:type="dxa"/>
            <w:vAlign w:val="bottom"/>
            <w:tcBorders>
              <w:top w:val="single" w:sz="8" w:color="0000FF"/>
              <w:bottom w:val="single" w:sz="8" w:color="0000FF"/>
            </w:tcBorders>
            <w:gridSpan w:val="35"/>
          </w:tcPr>
          <w:p>
            <w:pPr>
              <w:spacing w:after="0" w:line="156" w:lineRule="exact"/>
              <w:rPr>
                <w:rFonts w:ascii="Arial" w:cs="Arial" w:eastAsia="Arial" w:hAnsi="Arial"/>
                <w:sz w:val="18"/>
                <w:szCs w:val="18"/>
                <w:color w:val="0000FF"/>
                <w:w w:val="91"/>
              </w:rPr>
            </w:pPr>
            <w:hyperlink r:id="rId103">
              <w:r>
                <w:rPr>
                  <w:rFonts w:ascii="Arial" w:cs="Arial" w:eastAsia="Arial" w:hAnsi="Arial"/>
                  <w:sz w:val="18"/>
                  <w:szCs w:val="18"/>
                  <w:color w:val="0000FF"/>
                  <w:w w:val="91"/>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060" w:type="dxa"/>
            <w:vAlign w:val="bottom"/>
            <w:gridSpan w:val="36"/>
          </w:tcPr>
          <w:p>
            <w:pPr>
              <w:spacing w:after="0" w:line="156" w:lineRule="exact"/>
              <w:rPr>
                <w:rFonts w:ascii="Arial" w:cs="Arial" w:eastAsia="Arial" w:hAnsi="Arial"/>
                <w:sz w:val="18"/>
                <w:szCs w:val="18"/>
                <w:color w:val="0000FF"/>
              </w:rPr>
            </w:pPr>
            <w:hyperlink r:id="rId103">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10.5</w:t>
            </w:r>
          </w:p>
        </w:tc>
        <w:tc>
          <w:tcPr>
            <w:tcW w:w="5160" w:type="dxa"/>
            <w:vAlign w:val="bottom"/>
            <w:gridSpan w:val="41"/>
          </w:tcPr>
          <w:p>
            <w:pPr>
              <w:spacing w:after="0"/>
              <w:rPr>
                <w:rFonts w:ascii="Arial" w:cs="Arial" w:eastAsia="Arial" w:hAnsi="Arial"/>
                <w:sz w:val="18"/>
                <w:szCs w:val="18"/>
                <w:color w:val="0000FF"/>
              </w:rPr>
            </w:pPr>
            <w:hyperlink r:id="rId99">
              <w:r>
                <w:rPr>
                  <w:rFonts w:ascii="Arial" w:cs="Arial" w:eastAsia="Arial" w:hAnsi="Arial"/>
                  <w:sz w:val="18"/>
                  <w:szCs w:val="18"/>
                  <w:color w:val="0000FF"/>
                </w:rPr>
                <w:t>Form of Exchange Agreement</w:t>
              </w:r>
            </w:hyperlink>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10.6</w:t>
            </w:r>
          </w:p>
        </w:tc>
        <w:tc>
          <w:tcPr>
            <w:tcW w:w="5160" w:type="dxa"/>
            <w:vAlign w:val="bottom"/>
            <w:gridSpan w:val="41"/>
          </w:tcPr>
          <w:p>
            <w:pPr>
              <w:spacing w:after="0"/>
              <w:rPr>
                <w:rFonts w:ascii="Arial" w:cs="Arial" w:eastAsia="Arial" w:hAnsi="Arial"/>
                <w:sz w:val="18"/>
                <w:szCs w:val="18"/>
                <w:color w:val="0000FF"/>
                <w:w w:val="98"/>
              </w:rPr>
            </w:pPr>
            <w:hyperlink r:id="rId104">
              <w:r>
                <w:rPr>
                  <w:rFonts w:ascii="Arial" w:cs="Arial" w:eastAsia="Arial" w:hAnsi="Arial"/>
                  <w:sz w:val="18"/>
                  <w:szCs w:val="18"/>
                  <w:color w:val="0000FF"/>
                  <w:w w:val="98"/>
                </w:rPr>
                <w:t>Registration Rights Agreement, dated as of April 12, 2021, by and</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800" w:type="dxa"/>
            <w:vAlign w:val="bottom"/>
            <w:tcBorders>
              <w:top w:val="single" w:sz="8" w:color="0000FF"/>
            </w:tcBorders>
            <w:gridSpan w:val="26"/>
          </w:tcPr>
          <w:p>
            <w:pPr>
              <w:spacing w:after="0" w:line="156" w:lineRule="exact"/>
              <w:rPr>
                <w:rFonts w:ascii="Arial" w:cs="Arial" w:eastAsia="Arial" w:hAnsi="Arial"/>
                <w:sz w:val="18"/>
                <w:szCs w:val="18"/>
                <w:color w:val="0000FF"/>
                <w:w w:val="93"/>
              </w:rPr>
            </w:pPr>
            <w:hyperlink r:id="rId104">
              <w:r>
                <w:rPr>
                  <w:rFonts w:ascii="Arial" w:cs="Arial" w:eastAsia="Arial" w:hAnsi="Arial"/>
                  <w:sz w:val="18"/>
                  <w:szCs w:val="18"/>
                  <w:color w:val="0000FF"/>
                  <w:w w:val="93"/>
                </w:rPr>
                <w:t>among Marvell Technology, Inc., Marvell Technology Group Ltd.</w:t>
              </w:r>
            </w:hyperlink>
          </w:p>
        </w:tc>
        <w:tc>
          <w:tcPr>
            <w:tcW w:w="360" w:type="dxa"/>
            <w:vAlign w:val="bottom"/>
            <w:gridSpan w:val="15"/>
          </w:tcPr>
          <w:p>
            <w:pPr>
              <w:spacing w:after="0" w:line="156" w:lineRule="exact"/>
              <w:rPr>
                <w:rFonts w:ascii="Arial" w:cs="Arial" w:eastAsia="Arial" w:hAnsi="Arial"/>
                <w:sz w:val="18"/>
                <w:szCs w:val="18"/>
                <w:color w:val="0000FF"/>
              </w:rPr>
            </w:pPr>
            <w:hyperlink r:id="rId104">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40" w:type="dxa"/>
            <w:vAlign w:val="bottom"/>
            <w:tcBorders>
              <w:top w:val="single" w:sz="8" w:color="0000FF"/>
            </w:tcBorders>
            <w:gridSpan w:val="40"/>
          </w:tcPr>
          <w:p>
            <w:pPr>
              <w:spacing w:after="0" w:line="156" w:lineRule="exact"/>
              <w:rPr>
                <w:rFonts w:ascii="Arial" w:cs="Arial" w:eastAsia="Arial" w:hAnsi="Arial"/>
                <w:sz w:val="18"/>
                <w:szCs w:val="18"/>
                <w:color w:val="0000FF"/>
                <w:w w:val="96"/>
              </w:rPr>
            </w:pPr>
            <w:hyperlink r:id="rId104">
              <w:r>
                <w:rPr>
                  <w:rFonts w:ascii="Arial" w:cs="Arial" w:eastAsia="Arial" w:hAnsi="Arial"/>
                  <w:sz w:val="18"/>
                  <w:szCs w:val="18"/>
                  <w:color w:val="0000FF"/>
                  <w:w w:val="96"/>
                </w:rPr>
                <w:t>J.P. Morgan Securities, LLC, BofA Securities, Inc. and Wells Fargo</w:t>
              </w:r>
            </w:hyperlink>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860" w:type="dxa"/>
            <w:vAlign w:val="bottom"/>
            <w:tcBorders>
              <w:top w:val="single" w:sz="8" w:color="0000FF"/>
            </w:tcBorders>
            <w:gridSpan w:val="28"/>
          </w:tcPr>
          <w:p>
            <w:pPr>
              <w:spacing w:after="0" w:line="156" w:lineRule="exact"/>
              <w:rPr>
                <w:rFonts w:ascii="Arial" w:cs="Arial" w:eastAsia="Arial" w:hAnsi="Arial"/>
                <w:sz w:val="18"/>
                <w:szCs w:val="18"/>
                <w:color w:val="0000FF"/>
                <w:w w:val="93"/>
              </w:rPr>
            </w:pPr>
            <w:hyperlink r:id="rId104">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76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04">
              <w:r>
                <w:rPr>
                  <w:rFonts w:ascii="Arial" w:cs="Arial" w:eastAsia="Arial" w:hAnsi="Arial"/>
                  <w:sz w:val="18"/>
                  <w:szCs w:val="18"/>
                  <w:color w:val="0000FF"/>
                </w:rPr>
                <w:t>Notes</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10.7#</w:t>
            </w:r>
          </w:p>
        </w:tc>
        <w:tc>
          <w:tcPr>
            <w:tcW w:w="4900" w:type="dxa"/>
            <w:vAlign w:val="bottom"/>
            <w:tcBorders>
              <w:bottom w:val="single" w:sz="8" w:color="0000FF"/>
            </w:tcBorders>
            <w:gridSpan w:val="30"/>
          </w:tcPr>
          <w:p>
            <w:pPr>
              <w:spacing w:after="0"/>
              <w:rPr>
                <w:rFonts w:ascii="Arial" w:cs="Arial" w:eastAsia="Arial" w:hAnsi="Arial"/>
                <w:sz w:val="18"/>
                <w:szCs w:val="18"/>
                <w:color w:val="0000FF"/>
                <w:w w:val="91"/>
              </w:rPr>
            </w:pPr>
            <w:hyperlink r:id="rId105">
              <w:r>
                <w:rPr>
                  <w:rFonts w:ascii="Arial" w:cs="Arial" w:eastAsia="Arial" w:hAnsi="Arial"/>
                  <w:sz w:val="18"/>
                  <w:szCs w:val="18"/>
                  <w:color w:val="0000FF"/>
                  <w:w w:val="91"/>
                </w:rPr>
                <w:t>Marvell Technology Group Ltd. Amended and Restated 1995 Stock</w:t>
              </w:r>
            </w:hyperlink>
          </w:p>
        </w:tc>
        <w:tc>
          <w:tcPr>
            <w:tcW w:w="260" w:type="dxa"/>
            <w:vAlign w:val="bottom"/>
            <w:gridSpan w:val="11"/>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160" w:type="dxa"/>
            <w:vAlign w:val="bottom"/>
            <w:gridSpan w:val="41"/>
          </w:tcPr>
          <w:p>
            <w:pPr>
              <w:spacing w:after="0" w:line="156" w:lineRule="exact"/>
              <w:rPr>
                <w:rFonts w:ascii="Arial" w:cs="Arial" w:eastAsia="Arial" w:hAnsi="Arial"/>
                <w:sz w:val="18"/>
                <w:szCs w:val="18"/>
                <w:color w:val="0000FF"/>
                <w:w w:val="94"/>
              </w:rPr>
            </w:pPr>
            <w:hyperlink r:id="rId105">
              <w:r>
                <w:rPr>
                  <w:rFonts w:ascii="Arial" w:cs="Arial" w:eastAsia="Arial" w:hAnsi="Arial"/>
                  <w:sz w:val="18"/>
                  <w:szCs w:val="18"/>
                  <w:color w:val="0000FF"/>
                  <w:w w:val="94"/>
                </w:rPr>
                <w:t>Option Plan (now named the Marvell Technology, Inc. Amended and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00" w:type="dxa"/>
            <w:vAlign w:val="bottom"/>
            <w:tcBorders>
              <w:top w:val="single" w:sz="8" w:color="0000FF"/>
            </w:tcBorders>
            <w:gridSpan w:val="33"/>
          </w:tcPr>
          <w:p>
            <w:pPr>
              <w:spacing w:after="0" w:line="156" w:lineRule="exact"/>
              <w:rPr>
                <w:rFonts w:ascii="Arial" w:cs="Arial" w:eastAsia="Arial" w:hAnsi="Arial"/>
                <w:sz w:val="18"/>
                <w:szCs w:val="18"/>
                <w:color w:val="0000FF"/>
                <w:w w:val="93"/>
              </w:rPr>
            </w:pPr>
            <w:hyperlink r:id="rId105">
              <w:r>
                <w:rPr>
                  <w:rFonts w:ascii="Arial" w:cs="Arial" w:eastAsia="Arial" w:hAnsi="Arial"/>
                  <w:sz w:val="18"/>
                  <w:szCs w:val="18"/>
                  <w:color w:val="0000FF"/>
                  <w:w w:val="93"/>
                </w:rPr>
                <w:t>Restated 1995 Stock Option Plan) (as amended and restated as of</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5"/>
              </w:rPr>
            </w:pPr>
            <w:hyperlink r:id="rId105">
              <w:r>
                <w:rPr>
                  <w:rFonts w:ascii="Arial" w:cs="Arial" w:eastAsia="Arial" w:hAnsi="Arial"/>
                  <w:sz w:val="18"/>
                  <w:szCs w:val="18"/>
                  <w:color w:val="0000FF"/>
                  <w:w w:val="95"/>
                </w:rPr>
                <w:t>April 2, 2021)</w:t>
              </w:r>
            </w:hyperlink>
          </w:p>
        </w:tc>
        <w:tc>
          <w:tcPr>
            <w:tcW w:w="370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10.8#</w:t>
            </w:r>
          </w:p>
        </w:tc>
        <w:tc>
          <w:tcPr>
            <w:tcW w:w="5160" w:type="dxa"/>
            <w:vAlign w:val="bottom"/>
            <w:gridSpan w:val="41"/>
          </w:tcPr>
          <w:p>
            <w:pPr>
              <w:spacing w:after="0"/>
              <w:rPr>
                <w:rFonts w:ascii="Arial" w:cs="Arial" w:eastAsia="Arial" w:hAnsi="Arial"/>
                <w:sz w:val="18"/>
                <w:szCs w:val="18"/>
                <w:color w:val="0000FF"/>
                <w:w w:val="93"/>
              </w:rPr>
            </w:pPr>
            <w:hyperlink r:id="rId106">
              <w:r>
                <w:rPr>
                  <w:rFonts w:ascii="Arial" w:cs="Arial" w:eastAsia="Arial" w:hAnsi="Arial"/>
                  <w:sz w:val="18"/>
                  <w:szCs w:val="18"/>
                  <w:color w:val="0000FF"/>
                  <w:w w:val="93"/>
                </w:rPr>
                <w:t>Marvell Technology Group Ltd. 2000 Employee Stock Purchase Plan</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660" w:type="dxa"/>
            <w:vAlign w:val="bottom"/>
            <w:tcBorders>
              <w:top w:val="single" w:sz="8" w:color="0000FF"/>
              <w:bottom w:val="single" w:sz="8" w:color="0000FF"/>
            </w:tcBorders>
            <w:gridSpan w:val="19"/>
          </w:tcPr>
          <w:p>
            <w:pPr>
              <w:spacing w:after="0" w:line="156" w:lineRule="exact"/>
              <w:rPr>
                <w:rFonts w:ascii="Arial" w:cs="Arial" w:eastAsia="Arial" w:hAnsi="Arial"/>
                <w:sz w:val="18"/>
                <w:szCs w:val="18"/>
                <w:color w:val="0000FF"/>
                <w:w w:val="91"/>
              </w:rPr>
            </w:pPr>
            <w:hyperlink r:id="rId106">
              <w:r>
                <w:rPr>
                  <w:rFonts w:ascii="Arial" w:cs="Arial" w:eastAsia="Arial" w:hAnsi="Arial"/>
                  <w:sz w:val="18"/>
                  <w:szCs w:val="18"/>
                  <w:color w:val="0000FF"/>
                  <w:w w:val="91"/>
                </w:rPr>
                <w:t>(now named the Marvell Technology, Inc. 2000 Employee Stock</w:t>
              </w:r>
            </w:hyperlink>
          </w:p>
        </w:tc>
        <w:tc>
          <w:tcPr>
            <w:tcW w:w="42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160" w:type="dxa"/>
            <w:vAlign w:val="bottom"/>
            <w:gridSpan w:val="41"/>
          </w:tcPr>
          <w:p>
            <w:pPr>
              <w:spacing w:after="0" w:line="156" w:lineRule="exact"/>
              <w:rPr>
                <w:rFonts w:ascii="Arial" w:cs="Arial" w:eastAsia="Arial" w:hAnsi="Arial"/>
                <w:sz w:val="18"/>
                <w:szCs w:val="18"/>
                <w:color w:val="0000FF"/>
                <w:w w:val="91"/>
              </w:rPr>
            </w:pPr>
            <w:hyperlink r:id="rId106">
              <w:r>
                <w:rPr>
                  <w:rFonts w:ascii="Arial" w:cs="Arial" w:eastAsia="Arial" w:hAnsi="Arial"/>
                  <w:sz w:val="18"/>
                  <w:szCs w:val="18"/>
                  <w:color w:val="0000FF"/>
                  <w:w w:val="91"/>
                </w:rPr>
                <w:t>Purchase Plan, as Amended and Restated) (as amended and restated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900" w:type="dxa"/>
            <w:vAlign w:val="bottom"/>
            <w:tcBorders>
              <w:top w:val="single" w:sz="8" w:color="0000FF"/>
            </w:tcBorders>
            <w:gridSpan w:val="30"/>
          </w:tcPr>
          <w:p>
            <w:pPr>
              <w:spacing w:after="0" w:line="156" w:lineRule="exact"/>
              <w:rPr>
                <w:rFonts w:ascii="Arial" w:cs="Arial" w:eastAsia="Arial" w:hAnsi="Arial"/>
                <w:sz w:val="18"/>
                <w:szCs w:val="18"/>
                <w:color w:val="0000FF"/>
              </w:rPr>
            </w:pPr>
            <w:hyperlink r:id="rId106">
              <w:r>
                <w:rPr>
                  <w:rFonts w:ascii="Arial" w:cs="Arial" w:eastAsia="Arial" w:hAnsi="Arial"/>
                  <w:sz w:val="18"/>
                  <w:szCs w:val="18"/>
                  <w:color w:val="0000FF"/>
                </w:rPr>
                <w:t>as of April 2, 2021)</w:t>
              </w:r>
            </w:hyperlink>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900" w:type="dxa"/>
            <w:vAlign w:val="bottom"/>
            <w:gridSpan w:val="2"/>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10.9#</w:t>
            </w:r>
          </w:p>
        </w:tc>
        <w:tc>
          <w:tcPr>
            <w:tcW w:w="5160" w:type="dxa"/>
            <w:vAlign w:val="bottom"/>
            <w:gridSpan w:val="41"/>
          </w:tcPr>
          <w:p>
            <w:pPr>
              <w:spacing w:after="0"/>
              <w:rPr>
                <w:rFonts w:ascii="Arial" w:cs="Arial" w:eastAsia="Arial" w:hAnsi="Arial"/>
                <w:sz w:val="18"/>
                <w:szCs w:val="18"/>
                <w:color w:val="0000FF"/>
                <w:w w:val="92"/>
              </w:rPr>
            </w:pPr>
            <w:hyperlink r:id="rId107">
              <w:r>
                <w:rPr>
                  <w:rFonts w:ascii="Arial" w:cs="Arial" w:eastAsia="Arial" w:hAnsi="Arial"/>
                  <w:sz w:val="18"/>
                  <w:szCs w:val="18"/>
                  <w:color w:val="0000FF"/>
                  <w:w w:val="92"/>
                </w:rPr>
                <w:t>Marvell Technology Group Ltd. 2000 Employee Stock Purchase Plan,</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120" w:type="dxa"/>
            <w:vAlign w:val="bottom"/>
            <w:tcBorders>
              <w:top w:val="single" w:sz="8" w:color="0000FF"/>
            </w:tcBorders>
            <w:gridSpan w:val="39"/>
          </w:tcPr>
          <w:p>
            <w:pPr>
              <w:spacing w:after="0" w:line="156" w:lineRule="exact"/>
              <w:rPr>
                <w:rFonts w:ascii="Arial" w:cs="Arial" w:eastAsia="Arial" w:hAnsi="Arial"/>
                <w:sz w:val="18"/>
                <w:szCs w:val="18"/>
                <w:color w:val="0000FF"/>
                <w:w w:val="93"/>
              </w:rPr>
            </w:pPr>
            <w:hyperlink r:id="rId107">
              <w:r>
                <w:rPr>
                  <w:rFonts w:ascii="Arial" w:cs="Arial" w:eastAsia="Arial" w:hAnsi="Arial"/>
                  <w:sz w:val="18"/>
                  <w:szCs w:val="18"/>
                  <w:color w:val="0000FF"/>
                  <w:w w:val="93"/>
                </w:rPr>
                <w:t>as Amended and Restated (now named the Marvell Technology, Inc.</w:t>
              </w:r>
            </w:hyperlink>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940" w:type="dxa"/>
            <w:vAlign w:val="bottom"/>
            <w:tcBorders>
              <w:top w:val="single" w:sz="8" w:color="0000FF"/>
            </w:tcBorders>
            <w:gridSpan w:val="31"/>
          </w:tcPr>
          <w:p>
            <w:pPr>
              <w:spacing w:after="0" w:line="156" w:lineRule="exact"/>
              <w:rPr>
                <w:rFonts w:ascii="Arial" w:cs="Arial" w:eastAsia="Arial" w:hAnsi="Arial"/>
                <w:sz w:val="18"/>
                <w:szCs w:val="18"/>
                <w:color w:val="0000FF"/>
                <w:w w:val="93"/>
              </w:rPr>
            </w:pPr>
            <w:hyperlink r:id="rId107">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91"/>
              </w:rPr>
            </w:pPr>
            <w:hyperlink r:id="rId107">
              <w:r>
                <w:rPr>
                  <w:rFonts w:ascii="Arial" w:cs="Arial" w:eastAsia="Arial" w:hAnsi="Arial"/>
                  <w:sz w:val="18"/>
                  <w:szCs w:val="18"/>
                  <w:color w:val="0000FF"/>
                  <w:w w:val="91"/>
                </w:rPr>
                <w:t>Form of Subscription Agreement</w:t>
              </w:r>
            </w:hyperlink>
          </w:p>
        </w:tc>
        <w:tc>
          <w:tcPr>
            <w:tcW w:w="2260" w:type="dxa"/>
            <w:vAlign w:val="bottom"/>
            <w:tcBorders>
              <w:top w:val="single" w:sz="8" w:color="0000FF"/>
            </w:tcBorders>
            <w:gridSpan w:val="10"/>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10.10#</w:t>
            </w:r>
          </w:p>
        </w:tc>
        <w:tc>
          <w:tcPr>
            <w:tcW w:w="5160" w:type="dxa"/>
            <w:vAlign w:val="bottom"/>
            <w:gridSpan w:val="41"/>
          </w:tcPr>
          <w:p>
            <w:pPr>
              <w:spacing w:after="0"/>
              <w:rPr>
                <w:rFonts w:ascii="Arial" w:cs="Arial" w:eastAsia="Arial" w:hAnsi="Arial"/>
                <w:sz w:val="18"/>
                <w:szCs w:val="18"/>
                <w:color w:val="0000FF"/>
                <w:w w:val="99"/>
              </w:rPr>
            </w:pPr>
            <w:hyperlink r:id="rId108">
              <w:r>
                <w:rPr>
                  <w:rFonts w:ascii="Arial" w:cs="Arial" w:eastAsia="Arial" w:hAnsi="Arial"/>
                  <w:sz w:val="18"/>
                  <w:szCs w:val="18"/>
                  <w:color w:val="0000FF"/>
                  <w:w w:val="99"/>
                </w:rPr>
                <w:t>Cavium, Inc. 2016 Equity Incentive Plan (including forms of grant</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08">
              <w:r>
                <w:rPr>
                  <w:rFonts w:ascii="Arial" w:cs="Arial" w:eastAsia="Arial" w:hAnsi="Arial"/>
                  <w:sz w:val="18"/>
                  <w:szCs w:val="18"/>
                  <w:color w:val="0000FF"/>
                  <w:w w:val="88"/>
                </w:rPr>
                <w:t>notice and agreements)</w:t>
              </w:r>
            </w:hyperlink>
          </w:p>
        </w:tc>
        <w:tc>
          <w:tcPr>
            <w:tcW w:w="3100" w:type="dxa"/>
            <w:vAlign w:val="bottom"/>
            <w:tcBorders>
              <w:top w:val="single" w:sz="8" w:color="0000FF"/>
            </w:tcBorders>
            <w:gridSpan w:val="22"/>
          </w:tcPr>
          <w:p>
            <w:pPr>
              <w:spacing w:after="0"/>
              <w:rPr>
                <w:sz w:val="13"/>
                <w:szCs w:val="13"/>
                <w:color w:val="auto"/>
              </w:rPr>
            </w:pPr>
          </w:p>
        </w:tc>
        <w:tc>
          <w:tcPr>
            <w:tcW w:w="6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10.11</w:t>
            </w:r>
          </w:p>
        </w:tc>
        <w:tc>
          <w:tcPr>
            <w:tcW w:w="5160" w:type="dxa"/>
            <w:vAlign w:val="bottom"/>
            <w:gridSpan w:val="41"/>
          </w:tcPr>
          <w:p>
            <w:pPr>
              <w:spacing w:after="0"/>
              <w:rPr>
                <w:rFonts w:ascii="Arial" w:cs="Arial" w:eastAsia="Arial" w:hAnsi="Arial"/>
                <w:sz w:val="18"/>
                <w:szCs w:val="18"/>
                <w:color w:val="0000FF"/>
                <w:w w:val="99"/>
              </w:rPr>
            </w:pPr>
            <w:hyperlink r:id="rId109">
              <w:r>
                <w:rPr>
                  <w:rFonts w:ascii="Arial" w:cs="Arial" w:eastAsia="Arial" w:hAnsi="Arial"/>
                  <w:sz w:val="18"/>
                  <w:szCs w:val="18"/>
                  <w:color w:val="0000FF"/>
                  <w:w w:val="99"/>
                </w:rPr>
                <w:t>Cavium, Inc. 2007 Equity Incentive Plan (including forms of grant</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09">
              <w:r>
                <w:rPr>
                  <w:rFonts w:ascii="Arial" w:cs="Arial" w:eastAsia="Arial" w:hAnsi="Arial"/>
                  <w:sz w:val="18"/>
                  <w:szCs w:val="18"/>
                  <w:color w:val="0000FF"/>
                  <w:w w:val="88"/>
                </w:rPr>
                <w:t>notice and agreements)</w:t>
              </w:r>
            </w:hyperlink>
          </w:p>
        </w:tc>
        <w:tc>
          <w:tcPr>
            <w:tcW w:w="3100" w:type="dxa"/>
            <w:vAlign w:val="bottom"/>
            <w:tcBorders>
              <w:top w:val="single" w:sz="8" w:color="0000FF"/>
            </w:tcBorders>
            <w:gridSpan w:val="22"/>
          </w:tcPr>
          <w:p>
            <w:pPr>
              <w:spacing w:after="0"/>
              <w:rPr>
                <w:sz w:val="13"/>
                <w:szCs w:val="13"/>
                <w:color w:val="auto"/>
              </w:rPr>
            </w:pPr>
          </w:p>
        </w:tc>
        <w:tc>
          <w:tcPr>
            <w:tcW w:w="6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10.12</w:t>
            </w:r>
          </w:p>
        </w:tc>
        <w:tc>
          <w:tcPr>
            <w:tcW w:w="5160" w:type="dxa"/>
            <w:vAlign w:val="bottom"/>
            <w:gridSpan w:val="41"/>
          </w:tcPr>
          <w:p>
            <w:pPr>
              <w:spacing w:after="0"/>
              <w:rPr>
                <w:rFonts w:ascii="Arial" w:cs="Arial" w:eastAsia="Arial" w:hAnsi="Arial"/>
                <w:sz w:val="18"/>
                <w:szCs w:val="18"/>
                <w:color w:val="0000FF"/>
              </w:rPr>
            </w:pPr>
            <w:hyperlink r:id="rId110">
              <w:r>
                <w:rPr>
                  <w:rFonts w:ascii="Arial" w:cs="Arial" w:eastAsia="Arial" w:hAnsi="Arial"/>
                  <w:sz w:val="18"/>
                  <w:szCs w:val="18"/>
                  <w:color w:val="0000FF"/>
                </w:rPr>
                <w:t>QLogic Corporation 2005 Performance Incentive Plan (including</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72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110">
              <w:r>
                <w:rPr>
                  <w:rFonts w:ascii="Arial" w:cs="Arial" w:eastAsia="Arial" w:hAnsi="Arial"/>
                  <w:sz w:val="18"/>
                  <w:szCs w:val="18"/>
                  <w:color w:val="0000FF"/>
                </w:rPr>
                <w:t>forms of grant notice and agreements)</w:t>
              </w:r>
            </w:hyperlink>
          </w:p>
        </w:tc>
        <w:tc>
          <w:tcPr>
            <w:tcW w:w="60" w:type="dxa"/>
            <w:vAlign w:val="bottom"/>
            <w:gridSpan w:val="3"/>
          </w:tcPr>
          <w:p>
            <w:pPr>
              <w:spacing w:after="0"/>
              <w:rPr>
                <w:sz w:val="13"/>
                <w:szCs w:val="13"/>
                <w:color w:val="auto"/>
              </w:rPr>
            </w:pPr>
          </w:p>
        </w:tc>
        <w:tc>
          <w:tcPr>
            <w:tcW w:w="100" w:type="dxa"/>
            <w:vAlign w:val="bottom"/>
            <w:gridSpan w:val="4"/>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10.13</w:t>
            </w:r>
          </w:p>
        </w:tc>
        <w:tc>
          <w:tcPr>
            <w:tcW w:w="5160" w:type="dxa"/>
            <w:vAlign w:val="bottom"/>
            <w:gridSpan w:val="41"/>
          </w:tcPr>
          <w:p>
            <w:pPr>
              <w:spacing w:after="0"/>
              <w:rPr>
                <w:rFonts w:ascii="Arial" w:cs="Arial" w:eastAsia="Arial" w:hAnsi="Arial"/>
                <w:sz w:val="18"/>
                <w:szCs w:val="18"/>
                <w:color w:val="0000FF"/>
                <w:w w:val="95"/>
              </w:rPr>
            </w:pPr>
            <w:hyperlink r:id="rId111">
              <w:r>
                <w:rPr>
                  <w:rFonts w:ascii="Arial" w:cs="Arial" w:eastAsia="Arial" w:hAnsi="Arial"/>
                  <w:sz w:val="18"/>
                  <w:szCs w:val="18"/>
                  <w:color w:val="0000FF"/>
                  <w:w w:val="95"/>
                </w:rPr>
                <w:t>Aquantia Corp. 2017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11">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7"/>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10.14</w:t>
            </w:r>
          </w:p>
        </w:tc>
        <w:tc>
          <w:tcPr>
            <w:tcW w:w="5160" w:type="dxa"/>
            <w:vAlign w:val="bottom"/>
            <w:gridSpan w:val="41"/>
          </w:tcPr>
          <w:p>
            <w:pPr>
              <w:spacing w:after="0"/>
              <w:rPr>
                <w:rFonts w:ascii="Arial" w:cs="Arial" w:eastAsia="Arial" w:hAnsi="Arial"/>
                <w:sz w:val="18"/>
                <w:szCs w:val="18"/>
                <w:color w:val="0000FF"/>
                <w:w w:val="95"/>
              </w:rPr>
            </w:pPr>
            <w:hyperlink r:id="rId112">
              <w:r>
                <w:rPr>
                  <w:rFonts w:ascii="Arial" w:cs="Arial" w:eastAsia="Arial" w:hAnsi="Arial"/>
                  <w:sz w:val="18"/>
                  <w:szCs w:val="18"/>
                  <w:color w:val="0000FF"/>
                  <w:w w:val="95"/>
                </w:rPr>
                <w:t>Aquantia Corp. 2015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12">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7"/>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10.15</w:t>
            </w:r>
          </w:p>
        </w:tc>
        <w:tc>
          <w:tcPr>
            <w:tcW w:w="5160" w:type="dxa"/>
            <w:vAlign w:val="bottom"/>
            <w:gridSpan w:val="41"/>
          </w:tcPr>
          <w:p>
            <w:pPr>
              <w:spacing w:after="0"/>
              <w:rPr>
                <w:rFonts w:ascii="Arial" w:cs="Arial" w:eastAsia="Arial" w:hAnsi="Arial"/>
                <w:sz w:val="18"/>
                <w:szCs w:val="18"/>
                <w:color w:val="0000FF"/>
                <w:w w:val="95"/>
              </w:rPr>
            </w:pPr>
            <w:hyperlink r:id="rId113">
              <w:r>
                <w:rPr>
                  <w:rFonts w:ascii="Arial" w:cs="Arial" w:eastAsia="Arial" w:hAnsi="Arial"/>
                  <w:sz w:val="18"/>
                  <w:szCs w:val="18"/>
                  <w:color w:val="0000FF"/>
                  <w:w w:val="95"/>
                </w:rPr>
                <w:t>Aquantia Corp. 2004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13">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7"/>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10.16#</w:t>
            </w:r>
          </w:p>
        </w:tc>
        <w:tc>
          <w:tcPr>
            <w:tcW w:w="5160" w:type="dxa"/>
            <w:vAlign w:val="bottom"/>
            <w:gridSpan w:val="41"/>
          </w:tcPr>
          <w:p>
            <w:pPr>
              <w:spacing w:after="0"/>
              <w:rPr>
                <w:rFonts w:ascii="Arial" w:cs="Arial" w:eastAsia="Arial" w:hAnsi="Arial"/>
                <w:sz w:val="18"/>
                <w:szCs w:val="18"/>
                <w:color w:val="0000FF"/>
                <w:w w:val="93"/>
              </w:rPr>
            </w:pPr>
            <w:hyperlink r:id="rId114">
              <w:r>
                <w:rPr>
                  <w:rFonts w:ascii="Arial" w:cs="Arial" w:eastAsia="Arial" w:hAnsi="Arial"/>
                  <w:sz w:val="18"/>
                  <w:szCs w:val="18"/>
                  <w:color w:val="0000FF"/>
                  <w:w w:val="93"/>
                </w:rPr>
                <w:t>Inphi Corporation Amended and Restated 2010 Stock Incentive Plan,</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20" w:type="dxa"/>
            <w:vAlign w:val="bottom"/>
            <w:tcBorders>
              <w:top w:val="single" w:sz="8" w:color="0000FF"/>
            </w:tcBorders>
            <w:gridSpan w:val="34"/>
          </w:tcPr>
          <w:p>
            <w:pPr>
              <w:spacing w:after="0" w:line="156" w:lineRule="exact"/>
              <w:rPr>
                <w:rFonts w:ascii="Arial" w:cs="Arial" w:eastAsia="Arial" w:hAnsi="Arial"/>
                <w:sz w:val="18"/>
                <w:szCs w:val="18"/>
                <w:color w:val="0000FF"/>
              </w:rPr>
            </w:pPr>
            <w:hyperlink r:id="rId114">
              <w:r>
                <w:rPr>
                  <w:rFonts w:ascii="Arial" w:cs="Arial" w:eastAsia="Arial" w:hAnsi="Arial"/>
                  <w:sz w:val="18"/>
                  <w:szCs w:val="18"/>
                  <w:color w:val="0000FF"/>
                </w:rPr>
                <w:t>as amended and restated on April 14, 2020</w:t>
              </w:r>
            </w:hyperlink>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14"/>
          </w:tcPr>
          <w:p>
            <w:pPr>
              <w:spacing w:after="0"/>
              <w:rPr>
                <w:rFonts w:ascii="Arial" w:cs="Arial" w:eastAsia="Arial" w:hAnsi="Arial"/>
                <w:sz w:val="18"/>
                <w:szCs w:val="18"/>
                <w:color w:val="0000FF"/>
              </w:rPr>
            </w:pPr>
            <w:hyperlink r:id="rId115">
              <w:r>
                <w:rPr>
                  <w:rFonts w:ascii="Arial" w:cs="Arial" w:eastAsia="Arial" w:hAnsi="Arial"/>
                  <w:sz w:val="18"/>
                  <w:szCs w:val="18"/>
                  <w:color w:val="0000FF"/>
                </w:rPr>
                <w:t>Offer letter with Loi Nguyen</w:t>
              </w:r>
            </w:hyperlink>
          </w:p>
        </w:tc>
        <w:tc>
          <w:tcPr>
            <w:tcW w:w="2080" w:type="dxa"/>
            <w:vAlign w:val="bottom"/>
            <w:gridSpan w:val="27"/>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120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220" w:type="dxa"/>
            <w:vAlign w:val="bottom"/>
            <w:gridSpan w:val="9"/>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11"/>
          </w:tcPr>
          <w:p>
            <w:pPr>
              <w:spacing w:after="0"/>
              <w:rPr>
                <w:rFonts w:ascii="Arial" w:cs="Arial" w:eastAsia="Arial" w:hAnsi="Arial"/>
                <w:sz w:val="18"/>
                <w:szCs w:val="18"/>
                <w:color w:val="0000FF"/>
                <w:w w:val="93"/>
              </w:rPr>
            </w:pPr>
            <w:hyperlink r:id="rId116">
              <w:r>
                <w:rPr>
                  <w:rFonts w:ascii="Arial" w:cs="Arial" w:eastAsia="Arial" w:hAnsi="Arial"/>
                  <w:sz w:val="18"/>
                  <w:szCs w:val="18"/>
                  <w:color w:val="0000FF"/>
                  <w:w w:val="93"/>
                </w:rPr>
                <w:t>Offer letter with Nariman Yousefi</w:t>
              </w:r>
            </w:hyperlink>
          </w:p>
        </w:tc>
        <w:tc>
          <w:tcPr>
            <w:tcW w:w="2700" w:type="dxa"/>
            <w:vAlign w:val="bottom"/>
            <w:gridSpan w:val="30"/>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10"/>
          </w:tcPr>
          <w:p>
            <w:pPr>
              <w:spacing w:after="0"/>
              <w:rPr>
                <w:rFonts w:ascii="Arial" w:cs="Arial" w:eastAsia="Arial" w:hAnsi="Arial"/>
                <w:sz w:val="18"/>
                <w:szCs w:val="18"/>
                <w:color w:val="0000FF"/>
                <w:w w:val="93"/>
              </w:rPr>
            </w:pPr>
            <w:hyperlink r:id="rId117">
              <w:r>
                <w:rPr>
                  <w:rFonts w:ascii="Arial" w:cs="Arial" w:eastAsia="Arial" w:hAnsi="Arial"/>
                  <w:sz w:val="18"/>
                  <w:szCs w:val="18"/>
                  <w:color w:val="0000FF"/>
                  <w:w w:val="93"/>
                </w:rPr>
                <w:t>Offer letter with Chris Koopmans</w:t>
              </w:r>
            </w:hyperlink>
          </w:p>
        </w:tc>
        <w:tc>
          <w:tcPr>
            <w:tcW w:w="2720" w:type="dxa"/>
            <w:vAlign w:val="bottom"/>
            <w:gridSpan w:val="31"/>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10.20#</w:t>
            </w:r>
          </w:p>
        </w:tc>
        <w:tc>
          <w:tcPr>
            <w:tcW w:w="4200" w:type="dxa"/>
            <w:vAlign w:val="bottom"/>
            <w:tcBorders>
              <w:bottom w:val="single" w:sz="8" w:color="0000FF"/>
            </w:tcBorders>
            <w:gridSpan w:val="15"/>
          </w:tcPr>
          <w:p>
            <w:pPr>
              <w:spacing w:after="0"/>
              <w:rPr>
                <w:rFonts w:ascii="Arial" w:cs="Arial" w:eastAsia="Arial" w:hAnsi="Arial"/>
                <w:sz w:val="18"/>
                <w:szCs w:val="18"/>
                <w:color w:val="0000FF"/>
                <w:w w:val="90"/>
              </w:rPr>
            </w:pPr>
            <w:hyperlink r:id="rId118">
              <w:r>
                <w:rPr>
                  <w:rFonts w:ascii="Arial" w:cs="Arial" w:eastAsia="Arial" w:hAnsi="Arial"/>
                  <w:sz w:val="18"/>
                  <w:szCs w:val="18"/>
                  <w:color w:val="0000FF"/>
                  <w:w w:val="90"/>
                </w:rPr>
                <w:t>Fiscal Year 2022 Named Executive Officer Compensation</w:t>
              </w:r>
            </w:hyperlink>
          </w:p>
        </w:tc>
        <w:tc>
          <w:tcPr>
            <w:tcW w:w="960" w:type="dxa"/>
            <w:vAlign w:val="bottom"/>
            <w:gridSpan w:val="26"/>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10.21#</w:t>
            </w:r>
          </w:p>
        </w:tc>
        <w:tc>
          <w:tcPr>
            <w:tcW w:w="5160" w:type="dxa"/>
            <w:vAlign w:val="bottom"/>
            <w:gridSpan w:val="41"/>
          </w:tcPr>
          <w:p>
            <w:pPr>
              <w:spacing w:after="0"/>
              <w:rPr>
                <w:rFonts w:ascii="Arial" w:cs="Arial" w:eastAsia="Arial" w:hAnsi="Arial"/>
                <w:sz w:val="18"/>
                <w:szCs w:val="18"/>
                <w:color w:val="0000FF"/>
                <w:w w:val="94"/>
              </w:rPr>
            </w:pPr>
            <w:hyperlink w:anchor="page72">
              <w:r>
                <w:rPr>
                  <w:rFonts w:ascii="Arial" w:cs="Arial" w:eastAsia="Arial" w:hAnsi="Arial"/>
                  <w:sz w:val="18"/>
                  <w:szCs w:val="18"/>
                  <w:color w:val="0000FF"/>
                  <w:w w:val="94"/>
                </w:rPr>
                <w:t>Amended and restated form of stock unit agreement under the 1995</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88"/>
              </w:rPr>
            </w:pPr>
            <w:hyperlink w:anchor="page72">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6"/>
          </w:tcPr>
          <w:p>
            <w:pPr>
              <w:spacing w:after="0"/>
              <w:rPr>
                <w:sz w:val="13"/>
                <w:szCs w:val="13"/>
                <w:color w:val="auto"/>
              </w:rPr>
            </w:pPr>
          </w:p>
        </w:tc>
        <w:tc>
          <w:tcPr>
            <w:tcW w:w="220" w:type="dxa"/>
            <w:vAlign w:val="bottom"/>
            <w:gridSpan w:val="9"/>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10.22#</w:t>
            </w:r>
          </w:p>
        </w:tc>
        <w:tc>
          <w:tcPr>
            <w:tcW w:w="5160" w:type="dxa"/>
            <w:vAlign w:val="bottom"/>
            <w:gridSpan w:val="41"/>
          </w:tcPr>
          <w:p>
            <w:pPr>
              <w:spacing w:after="0"/>
              <w:rPr>
                <w:rFonts w:ascii="Arial" w:cs="Arial" w:eastAsia="Arial" w:hAnsi="Arial"/>
                <w:sz w:val="18"/>
                <w:szCs w:val="18"/>
                <w:color w:val="0000FF"/>
                <w:w w:val="91"/>
              </w:rPr>
            </w:pPr>
            <w:hyperlink w:anchor="page100">
              <w:r>
                <w:rPr>
                  <w:rFonts w:ascii="Arial" w:cs="Arial" w:eastAsia="Arial" w:hAnsi="Arial"/>
                  <w:sz w:val="18"/>
                  <w:szCs w:val="18"/>
                  <w:color w:val="0000FF"/>
                  <w:w w:val="91"/>
                </w:rPr>
                <w:t>Amended and restated form of subscription agreement under the 2000</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00" w:type="dxa"/>
            <w:vAlign w:val="bottom"/>
            <w:tcBorders>
              <w:top w:val="single" w:sz="8" w:color="0000FF"/>
            </w:tcBorders>
            <w:gridSpan w:val="38"/>
          </w:tcPr>
          <w:p>
            <w:pPr>
              <w:spacing w:after="0" w:line="156" w:lineRule="exact"/>
              <w:rPr>
                <w:rFonts w:ascii="Arial" w:cs="Arial" w:eastAsia="Arial" w:hAnsi="Arial"/>
                <w:sz w:val="18"/>
                <w:szCs w:val="18"/>
                <w:color w:val="0000FF"/>
              </w:rPr>
            </w:pPr>
            <w:hyperlink w:anchor="page100">
              <w:r>
                <w:rPr>
                  <w:rFonts w:ascii="Arial" w:cs="Arial" w:eastAsia="Arial" w:hAnsi="Arial"/>
                  <w:sz w:val="18"/>
                  <w:szCs w:val="18"/>
                  <w:color w:val="0000FF"/>
                </w:rPr>
                <w:t>ESPP as amended June 2021</w:t>
              </w:r>
            </w:hyperlink>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340" w:type="dxa"/>
            <w:vAlign w:val="bottom"/>
            <w:gridSpan w:val="9"/>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380" w:type="dxa"/>
            <w:vAlign w:val="bottom"/>
            <w:gridSpan w:val="1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31.1</w:t>
            </w:r>
          </w:p>
        </w:tc>
        <w:tc>
          <w:tcPr>
            <w:tcW w:w="5160" w:type="dxa"/>
            <w:vAlign w:val="bottom"/>
            <w:gridSpan w:val="41"/>
          </w:tcPr>
          <w:p>
            <w:pPr>
              <w:spacing w:after="0"/>
              <w:rPr>
                <w:rFonts w:ascii="Arial" w:cs="Arial" w:eastAsia="Arial" w:hAnsi="Arial"/>
                <w:sz w:val="18"/>
                <w:szCs w:val="18"/>
                <w:color w:val="0000FF"/>
              </w:rPr>
            </w:pPr>
            <w:hyperlink w:anchor="page117">
              <w:r>
                <w:rPr>
                  <w:rFonts w:ascii="Arial" w:cs="Arial" w:eastAsia="Arial" w:hAnsi="Arial"/>
                  <w:sz w:val="18"/>
                  <w:szCs w:val="18"/>
                  <w:color w:val="0000FF"/>
                </w:rPr>
                <w:t>Rule 13a-14(a)/15d-14(a) Certification of the Principal Executive</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78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w:anchor="page117">
              <w:r>
                <w:rPr>
                  <w:rFonts w:ascii="Arial" w:cs="Arial" w:eastAsia="Arial" w:hAnsi="Arial"/>
                  <w:sz w:val="18"/>
                  <w:szCs w:val="18"/>
                  <w:color w:val="0000FF"/>
                </w:rPr>
                <w:t>Officer</w:t>
              </w:r>
            </w:hyperlink>
          </w:p>
        </w:tc>
        <w:tc>
          <w:tcPr>
            <w:tcW w:w="380" w:type="dxa"/>
            <w:vAlign w:val="bottom"/>
            <w:gridSpan w:val="16"/>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2440" w:type="dxa"/>
            <w:vAlign w:val="bottom"/>
            <w:gridSpan w:val="1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80" w:type="dxa"/>
            <w:vAlign w:val="bottom"/>
            <w:gridSpan w:val="21"/>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31.2</w:t>
            </w:r>
          </w:p>
        </w:tc>
        <w:tc>
          <w:tcPr>
            <w:tcW w:w="5160" w:type="dxa"/>
            <w:vAlign w:val="bottom"/>
            <w:gridSpan w:val="41"/>
          </w:tcPr>
          <w:p>
            <w:pPr>
              <w:spacing w:after="0"/>
              <w:rPr>
                <w:rFonts w:ascii="Arial" w:cs="Arial" w:eastAsia="Arial" w:hAnsi="Arial"/>
                <w:sz w:val="18"/>
                <w:szCs w:val="18"/>
                <w:color w:val="0000FF"/>
              </w:rPr>
            </w:pPr>
            <w:hyperlink w:anchor="page118">
              <w:r>
                <w:rPr>
                  <w:rFonts w:ascii="Arial" w:cs="Arial" w:eastAsia="Arial" w:hAnsi="Arial"/>
                  <w:sz w:val="18"/>
                  <w:szCs w:val="18"/>
                  <w:color w:val="0000FF"/>
                </w:rPr>
                <w:t>Rule 13a-14(a)/15d-14(a) Certification of the Principal Financial</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680" w:type="dxa"/>
            <w:vAlign w:val="bottom"/>
            <w:tcBorders>
              <w:top w:val="single" w:sz="8" w:color="0000FF"/>
            </w:tcBorders>
            <w:gridSpan w:val="20"/>
          </w:tcPr>
          <w:p>
            <w:pPr>
              <w:spacing w:after="0" w:line="156" w:lineRule="exact"/>
              <w:rPr>
                <w:rFonts w:ascii="Arial" w:cs="Arial" w:eastAsia="Arial" w:hAnsi="Arial"/>
                <w:sz w:val="18"/>
                <w:szCs w:val="18"/>
                <w:color w:val="0000FF"/>
              </w:rPr>
            </w:pPr>
            <w:hyperlink w:anchor="page118">
              <w:r>
                <w:rPr>
                  <w:rFonts w:ascii="Arial" w:cs="Arial" w:eastAsia="Arial" w:hAnsi="Arial"/>
                  <w:sz w:val="18"/>
                  <w:szCs w:val="18"/>
                  <w:color w:val="0000FF"/>
                </w:rPr>
                <w:t>Officer</w:t>
              </w:r>
            </w:hyperlink>
          </w:p>
        </w:tc>
        <w:tc>
          <w:tcPr>
            <w:tcW w:w="480" w:type="dxa"/>
            <w:vAlign w:val="bottom"/>
            <w:gridSpan w:val="21"/>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2440" w:type="dxa"/>
            <w:vAlign w:val="bottom"/>
            <w:gridSpan w:val="1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gridSpan w:val="2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32.1*</w:t>
            </w:r>
          </w:p>
        </w:tc>
        <w:tc>
          <w:tcPr>
            <w:tcW w:w="5160" w:type="dxa"/>
            <w:vAlign w:val="bottom"/>
            <w:gridSpan w:val="41"/>
          </w:tcPr>
          <w:p>
            <w:pPr>
              <w:spacing w:after="0"/>
              <w:rPr>
                <w:rFonts w:ascii="Arial" w:cs="Arial" w:eastAsia="Arial" w:hAnsi="Arial"/>
                <w:sz w:val="18"/>
                <w:szCs w:val="18"/>
                <w:color w:val="0000FF"/>
              </w:rPr>
            </w:pPr>
            <w:hyperlink w:anchor="page119">
              <w:r>
                <w:rPr>
                  <w:rFonts w:ascii="Arial" w:cs="Arial" w:eastAsia="Arial" w:hAnsi="Arial"/>
                  <w:sz w:val="18"/>
                  <w:szCs w:val="18"/>
                  <w:color w:val="0000FF"/>
                </w:rPr>
                <w:t>Certification Pursuant to 18 U.S.C. Section 1350, as Adopted</w:t>
              </w:r>
            </w:hyperlink>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1980" w:type="dxa"/>
            <w:vAlign w:val="bottom"/>
            <w:gridSpan w:val="6"/>
            <w:shd w:val="clear" w:color="auto" w:fill="0000FF"/>
          </w:tcPr>
          <w:p>
            <w:pPr>
              <w:spacing w:after="0" w:line="20" w:lineRule="exact"/>
              <w:rPr>
                <w:sz w:val="1"/>
                <w:szCs w:val="1"/>
                <w:color w:val="auto"/>
              </w:rPr>
            </w:pPr>
          </w:p>
        </w:tc>
        <w:tc>
          <w:tcPr>
            <w:tcW w:w="2440" w:type="dxa"/>
            <w:vAlign w:val="bottom"/>
            <w:gridSpan w:val="10"/>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gridSpan w:val="2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00" w:type="dxa"/>
            <w:vAlign w:val="bottom"/>
          </w:tcPr>
          <w:p>
            <w:pPr>
              <w:spacing w:after="0"/>
              <w:rPr>
                <w:sz w:val="13"/>
                <w:szCs w:val="13"/>
                <w:color w:val="auto"/>
              </w:rPr>
            </w:pPr>
          </w:p>
        </w:tc>
        <w:tc>
          <w:tcPr>
            <w:tcW w:w="5160" w:type="dxa"/>
            <w:vAlign w:val="bottom"/>
            <w:gridSpan w:val="41"/>
          </w:tcPr>
          <w:p>
            <w:pPr>
              <w:spacing w:after="0" w:line="156" w:lineRule="exact"/>
              <w:rPr>
                <w:rFonts w:ascii="Arial" w:cs="Arial" w:eastAsia="Arial" w:hAnsi="Arial"/>
                <w:sz w:val="18"/>
                <w:szCs w:val="18"/>
                <w:color w:val="0000FF"/>
              </w:rPr>
            </w:pPr>
            <w:hyperlink w:anchor="page119">
              <w:r>
                <w:rPr>
                  <w:rFonts w:ascii="Arial" w:cs="Arial" w:eastAsia="Arial" w:hAnsi="Arial"/>
                  <w:sz w:val="18"/>
                  <w:szCs w:val="18"/>
                  <w:color w:val="0000FF"/>
                </w:rPr>
                <w:t>Pursuant to Section 906 of the Sarbanes-Oxley Act of 2002 for</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54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w:anchor="page119">
              <w:r>
                <w:rPr>
                  <w:rFonts w:ascii="Arial" w:cs="Arial" w:eastAsia="Arial" w:hAnsi="Arial"/>
                  <w:sz w:val="18"/>
                  <w:szCs w:val="18"/>
                  <w:color w:val="0000FF"/>
                </w:rPr>
                <w:t>Principal Executive Officer</w:t>
              </w:r>
            </w:hyperlink>
          </w:p>
        </w:tc>
        <w:tc>
          <w:tcPr>
            <w:tcW w:w="620" w:type="dxa"/>
            <w:vAlign w:val="bottom"/>
            <w:gridSpan w:val="24"/>
          </w:tcPr>
          <w:p>
            <w:pPr>
              <w:spacing w:after="0"/>
              <w:rPr>
                <w:sz w:val="13"/>
                <w:szCs w:val="13"/>
                <w:color w:val="auto"/>
              </w:rPr>
            </w:pPr>
          </w:p>
        </w:tc>
        <w:tc>
          <w:tcPr>
            <w:tcW w:w="0" w:type="dxa"/>
            <w:vAlign w:val="bottom"/>
          </w:tcPr>
          <w:p>
            <w:pPr>
              <w:spacing w:after="0"/>
              <w:rPr>
                <w:sz w:val="1"/>
                <w:szCs w:val="1"/>
                <w:color w:val="auto"/>
              </w:rPr>
            </w:pPr>
          </w:p>
        </w:tc>
      </w:tr>
      <w:tr>
        <w:trPr>
          <w:trHeight w:val="884"/>
        </w:trPr>
        <w:tc>
          <w:tcPr>
            <w:tcW w:w="1000" w:type="dxa"/>
            <w:vAlign w:val="bottom"/>
          </w:tcPr>
          <w:p>
            <w:pPr>
              <w:spacing w:after="0"/>
              <w:rPr>
                <w:sz w:val="24"/>
                <w:szCs w:val="24"/>
                <w:color w:val="auto"/>
              </w:rPr>
            </w:pPr>
          </w:p>
        </w:tc>
        <w:tc>
          <w:tcPr>
            <w:tcW w:w="1980" w:type="dxa"/>
            <w:vAlign w:val="bottom"/>
            <w:tcBorders>
              <w:top w:val="single" w:sz="8" w:color="0000FF"/>
            </w:tcBorders>
            <w:gridSpan w:val="6"/>
          </w:tcPr>
          <w:p>
            <w:pPr>
              <w:spacing w:after="0"/>
              <w:rPr>
                <w:sz w:val="24"/>
                <w:szCs w:val="24"/>
                <w:color w:val="auto"/>
              </w:rPr>
            </w:pPr>
          </w:p>
        </w:tc>
        <w:tc>
          <w:tcPr>
            <w:tcW w:w="2660" w:type="dxa"/>
            <w:vAlign w:val="bottom"/>
            <w:gridSpan w:val="12"/>
          </w:tcPr>
          <w:p>
            <w:pPr>
              <w:jc w:val="right"/>
              <w:ind w:right="60"/>
              <w:spacing w:after="0"/>
              <w:rPr>
                <w:sz w:val="20"/>
                <w:szCs w:val="20"/>
                <w:color w:val="auto"/>
              </w:rPr>
            </w:pPr>
            <w:r>
              <w:rPr>
                <w:rFonts w:ascii="Arial" w:cs="Arial" w:eastAsia="Arial" w:hAnsi="Arial"/>
                <w:sz w:val="18"/>
                <w:szCs w:val="18"/>
                <w:color w:val="auto"/>
              </w:rPr>
              <w:t>68</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12/8/2020</w:t>
            </w:r>
          </w:p>
        </w:tc>
      </w:tr>
      <w:tr>
        <w:trPr>
          <w:trHeight w:val="931"/>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4/21/2021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4/12/2021</w:t>
            </w:r>
          </w:p>
        </w:tc>
      </w:tr>
      <w:tr>
        <w:trPr>
          <w:trHeight w:val="931"/>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4.2</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10.6</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10.5</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10.4</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4.10</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404"/>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10.17</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r>
        <w:trPr>
          <w:trHeight w:val="229"/>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10.18</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000-30877</w:t>
            </w:r>
          </w:p>
        </w:tc>
        <w:tc>
          <w:tcPr>
            <w:tcW w:w="1120" w:type="dxa"/>
            <w:vAlign w:val="bottom"/>
          </w:tcPr>
          <w:p>
            <w:pPr>
              <w:ind w:left="200"/>
              <w:spacing w:after="0"/>
              <w:rPr>
                <w:sz w:val="20"/>
                <w:szCs w:val="20"/>
                <w:color w:val="auto"/>
              </w:rPr>
            </w:pPr>
            <w:r>
              <w:rPr>
                <w:rFonts w:ascii="Arial" w:cs="Arial" w:eastAsia="Arial" w:hAnsi="Arial"/>
                <w:sz w:val="18"/>
                <w:szCs w:val="18"/>
                <w:color w:val="auto"/>
              </w:rPr>
              <w:t>10.4</w:t>
            </w:r>
          </w:p>
        </w:tc>
        <w:tc>
          <w:tcPr>
            <w:tcW w:w="1260" w:type="dxa"/>
            <w:vAlign w:val="bottom"/>
          </w:tcPr>
          <w:p>
            <w:pPr>
              <w:ind w:left="520"/>
              <w:spacing w:after="0"/>
              <w:rPr>
                <w:sz w:val="20"/>
                <w:szCs w:val="20"/>
                <w:color w:val="auto"/>
              </w:rPr>
            </w:pPr>
            <w:r>
              <w:rPr>
                <w:rFonts w:ascii="Arial" w:cs="Arial" w:eastAsia="Arial" w:hAnsi="Arial"/>
                <w:sz w:val="18"/>
                <w:szCs w:val="18"/>
                <w:color w:val="auto"/>
              </w:rPr>
              <w:t>9/8/2016</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10.20</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bl>
    <w:p>
      <w:pPr>
        <w:jc w:val="right"/>
        <w:spacing w:after="0"/>
        <w:rPr>
          <w:sz w:val="20"/>
          <w:szCs w:val="20"/>
          <w:color w:val="auto"/>
        </w:rPr>
      </w:pPr>
      <w:r>
        <w:rPr>
          <w:rFonts w:ascii="Arial" w:cs="Arial" w:eastAsia="Arial" w:hAnsi="Arial"/>
          <w:sz w:val="18"/>
          <w:szCs w:val="18"/>
          <w:color w:val="auto"/>
        </w:rPr>
        <w:t>Filed herewith</w:t>
      </w:r>
    </w:p>
    <w:p>
      <w:pPr>
        <w:spacing w:after="0" w:line="19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ectPr>
          <w:pgSz w:w="11900" w:h="16838" w:orient="portrait"/>
          <w:cols w:equalWidth="0" w:num="2">
            <w:col w:w="6200" w:space="160"/>
            <w:col w:w="4520"/>
          </w:cols>
          <w:pgMar w:left="320" w:top="130" w:right="699" w:bottom="1440" w:gutter="0" w:footer="0" w:header="0"/>
          <w:type w:val="continuous"/>
        </w:sectPr>
      </w:pPr>
    </w:p>
    <w:bookmarkStart w:id="69" w:name="page70"/>
    <w:bookmarkEnd w:id="6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40" w:type="dxa"/>
            <w:vAlign w:val="bottom"/>
          </w:tcPr>
          <w:p>
            <w:pPr>
              <w:ind w:left="120"/>
              <w:spacing w:after="0"/>
              <w:rPr>
                <w:sz w:val="20"/>
                <w:szCs w:val="20"/>
                <w:color w:val="auto"/>
              </w:rPr>
            </w:pPr>
            <w:r>
              <w:rPr>
                <w:rFonts w:ascii="Arial" w:cs="Arial" w:eastAsia="Arial" w:hAnsi="Arial"/>
                <w:sz w:val="18"/>
                <w:szCs w:val="18"/>
                <w:color w:val="auto"/>
              </w:rPr>
              <w:t>32.2*</w:t>
            </w:r>
          </w:p>
        </w:tc>
        <w:tc>
          <w:tcPr>
            <w:tcW w:w="4420" w:type="dxa"/>
            <w:vAlign w:val="bottom"/>
            <w:tcBorders>
              <w:bottom w:val="single" w:sz="8" w:color="0000FF"/>
            </w:tcBorders>
            <w:gridSpan w:val="2"/>
          </w:tcPr>
          <w:p>
            <w:pPr>
              <w:spacing w:after="0"/>
              <w:rPr>
                <w:rFonts w:ascii="Arial" w:cs="Arial" w:eastAsia="Arial" w:hAnsi="Arial"/>
                <w:sz w:val="18"/>
                <w:szCs w:val="18"/>
                <w:color w:val="0000FF"/>
                <w:w w:val="90"/>
              </w:rPr>
            </w:pPr>
            <w:hyperlink w:anchor="page120">
              <w:r>
                <w:rPr>
                  <w:rFonts w:ascii="Arial" w:cs="Arial" w:eastAsia="Arial" w:hAnsi="Arial"/>
                  <w:sz w:val="18"/>
                  <w:szCs w:val="18"/>
                  <w:color w:val="0000FF"/>
                  <w:w w:val="90"/>
                </w:rPr>
                <w:t>Certification Pursuant to 18 U.S.C. Section 1350, as Adopted</w:t>
              </w:r>
            </w:hyperlink>
          </w:p>
        </w:tc>
        <w:tc>
          <w:tcPr>
            <w:tcW w:w="2400" w:type="dxa"/>
            <w:vAlign w:val="bottom"/>
            <w:gridSpan w:val="2"/>
          </w:tcPr>
          <w:p>
            <w:pPr>
              <w:spacing w:after="0"/>
              <w:rPr>
                <w:sz w:val="17"/>
                <w:szCs w:val="17"/>
                <w:color w:val="auto"/>
              </w:rPr>
            </w:pP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55"/>
        </w:trPr>
        <w:tc>
          <w:tcPr>
            <w:tcW w:w="1140" w:type="dxa"/>
            <w:vAlign w:val="bottom"/>
          </w:tcPr>
          <w:p>
            <w:pPr>
              <w:spacing w:after="0"/>
              <w:rPr>
                <w:sz w:val="13"/>
                <w:szCs w:val="13"/>
                <w:color w:val="auto"/>
              </w:rPr>
            </w:pPr>
          </w:p>
        </w:tc>
        <w:tc>
          <w:tcPr>
            <w:tcW w:w="6820" w:type="dxa"/>
            <w:vAlign w:val="bottom"/>
            <w:gridSpan w:val="4"/>
          </w:tcPr>
          <w:p>
            <w:pPr>
              <w:spacing w:after="0" w:line="156" w:lineRule="exact"/>
              <w:rPr>
                <w:rFonts w:ascii="Arial" w:cs="Arial" w:eastAsia="Arial" w:hAnsi="Arial"/>
                <w:sz w:val="18"/>
                <w:szCs w:val="18"/>
                <w:color w:val="0000FF"/>
              </w:rPr>
            </w:pPr>
            <w:hyperlink w:anchor="page120">
              <w:r>
                <w:rPr>
                  <w:rFonts w:ascii="Arial" w:cs="Arial" w:eastAsia="Arial" w:hAnsi="Arial"/>
                  <w:sz w:val="18"/>
                  <w:szCs w:val="18"/>
                  <w:color w:val="0000FF"/>
                </w:rPr>
                <w:t>Pursuant to Section 906 of the Sarbanes-Oxley Act of 2002 for</w:t>
              </w:r>
            </w:hyperlink>
          </w:p>
        </w:tc>
        <w:tc>
          <w:tcPr>
            <w:tcW w:w="2900" w:type="dxa"/>
            <w:vAlign w:val="bottom"/>
          </w:tcPr>
          <w:p>
            <w:pPr>
              <w:spacing w:after="0"/>
              <w:rPr>
                <w:sz w:val="13"/>
                <w:szCs w:val="13"/>
                <w:color w:val="auto"/>
              </w:rPr>
            </w:pPr>
          </w:p>
        </w:tc>
      </w:tr>
      <w:tr>
        <w:trPr>
          <w:trHeight w:val="156"/>
        </w:trPr>
        <w:tc>
          <w:tcPr>
            <w:tcW w:w="1140" w:type="dxa"/>
            <w:vAlign w:val="bottom"/>
          </w:tcPr>
          <w:p>
            <w:pPr>
              <w:spacing w:after="0"/>
              <w:rPr>
                <w:sz w:val="13"/>
                <w:szCs w:val="13"/>
                <w:color w:val="auto"/>
              </w:rPr>
            </w:pPr>
          </w:p>
        </w:tc>
        <w:tc>
          <w:tcPr>
            <w:tcW w:w="4520" w:type="dxa"/>
            <w:vAlign w:val="bottom"/>
            <w:tcBorders>
              <w:top w:val="single" w:sz="8" w:color="0000FF"/>
            </w:tcBorders>
            <w:gridSpan w:val="3"/>
          </w:tcPr>
          <w:p>
            <w:pPr>
              <w:spacing w:after="0" w:line="156" w:lineRule="exact"/>
              <w:rPr>
                <w:rFonts w:ascii="Arial" w:cs="Arial" w:eastAsia="Arial" w:hAnsi="Arial"/>
                <w:sz w:val="18"/>
                <w:szCs w:val="18"/>
                <w:color w:val="0000FF"/>
              </w:rPr>
            </w:pPr>
            <w:hyperlink w:anchor="page120">
              <w:r>
                <w:rPr>
                  <w:rFonts w:ascii="Arial" w:cs="Arial" w:eastAsia="Arial" w:hAnsi="Arial"/>
                  <w:sz w:val="18"/>
                  <w:szCs w:val="18"/>
                  <w:color w:val="0000FF"/>
                </w:rPr>
                <w:t>Principal Financial Officer</w:t>
              </w:r>
            </w:hyperlink>
          </w:p>
        </w:tc>
        <w:tc>
          <w:tcPr>
            <w:tcW w:w="2300" w:type="dxa"/>
            <w:vAlign w:val="bottom"/>
          </w:tcPr>
          <w:p>
            <w:pPr>
              <w:spacing w:after="0"/>
              <w:rPr>
                <w:sz w:val="13"/>
                <w:szCs w:val="13"/>
                <w:color w:val="auto"/>
              </w:rPr>
            </w:pPr>
          </w:p>
        </w:tc>
        <w:tc>
          <w:tcPr>
            <w:tcW w:w="2900" w:type="dxa"/>
            <w:vAlign w:val="bottom"/>
          </w:tcPr>
          <w:p>
            <w:pPr>
              <w:spacing w:after="0"/>
              <w:rPr>
                <w:sz w:val="13"/>
                <w:szCs w:val="13"/>
                <w:color w:val="auto"/>
              </w:rPr>
            </w:pPr>
          </w:p>
        </w:tc>
      </w:tr>
      <w:tr>
        <w:trPr>
          <w:trHeight w:val="20"/>
        </w:trPr>
        <w:tc>
          <w:tcPr>
            <w:tcW w:w="1140" w:type="dxa"/>
            <w:vAlign w:val="bottom"/>
          </w:tcPr>
          <w:p>
            <w:pPr>
              <w:spacing w:after="0" w:line="20" w:lineRule="exact"/>
              <w:rPr>
                <w:sz w:val="1"/>
                <w:szCs w:val="1"/>
                <w:color w:val="auto"/>
              </w:rPr>
            </w:pPr>
          </w:p>
        </w:tc>
        <w:tc>
          <w:tcPr>
            <w:tcW w:w="1920" w:type="dxa"/>
            <w:vAlign w:val="bottom"/>
            <w:shd w:val="clear" w:color="auto" w:fill="0000FF"/>
          </w:tcPr>
          <w:p>
            <w:pPr>
              <w:spacing w:after="0" w:line="20" w:lineRule="exact"/>
              <w:rPr>
                <w:sz w:val="1"/>
                <w:szCs w:val="1"/>
                <w:color w:val="auto"/>
              </w:rPr>
            </w:pPr>
          </w:p>
        </w:tc>
        <w:tc>
          <w:tcPr>
            <w:tcW w:w="4900" w:type="dxa"/>
            <w:vAlign w:val="bottom"/>
            <w:gridSpan w:val="3"/>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r>
      <w:tr>
        <w:trPr>
          <w:trHeight w:val="249"/>
        </w:trPr>
        <w:tc>
          <w:tcPr>
            <w:tcW w:w="1140" w:type="dxa"/>
            <w:vAlign w:val="bottom"/>
          </w:tcPr>
          <w:p>
            <w:pPr>
              <w:spacing w:after="0"/>
              <w:rPr>
                <w:sz w:val="20"/>
                <w:szCs w:val="20"/>
                <w:color w:val="auto"/>
              </w:rPr>
            </w:pPr>
            <w:r>
              <w:rPr>
                <w:rFonts w:ascii="Arial" w:cs="Arial" w:eastAsia="Arial" w:hAnsi="Arial"/>
                <w:sz w:val="18"/>
                <w:szCs w:val="18"/>
                <w:color w:val="auto"/>
              </w:rPr>
              <w:t>101.INS</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Instance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101.SCH</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Taxonomy Extension Schema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30"/>
        </w:trPr>
        <w:tc>
          <w:tcPr>
            <w:tcW w:w="1140" w:type="dxa"/>
            <w:vAlign w:val="bottom"/>
          </w:tcPr>
          <w:p>
            <w:pPr>
              <w:spacing w:after="0"/>
              <w:rPr>
                <w:sz w:val="20"/>
                <w:szCs w:val="20"/>
                <w:color w:val="auto"/>
              </w:rPr>
            </w:pPr>
            <w:r>
              <w:rPr>
                <w:rFonts w:ascii="Arial" w:cs="Arial" w:eastAsia="Arial" w:hAnsi="Arial"/>
                <w:sz w:val="18"/>
                <w:szCs w:val="18"/>
                <w:color w:val="auto"/>
              </w:rPr>
              <w:t>101.CAL</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Taxonomy Extension Calculation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101.DEF</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Taxonomy Extension Definition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101.LAB</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30"/>
        </w:trPr>
        <w:tc>
          <w:tcPr>
            <w:tcW w:w="1140" w:type="dxa"/>
            <w:vAlign w:val="bottom"/>
          </w:tcPr>
          <w:p>
            <w:pPr>
              <w:spacing w:after="0"/>
              <w:rPr>
                <w:sz w:val="20"/>
                <w:szCs w:val="20"/>
                <w:color w:val="auto"/>
              </w:rPr>
            </w:pPr>
            <w:r>
              <w:rPr>
                <w:rFonts w:ascii="Arial" w:cs="Arial" w:eastAsia="Arial" w:hAnsi="Arial"/>
                <w:sz w:val="18"/>
                <w:szCs w:val="18"/>
                <w:color w:val="auto"/>
              </w:rPr>
              <w:t>101.PRE</w:t>
            </w:r>
          </w:p>
        </w:tc>
        <w:tc>
          <w:tcPr>
            <w:tcW w:w="6820" w:type="dxa"/>
            <w:vAlign w:val="bottom"/>
            <w:gridSpan w:val="4"/>
          </w:tcPr>
          <w:p>
            <w:pPr>
              <w:spacing w:after="0"/>
              <w:rPr>
                <w:sz w:val="20"/>
                <w:szCs w:val="20"/>
                <w:color w:val="auto"/>
              </w:rPr>
            </w:pPr>
            <w:r>
              <w:rPr>
                <w:rFonts w:ascii="Arial" w:cs="Arial" w:eastAsia="Arial" w:hAnsi="Arial"/>
                <w:sz w:val="18"/>
                <w:szCs w:val="18"/>
                <w:color w:val="auto"/>
              </w:rPr>
              <w:t>Inline XBRL Taxonomy Extension Presentation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76"/>
        </w:trPr>
        <w:tc>
          <w:tcPr>
            <w:tcW w:w="1140" w:type="dxa"/>
            <w:vAlign w:val="bottom"/>
          </w:tcPr>
          <w:p>
            <w:pPr>
              <w:spacing w:after="0" w:line="176" w:lineRule="exact"/>
              <w:rPr>
                <w:sz w:val="20"/>
                <w:szCs w:val="20"/>
                <w:color w:val="auto"/>
              </w:rPr>
            </w:pPr>
            <w:r>
              <w:rPr>
                <w:rFonts w:ascii="Arial" w:cs="Arial" w:eastAsia="Arial" w:hAnsi="Arial"/>
                <w:sz w:val="18"/>
                <w:szCs w:val="18"/>
                <w:color w:val="auto"/>
              </w:rPr>
              <w:t>104</w:t>
            </w:r>
          </w:p>
        </w:tc>
        <w:tc>
          <w:tcPr>
            <w:tcW w:w="6820" w:type="dxa"/>
            <w:vAlign w:val="bottom"/>
            <w:gridSpan w:val="4"/>
          </w:tcPr>
          <w:p>
            <w:pPr>
              <w:spacing w:after="0" w:line="176" w:lineRule="exact"/>
              <w:rPr>
                <w:sz w:val="20"/>
                <w:szCs w:val="20"/>
                <w:color w:val="auto"/>
              </w:rPr>
            </w:pPr>
            <w:r>
              <w:rPr>
                <w:rFonts w:ascii="Arial" w:cs="Arial" w:eastAsia="Arial" w:hAnsi="Arial"/>
                <w:sz w:val="18"/>
                <w:szCs w:val="18"/>
                <w:color w:val="auto"/>
              </w:rPr>
              <w:t>The cover page for this Form 10-Q, formatted in Inline XBRL</w:t>
            </w:r>
          </w:p>
        </w:tc>
        <w:tc>
          <w:tcPr>
            <w:tcW w:w="2900" w:type="dxa"/>
            <w:vAlign w:val="bottom"/>
          </w:tcPr>
          <w:p>
            <w:pPr>
              <w:ind w:left="1840"/>
              <w:spacing w:after="0" w:line="176" w:lineRule="exact"/>
              <w:rPr>
                <w:sz w:val="20"/>
                <w:szCs w:val="20"/>
                <w:color w:val="auto"/>
              </w:rPr>
            </w:pPr>
            <w:r>
              <w:rPr>
                <w:rFonts w:ascii="Arial" w:cs="Arial" w:eastAsia="Arial" w:hAnsi="Arial"/>
                <w:sz w:val="18"/>
                <w:szCs w:val="18"/>
                <w:color w:val="auto"/>
                <w:w w:val="92"/>
              </w:rPr>
              <w:t>Filed herewith</w:t>
            </w:r>
          </w:p>
        </w:tc>
      </w:tr>
      <w:tr>
        <w:trPr>
          <w:trHeight w:val="230"/>
        </w:trPr>
        <w:tc>
          <w:tcPr>
            <w:tcW w:w="1140" w:type="dxa"/>
            <w:vAlign w:val="bottom"/>
          </w:tcPr>
          <w:p>
            <w:pPr>
              <w:spacing w:after="0"/>
              <w:rPr>
                <w:sz w:val="20"/>
                <w:szCs w:val="20"/>
                <w:color w:val="auto"/>
              </w:rPr>
            </w:pPr>
          </w:p>
        </w:tc>
        <w:tc>
          <w:tcPr>
            <w:tcW w:w="6820" w:type="dxa"/>
            <w:vAlign w:val="bottom"/>
            <w:gridSpan w:val="4"/>
          </w:tcPr>
          <w:p>
            <w:pPr>
              <w:spacing w:after="0"/>
              <w:rPr>
                <w:sz w:val="20"/>
                <w:szCs w:val="20"/>
                <w:color w:val="auto"/>
              </w:rPr>
            </w:pPr>
            <w:r>
              <w:rPr>
                <w:rFonts w:ascii="Arial" w:cs="Arial" w:eastAsia="Arial" w:hAnsi="Arial"/>
                <w:sz w:val="18"/>
                <w:szCs w:val="18"/>
                <w:color w:val="auto"/>
              </w:rPr>
              <w:t>(included in Exhibit 101)</w:t>
            </w:r>
          </w:p>
        </w:tc>
        <w:tc>
          <w:tcPr>
            <w:tcW w:w="2900" w:type="dxa"/>
            <w:vAlign w:val="bottom"/>
          </w:tcPr>
          <w:p>
            <w:pPr>
              <w:spacing w:after="0"/>
              <w:rPr>
                <w:sz w:val="20"/>
                <w:szCs w:val="20"/>
                <w:color w:val="auto"/>
              </w:rPr>
            </w:pPr>
          </w:p>
        </w:tc>
      </w:tr>
    </w:tbl>
    <w:p>
      <w:pPr>
        <w:spacing w:after="0" w:line="120" w:lineRule="exact"/>
        <w:rPr>
          <w:sz w:val="20"/>
          <w:szCs w:val="20"/>
          <w:color w:val="auto"/>
        </w:rPr>
      </w:pPr>
    </w:p>
    <w:p>
      <w:pPr>
        <w:ind w:left="600" w:right="1240" w:hanging="574"/>
        <w:spacing w:after="0" w:line="235" w:lineRule="auto"/>
        <w:tabs>
          <w:tab w:leader="none" w:pos="6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jc w:val="both"/>
        <w:ind w:left="600" w:right="1140" w:hanging="574"/>
        <w:spacing w:after="0" w:line="219" w:lineRule="auto"/>
        <w:tabs>
          <w:tab w:leader="none" w:pos="6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1480" w:hanging="574"/>
        <w:spacing w:after="0" w:line="257" w:lineRule="auto"/>
        <w:tabs>
          <w:tab w:leader="none" w:pos="600" w:val="left"/>
        </w:tabs>
        <w:numPr>
          <w:ilvl w:val="0"/>
          <w:numId w:val="23"/>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880"/>
          </w:cols>
          <w:pgMar w:left="320" w:top="130" w:right="699" w:bottom="1440" w:gutter="0" w:footer="0" w:header="0"/>
        </w:sectPr>
      </w:pPr>
    </w:p>
    <w:bookmarkStart w:id="70" w:name="page71"/>
    <w:bookmarkEnd w:id="7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5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14605</wp:posOffset>
            </wp:positionV>
            <wp:extent cx="2562860"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0680"/>
          </w:cols>
          <w:pgMar w:left="320" w:top="130" w:right="899" w:bottom="1440" w:gutter="0" w:footer="0" w:header="0"/>
        </w:sectPr>
      </w:pPr>
    </w:p>
    <w:bookmarkStart w:id="71" w:name="page72"/>
    <w:bookmarkEnd w:id="71"/>
    <w:p>
      <w:pPr>
        <w:jc w:val="center"/>
        <w:spacing w:after="0"/>
        <w:rPr>
          <w:sz w:val="20"/>
          <w:szCs w:val="20"/>
          <w:color w:val="auto"/>
        </w:rPr>
      </w:pPr>
      <w:r>
        <w:rPr>
          <w:rFonts w:ascii="Arial" w:cs="Arial" w:eastAsia="Arial" w:hAnsi="Arial"/>
          <w:sz w:val="22"/>
          <w:szCs w:val="22"/>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AMENDED AND RESTATED 1995 STOCK OPTION PLAN</w:t>
      </w:r>
    </w:p>
    <w:p>
      <w:pPr>
        <w:spacing w:after="0" w:line="1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UNIT AGREEMENT</w:t>
      </w:r>
    </w:p>
    <w:p>
      <w:pPr>
        <w:spacing w:after="0" w:line="200" w:lineRule="exact"/>
        <w:rPr>
          <w:sz w:val="20"/>
          <w:szCs w:val="20"/>
          <w:color w:val="auto"/>
        </w:rPr>
      </w:pPr>
    </w:p>
    <w:p>
      <w:pPr>
        <w:spacing w:after="0" w:line="242" w:lineRule="exact"/>
        <w:rPr>
          <w:sz w:val="20"/>
          <w:szCs w:val="20"/>
          <w:color w:val="auto"/>
        </w:rPr>
      </w:pPr>
    </w:p>
    <w:p>
      <w:pPr>
        <w:jc w:val="both"/>
        <w:ind w:firstLine="656"/>
        <w:spacing w:after="0" w:line="247" w:lineRule="auto"/>
        <w:tabs>
          <w:tab w:leader="none" w:pos="1296" w:val="left"/>
        </w:tabs>
        <w:numPr>
          <w:ilvl w:val="0"/>
          <w:numId w:val="24"/>
        </w:numPr>
        <w:rPr>
          <w:rFonts w:ascii="Arial" w:cs="Arial" w:eastAsia="Arial" w:hAnsi="Arial"/>
          <w:sz w:val="22"/>
          <w:szCs w:val="22"/>
          <w:color w:val="auto"/>
        </w:rPr>
      </w:pPr>
      <w:r>
        <w:rPr>
          <w:rFonts w:ascii="Arial" w:cs="Arial" w:eastAsia="Arial" w:hAnsi="Arial"/>
          <w:sz w:val="22"/>
          <w:szCs w:val="22"/>
          <w:u w:val="single" w:color="auto"/>
          <w:color w:val="auto"/>
        </w:rPr>
        <w:t>Grant</w:t>
      </w:r>
      <w:r>
        <w:rPr>
          <w:rFonts w:ascii="Arial" w:cs="Arial" w:eastAsia="Arial" w:hAnsi="Arial"/>
          <w:sz w:val="22"/>
          <w:szCs w:val="22"/>
          <w:color w:val="auto"/>
        </w:rPr>
        <w:t>. The Company hereby grants to the participant named in the Notice of Grant (“Participant”) an Award of restricted stock units (“Stock Units”), subject to all of the terms and conditions in this Stock Unit Agreement, including any additional terms and conditions for Participant’s country set forth in the appendix attached hereto (the “Appendix” and, collectively with this Stock Unit Agreement, the “Agreement”) and the Amended and Restated 1995 Stock Option Plan (the “Plan”), which is incorporated herein by reference. Capitalized terms used herein but not defined shall have the same meaning as ascribed in the Plan.</w:t>
      </w:r>
    </w:p>
    <w:p>
      <w:pPr>
        <w:spacing w:after="0" w:line="192" w:lineRule="exact"/>
        <w:rPr>
          <w:rFonts w:ascii="Arial" w:cs="Arial" w:eastAsia="Arial" w:hAnsi="Arial"/>
          <w:sz w:val="22"/>
          <w:szCs w:val="22"/>
          <w:color w:val="auto"/>
        </w:rPr>
      </w:pPr>
    </w:p>
    <w:p>
      <w:pPr>
        <w:jc w:val="both"/>
        <w:ind w:firstLine="656"/>
        <w:spacing w:after="0" w:line="287" w:lineRule="auto"/>
        <w:tabs>
          <w:tab w:leader="none" w:pos="1296" w:val="left"/>
        </w:tabs>
        <w:numPr>
          <w:ilvl w:val="0"/>
          <w:numId w:val="24"/>
        </w:numPr>
        <w:rPr>
          <w:rFonts w:ascii="Arial" w:cs="Arial" w:eastAsia="Arial" w:hAnsi="Arial"/>
          <w:sz w:val="19"/>
          <w:szCs w:val="19"/>
          <w:color w:val="auto"/>
        </w:rPr>
      </w:pPr>
      <w:r>
        <w:rPr>
          <w:rFonts w:ascii="Arial" w:cs="Arial" w:eastAsia="Arial" w:hAnsi="Arial"/>
          <w:sz w:val="19"/>
          <w:szCs w:val="19"/>
          <w:u w:val="single" w:color="auto"/>
          <w:color w:val="auto"/>
        </w:rPr>
        <w:t>Company’s Obligation to Pay</w:t>
      </w:r>
      <w:r>
        <w:rPr>
          <w:rFonts w:ascii="Arial" w:cs="Arial" w:eastAsia="Arial" w:hAnsi="Arial"/>
          <w:sz w:val="19"/>
          <w:szCs w:val="19"/>
          <w:color w:val="auto"/>
        </w:rPr>
        <w:t>. Each Stock Unit represents the right to receive a Share on the date it vests. It is a bookkeeping entry that represents only the Company’s unfunded and unsecured promise to issue Shares (or distribute cash) on a future date. As a holder of Stock Units, Participant has no rights other than the rights of a general creditor of the Company. Unless and until the Stock Units will have vested in the manner set forth in Section 3, Participant will have no right to payment under any such Stock Units. Prior to actual payment under any vested Stock Units, such Stock Units will represent an unsecured obligation of the Company, payable (if at all) only from the general assets of the Company. Any Stock Units that vest in accordance with Section 3 or 4 will be settled to Participant (or in the event of Participant’s death, to his or her estate or legal representative) in whole Shares, subject to any withholding obligations with respect to Tax-Related Items as defined and set forth in Section 7. Subject to the provisions of Section 4, such vested Stock Units will be paid in Shares as soon as practicable after vesting, but in each such case within the period ending no later than the date that is two and one half (2½) months from the end of the calendar year that includes the vesting date.</w:t>
      </w:r>
    </w:p>
    <w:p>
      <w:pPr>
        <w:spacing w:after="0" w:line="163" w:lineRule="exact"/>
        <w:rPr>
          <w:rFonts w:ascii="Arial" w:cs="Arial" w:eastAsia="Arial" w:hAnsi="Arial"/>
          <w:sz w:val="19"/>
          <w:szCs w:val="19"/>
          <w:color w:val="auto"/>
        </w:rPr>
      </w:pPr>
    </w:p>
    <w:p>
      <w:pPr>
        <w:jc w:val="both"/>
        <w:ind w:firstLine="656"/>
        <w:spacing w:after="0" w:line="259" w:lineRule="auto"/>
        <w:tabs>
          <w:tab w:leader="none" w:pos="1296" w:val="left"/>
        </w:tabs>
        <w:numPr>
          <w:ilvl w:val="0"/>
          <w:numId w:val="24"/>
        </w:numPr>
        <w:rPr>
          <w:rFonts w:ascii="Arial" w:cs="Arial" w:eastAsia="Arial" w:hAnsi="Arial"/>
          <w:sz w:val="21"/>
          <w:szCs w:val="21"/>
          <w:color w:val="auto"/>
        </w:rPr>
      </w:pPr>
      <w:r>
        <w:rPr>
          <w:rFonts w:ascii="Arial" w:cs="Arial" w:eastAsia="Arial" w:hAnsi="Arial"/>
          <w:sz w:val="21"/>
          <w:szCs w:val="21"/>
          <w:u w:val="single" w:color="auto"/>
          <w:color w:val="auto"/>
        </w:rPr>
        <w:t>Vesting Schedule</w:t>
      </w:r>
      <w:r>
        <w:rPr>
          <w:rFonts w:ascii="Arial" w:cs="Arial" w:eastAsia="Arial" w:hAnsi="Arial"/>
          <w:sz w:val="21"/>
          <w:szCs w:val="21"/>
          <w:color w:val="auto"/>
        </w:rPr>
        <w:t>. Except as provided in Section 4, and subject to Section 5, the Stock Units awarded by this Agreement will vest in accordance with the vesting provisions set forth in the Notice of Grant. Stock Units scheduled to vest on a certain date or upon the occurrence of a certain condition will not vest in Participant, unless Participant has provided Continuous Service from the date of grant until the date such vesting occurs in accordance with the provisions of this Agreement. If Participant goes on an approved leave of absence, then, subject to applicable law,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w:t>
      </w:r>
    </w:p>
    <w:p>
      <w:pPr>
        <w:spacing w:after="0" w:line="183" w:lineRule="exact"/>
        <w:rPr>
          <w:rFonts w:ascii="Arial" w:cs="Arial" w:eastAsia="Arial" w:hAnsi="Arial"/>
          <w:sz w:val="21"/>
          <w:szCs w:val="21"/>
          <w:color w:val="auto"/>
        </w:rPr>
      </w:pPr>
    </w:p>
    <w:p>
      <w:pPr>
        <w:jc w:val="both"/>
        <w:ind w:firstLine="656"/>
        <w:spacing w:after="0" w:line="253" w:lineRule="auto"/>
        <w:tabs>
          <w:tab w:leader="none" w:pos="1296" w:val="left"/>
        </w:tabs>
        <w:numPr>
          <w:ilvl w:val="0"/>
          <w:numId w:val="24"/>
        </w:numPr>
        <w:rPr>
          <w:rFonts w:ascii="Arial" w:cs="Arial" w:eastAsia="Arial" w:hAnsi="Arial"/>
          <w:sz w:val="22"/>
          <w:szCs w:val="22"/>
          <w:color w:val="auto"/>
        </w:rPr>
      </w:pPr>
      <w:r>
        <w:rPr>
          <w:rFonts w:ascii="Arial" w:cs="Arial" w:eastAsia="Arial" w:hAnsi="Arial"/>
          <w:sz w:val="22"/>
          <w:szCs w:val="22"/>
          <w:u w:val="single" w:color="auto"/>
          <w:color w:val="auto"/>
        </w:rPr>
        <w:t>Administrator Discretion</w:t>
      </w:r>
      <w:r>
        <w:rPr>
          <w:rFonts w:ascii="Arial" w:cs="Arial" w:eastAsia="Arial" w:hAnsi="Arial"/>
          <w:sz w:val="22"/>
          <w:szCs w:val="22"/>
          <w:color w:val="auto"/>
        </w:rPr>
        <w:t>. The Administrator, in its discretion, may accelerate the vesting of the unvested Stock Units, or some lesser portion thereof, at any time, subject to the terms of the Plan. If so accelerated, such Stock Units will be considered as having vested as of the date specified by the Administrator.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spacing w:after="0"/>
        <w:rPr>
          <w:sz w:val="20"/>
          <w:szCs w:val="20"/>
          <w:color w:val="auto"/>
        </w:rPr>
      </w:pPr>
      <w:r>
        <w:rPr>
          <w:rFonts w:ascii="Arial" w:cs="Arial" w:eastAsia="Arial" w:hAnsi="Arial"/>
          <w:sz w:val="22"/>
          <w:szCs w:val="22"/>
          <w:color w:val="auto"/>
        </w:rPr>
        <w:t>6728180-v4\GESDMS – May 2021</w:t>
      </w:r>
    </w:p>
    <w:p>
      <w:pPr>
        <w:sectPr>
          <w:pgSz w:w="11900" w:h="16838" w:orient="portrait"/>
          <w:cols w:equalWidth="0" w:num="1">
            <w:col w:w="11240"/>
          </w:cols>
          <w:pgMar w:left="320" w:top="1422" w:right="339" w:bottom="1440" w:gutter="0" w:footer="0" w:header="0"/>
        </w:sectPr>
      </w:pPr>
    </w:p>
    <w:bookmarkStart w:id="72" w:name="page73"/>
    <w:bookmarkEnd w:id="72"/>
    <w:p>
      <w:pPr>
        <w:jc w:val="both"/>
        <w:ind w:firstLine="1296"/>
        <w:spacing w:after="0" w:line="286" w:lineRule="auto"/>
        <w:rPr>
          <w:sz w:val="20"/>
          <w:szCs w:val="20"/>
          <w:color w:val="auto"/>
        </w:rPr>
      </w:pPr>
      <w:r>
        <w:rPr>
          <w:rFonts w:ascii="Arial" w:cs="Arial" w:eastAsia="Arial" w:hAnsi="Arial"/>
          <w:sz w:val="19"/>
          <w:szCs w:val="19"/>
          <w:color w:val="auto"/>
        </w:rPr>
        <w:t>For U.S. tax purposes, notwithstanding anything in the Plan or this Agreement to the contrary, if the vesting of unvested Stock Units, or some lesser portion thereof, is accelerated in connection with Participant’s termination of Continuous Service (provided that such termination is a “separation from service” within the meaning of Section 409A, as determined by the Company), other than due to death, and if (x) Participant is a “specified employee” within the meaning of Section 409A at the time of such termination of Continuous Service and (y) the settlement of such accelerated Stock Units will result in the imposition of additional tax under Section 409A if the underlying Shares are paid to Participant on or within the six (6)-month period following Participant’s termination of Continuous Service, then the settlement of such accelerated Stock Units in Shares will not be made until the date six (6) months and one (1) day following the date of Participant’s termination of Continuous Service, unless Participant dies following his or her termination of Continuous Service, in which case the Stock Units will be settled in Shares to Participant’s estate as soon as practicable following his or her death. It is the intent of this Agreement to comply with the requirements of Section 409A so that none of the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U.S. Treasury Regulations and U.S. Internal Revenue Service guidance thereunder, as each may be amended from time to time.</w:t>
      </w:r>
    </w:p>
    <w:p>
      <w:pPr>
        <w:spacing w:after="0" w:line="162" w:lineRule="exact"/>
        <w:rPr>
          <w:sz w:val="20"/>
          <w:szCs w:val="20"/>
          <w:color w:val="auto"/>
        </w:rPr>
      </w:pPr>
    </w:p>
    <w:p>
      <w:pPr>
        <w:jc w:val="both"/>
        <w:ind w:firstLine="656"/>
        <w:spacing w:after="0" w:line="287" w:lineRule="auto"/>
        <w:tabs>
          <w:tab w:leader="none" w:pos="1296" w:val="left"/>
        </w:tabs>
        <w:numPr>
          <w:ilvl w:val="0"/>
          <w:numId w:val="25"/>
        </w:numPr>
        <w:rPr>
          <w:rFonts w:ascii="Arial" w:cs="Arial" w:eastAsia="Arial" w:hAnsi="Arial"/>
          <w:sz w:val="19"/>
          <w:szCs w:val="19"/>
          <w:color w:val="auto"/>
        </w:rPr>
      </w:pPr>
      <w:r>
        <w:rPr>
          <w:rFonts w:ascii="Arial" w:cs="Arial" w:eastAsia="Arial" w:hAnsi="Arial"/>
          <w:sz w:val="19"/>
          <w:szCs w:val="19"/>
          <w:u w:val="single" w:color="auto"/>
          <w:color w:val="auto"/>
        </w:rPr>
        <w:t>Forfeiture upon Termination of Continuous Service</w:t>
      </w:r>
      <w:r>
        <w:rPr>
          <w:rFonts w:ascii="Arial" w:cs="Arial" w:eastAsia="Arial" w:hAnsi="Arial"/>
          <w:sz w:val="19"/>
          <w:szCs w:val="19"/>
          <w:color w:val="auto"/>
        </w:rPr>
        <w:t>. Notwithstanding any contrary provision of this Agreement, in the event Participant’s Continuous Service is terminated (regardless of the reason of the termination and whether or not such termination is later found invalid or in breach of employment laws in the jurisdiction where Participant is employed or otherwise providing services or the terms of Participant’s employment or other service agreement, if any), any Stock Units that have not vested as of the date of such termination (the “Termination Date,” as further defined below) will immediately terminate and the Shares covered by the outstanding Stock Units shall revert to the Plan. For purposes of this Agreement, the Termination Date will be the date Participant is no longer actively providing services to the Company or any Parent or Subsidiary and will not be extended by any notice period (</w:t>
      </w:r>
      <w:r>
        <w:rPr>
          <w:rFonts w:ascii="Arial" w:cs="Arial" w:eastAsia="Arial" w:hAnsi="Arial"/>
          <w:sz w:val="19"/>
          <w:szCs w:val="19"/>
          <w:i w:val="1"/>
          <w:iCs w:val="1"/>
          <w:color w:val="auto"/>
        </w:rPr>
        <w:t>e.g.</w:t>
      </w:r>
      <w:r>
        <w:rPr>
          <w:rFonts w:ascii="Arial" w:cs="Arial" w:eastAsia="Arial" w:hAnsi="Arial"/>
          <w:sz w:val="19"/>
          <w:szCs w:val="19"/>
          <w:color w:val="auto"/>
        </w:rPr>
        <w:t>, the period of Participant’s Continuous Service would not include any contractual notice period or any period of “garden leave” or similar period mandated under local law or Participant’s employment or other service agreement, if any). The Administrator shall have the sole discretion to determine when the Termination Date occurs for purposes of the Stock Units (including whether Participant may still be considered to be providing services while on a leave of absence).</w:t>
      </w:r>
    </w:p>
    <w:p>
      <w:pPr>
        <w:spacing w:after="0" w:line="163" w:lineRule="exact"/>
        <w:rPr>
          <w:rFonts w:ascii="Arial" w:cs="Arial" w:eastAsia="Arial" w:hAnsi="Arial"/>
          <w:sz w:val="19"/>
          <w:szCs w:val="19"/>
          <w:color w:val="auto"/>
        </w:rPr>
      </w:pPr>
    </w:p>
    <w:p>
      <w:pPr>
        <w:jc w:val="both"/>
        <w:ind w:firstLine="656"/>
        <w:spacing w:after="0" w:line="247" w:lineRule="auto"/>
        <w:tabs>
          <w:tab w:leader="none" w:pos="1296" w:val="left"/>
        </w:tabs>
        <w:numPr>
          <w:ilvl w:val="0"/>
          <w:numId w:val="25"/>
        </w:numPr>
        <w:rPr>
          <w:rFonts w:ascii="Arial" w:cs="Arial" w:eastAsia="Arial" w:hAnsi="Arial"/>
          <w:sz w:val="22"/>
          <w:szCs w:val="22"/>
          <w:color w:val="auto"/>
        </w:rPr>
      </w:pPr>
      <w:r>
        <w:rPr>
          <w:rFonts w:ascii="Arial" w:cs="Arial" w:eastAsia="Arial" w:hAnsi="Arial"/>
          <w:sz w:val="22"/>
          <w:szCs w:val="22"/>
          <w:u w:val="single" w:color="auto"/>
          <w:color w:val="auto"/>
        </w:rPr>
        <w:t>Death of Participant</w:t>
      </w:r>
      <w:r>
        <w:rPr>
          <w:rFonts w:ascii="Arial" w:cs="Arial" w:eastAsia="Arial" w:hAnsi="Arial"/>
          <w:sz w:val="22"/>
          <w:szCs w:val="22"/>
          <w:color w:val="auto"/>
        </w:rPr>
        <w:t>. Any distribution or delivery to be made to Participant under this Agreement will, if Participant is then deceased, be made to Participant’s designated beneficiary, or if no beneficiary survives Participant or if a beneficiary designation is not valid (for employees outside the United States), the administrator, executor or legal representative of Participant’s estate. Any such transferee must furnish the Company with (a) a written notice of his or her status as transferee, and (b) evidence satisfactory to the Company to establish the validity of the transfer and compliance with any U.S. and non-U.S. laws or regulations pertaining to said transfer.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2</w:t>
      </w:r>
    </w:p>
    <w:p>
      <w:pPr>
        <w:sectPr>
          <w:pgSz w:w="11900" w:h="16838" w:orient="portrait"/>
          <w:cols w:equalWidth="0" w:num="1">
            <w:col w:w="11240"/>
          </w:cols>
          <w:pgMar w:left="320" w:top="1428" w:right="339" w:bottom="1440" w:gutter="0" w:footer="0" w:header="0"/>
        </w:sectPr>
      </w:pPr>
    </w:p>
    <w:bookmarkStart w:id="73" w:name="page74"/>
    <w:bookmarkEnd w:id="73"/>
    <w:p>
      <w:pPr>
        <w:jc w:val="both"/>
        <w:ind w:firstLine="656"/>
        <w:spacing w:after="0" w:line="286" w:lineRule="auto"/>
        <w:tabs>
          <w:tab w:leader="none" w:pos="1296" w:val="left"/>
        </w:tabs>
        <w:numPr>
          <w:ilvl w:val="0"/>
          <w:numId w:val="26"/>
        </w:numPr>
        <w:rPr>
          <w:rFonts w:ascii="Arial" w:cs="Arial" w:eastAsia="Arial" w:hAnsi="Arial"/>
          <w:sz w:val="19"/>
          <w:szCs w:val="19"/>
          <w:color w:val="auto"/>
        </w:rPr>
      </w:pPr>
      <w:r>
        <w:rPr>
          <w:rFonts w:ascii="Arial" w:cs="Arial" w:eastAsia="Arial" w:hAnsi="Arial"/>
          <w:sz w:val="19"/>
          <w:szCs w:val="19"/>
          <w:u w:val="single" w:color="auto"/>
          <w:color w:val="auto"/>
        </w:rPr>
        <w:t>Responsibility for Taxes</w:t>
      </w:r>
      <w:r>
        <w:rPr>
          <w:rFonts w:ascii="Arial" w:cs="Arial" w:eastAsia="Arial" w:hAnsi="Arial"/>
          <w:sz w:val="19"/>
          <w:szCs w:val="19"/>
          <w:color w:val="auto"/>
        </w:rPr>
        <w:t>. Participant acknowledges that, regardless of any action taken by the Company or, if different, the Parent or Subsidiary that employs Participant or to which Participant otherwise renders services (the “Employer”), the ultimate liability for all income tax, social insurance, payroll tax, fringe benefits tax, payment on account or other tax-related items related to Participant’s participation in the Plan and legally applicable or deemed applicable to Participant (“Tax-Related Items”) is and remains Participant’s responsibility and may exceed the amount, if any, actually withheld by the Company or the Employer. Participant further acknowledges that the Company and/or the Employer (i) make no representations or undertakings regarding the treatment of any Tax-Related Items in connection with any aspect of the Stock Units, including, but not limited to, the grant, vesting or settlement of the Stock Units, the issuance of Shares upon settlement of the Stock Units, the subsequent sale of Shares acquired pursuant to such issuance and the receipt of any dividends or dividend equivalents; and (ii) do not commit to and are under no obligation to structure the terms of the grant or any aspect of the Stock Units to reduce or eliminate Participant’s liability for Tax-Related Items or achieve any particular tax result. Further, Participant acknowledges that if Participant is subject to Tax-Related Items in more than one jurisdiction, the Company and/or the Employer (or former employer, as applicable) may be required to withhold or account for Tax-Related Items in more than one jurisdiction.</w:t>
      </w:r>
    </w:p>
    <w:p>
      <w:pPr>
        <w:spacing w:after="0" w:line="166" w:lineRule="exact"/>
        <w:rPr>
          <w:sz w:val="20"/>
          <w:szCs w:val="20"/>
          <w:color w:val="auto"/>
        </w:rPr>
      </w:pPr>
    </w:p>
    <w:p>
      <w:pPr>
        <w:jc w:val="both"/>
        <w:ind w:firstLine="1296"/>
        <w:spacing w:after="0" w:line="265" w:lineRule="auto"/>
        <w:rPr>
          <w:sz w:val="20"/>
          <w:szCs w:val="20"/>
          <w:color w:val="auto"/>
        </w:rPr>
      </w:pPr>
      <w:r>
        <w:rPr>
          <w:rFonts w:ascii="Arial" w:cs="Arial" w:eastAsia="Arial" w:hAnsi="Arial"/>
          <w:sz w:val="21"/>
          <w:szCs w:val="21"/>
          <w:color w:val="auto"/>
        </w:rPr>
        <w:t>Prior to any relevant taxable or tax withholding event, as applicable, Participant will make adequate arrangements satisfactory to the Company and/or the Employer to satisfy all Tax-Related Items. In this regard, Participant authorizes the Company and/or the Employer, or their respective agents, at their discretion, to satisfy their withholding obligations, if any, with regard to all applicable Tax-Related Items by one or a combination of the following:</w:t>
      </w:r>
    </w:p>
    <w:p>
      <w:pPr>
        <w:spacing w:after="0" w:line="175" w:lineRule="exact"/>
        <w:rPr>
          <w:sz w:val="20"/>
          <w:szCs w:val="20"/>
          <w:color w:val="auto"/>
        </w:rPr>
      </w:pPr>
    </w:p>
    <w:p>
      <w:pPr>
        <w:ind w:left="1960" w:hanging="656"/>
        <w:spacing w:after="0" w:line="263" w:lineRule="auto"/>
        <w:tabs>
          <w:tab w:leader="none" w:pos="1958" w:val="left"/>
        </w:tabs>
        <w:numPr>
          <w:ilvl w:val="0"/>
          <w:numId w:val="27"/>
        </w:numPr>
        <w:rPr>
          <w:rFonts w:ascii="Arial" w:cs="Arial" w:eastAsia="Arial" w:hAnsi="Arial"/>
          <w:sz w:val="20"/>
          <w:szCs w:val="20"/>
          <w:color w:val="auto"/>
        </w:rPr>
      </w:pPr>
      <w:r>
        <w:rPr>
          <w:rFonts w:ascii="Arial" w:cs="Arial" w:eastAsia="Arial" w:hAnsi="Arial"/>
          <w:sz w:val="22"/>
          <w:szCs w:val="22"/>
          <w:color w:val="auto"/>
        </w:rPr>
        <w:t>withholding from Participant’s wages or other cash compensation payable to Participant by the Company, the Employer and/or any other Parent or Subsidiary;</w:t>
      </w:r>
    </w:p>
    <w:p>
      <w:pPr>
        <w:spacing w:after="0" w:line="174" w:lineRule="exact"/>
        <w:rPr>
          <w:rFonts w:ascii="Arial" w:cs="Arial" w:eastAsia="Arial" w:hAnsi="Arial"/>
          <w:sz w:val="20"/>
          <w:szCs w:val="20"/>
          <w:color w:val="auto"/>
        </w:rPr>
      </w:pPr>
    </w:p>
    <w:p>
      <w:pPr>
        <w:ind w:left="1960" w:hanging="656"/>
        <w:spacing w:after="0"/>
        <w:tabs>
          <w:tab w:leader="none" w:pos="1960" w:val="left"/>
        </w:tabs>
        <w:numPr>
          <w:ilvl w:val="0"/>
          <w:numId w:val="27"/>
        </w:numPr>
        <w:rPr>
          <w:rFonts w:ascii="Arial" w:cs="Arial" w:eastAsia="Arial" w:hAnsi="Arial"/>
          <w:sz w:val="20"/>
          <w:szCs w:val="20"/>
          <w:color w:val="auto"/>
        </w:rPr>
      </w:pPr>
      <w:r>
        <w:rPr>
          <w:rFonts w:ascii="Arial" w:cs="Arial" w:eastAsia="Arial" w:hAnsi="Arial"/>
          <w:sz w:val="22"/>
          <w:szCs w:val="22"/>
          <w:color w:val="auto"/>
        </w:rPr>
        <w:t>accepting a payment from Participant in the form of cash, check or wire transfer;</w:t>
      </w:r>
    </w:p>
    <w:p>
      <w:pPr>
        <w:spacing w:after="0" w:line="219" w:lineRule="exact"/>
        <w:rPr>
          <w:rFonts w:ascii="Arial" w:cs="Arial" w:eastAsia="Arial" w:hAnsi="Arial"/>
          <w:sz w:val="20"/>
          <w:szCs w:val="20"/>
          <w:color w:val="auto"/>
        </w:rPr>
      </w:pPr>
    </w:p>
    <w:p>
      <w:pPr>
        <w:jc w:val="both"/>
        <w:ind w:left="1960" w:hanging="656"/>
        <w:spacing w:after="0" w:line="253" w:lineRule="auto"/>
        <w:tabs>
          <w:tab w:leader="none" w:pos="1960" w:val="left"/>
        </w:tabs>
        <w:numPr>
          <w:ilvl w:val="0"/>
          <w:numId w:val="27"/>
        </w:numPr>
        <w:rPr>
          <w:rFonts w:ascii="Arial" w:cs="Arial" w:eastAsia="Arial" w:hAnsi="Arial"/>
          <w:sz w:val="20"/>
          <w:szCs w:val="20"/>
          <w:color w:val="auto"/>
        </w:rPr>
      </w:pPr>
      <w:r>
        <w:rPr>
          <w:rFonts w:ascii="Arial" w:cs="Arial" w:eastAsia="Arial" w:hAnsi="Arial"/>
          <w:sz w:val="22"/>
          <w:szCs w:val="22"/>
          <w:color w:val="auto"/>
        </w:rPr>
        <w:t>withholding from proceeds of the sale of Shares acquired upon vesting/settlement of the Stock Units either through a voluntary sale or through a mandatory sale arranged by the Company (on Participant’s behalf pursuant to this authorization without further consent);</w:t>
      </w:r>
    </w:p>
    <w:p>
      <w:pPr>
        <w:spacing w:after="0" w:line="185" w:lineRule="exact"/>
        <w:rPr>
          <w:rFonts w:ascii="Arial" w:cs="Arial" w:eastAsia="Arial" w:hAnsi="Arial"/>
          <w:sz w:val="20"/>
          <w:szCs w:val="20"/>
          <w:color w:val="auto"/>
        </w:rPr>
      </w:pPr>
    </w:p>
    <w:p>
      <w:pPr>
        <w:jc w:val="both"/>
        <w:ind w:left="1960" w:hanging="656"/>
        <w:spacing w:after="0" w:line="246" w:lineRule="auto"/>
        <w:tabs>
          <w:tab w:leader="none" w:pos="1949" w:val="left"/>
        </w:tabs>
        <w:numPr>
          <w:ilvl w:val="0"/>
          <w:numId w:val="27"/>
        </w:numPr>
        <w:rPr>
          <w:rFonts w:ascii="Arial" w:cs="Arial" w:eastAsia="Arial" w:hAnsi="Arial"/>
          <w:sz w:val="20"/>
          <w:szCs w:val="20"/>
          <w:color w:val="auto"/>
        </w:rPr>
      </w:pPr>
      <w:r>
        <w:rPr>
          <w:rFonts w:ascii="Arial" w:cs="Arial" w:eastAsia="Arial" w:hAnsi="Arial"/>
          <w:sz w:val="22"/>
          <w:szCs w:val="22"/>
          <w:color w:val="auto"/>
        </w:rPr>
        <w:t>withholding Shares to be issued upon vesting/settlement of the Stock Units, provided, however, that if Participant is a Section 16 officer of the Company under the Exchange Act, then Participant may elect the form of withholding from the alternatives above in advance of any taxable or tax withholding event, as applicable, and in the absence of Participant's timely election, the Company will withhold Shares upon the relevant taxable or tax withholding event or the Committee (as constituted in accordance with Rule 16b-3 under the Exchange Act) may determine that a particular method be used to satisfy any obligations for Tax Related Items; 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3</w:t>
      </w:r>
    </w:p>
    <w:p>
      <w:pPr>
        <w:sectPr>
          <w:pgSz w:w="11900" w:h="16838" w:orient="portrait"/>
          <w:cols w:equalWidth="0" w:num="1">
            <w:col w:w="11240"/>
          </w:cols>
          <w:pgMar w:left="320" w:top="1428" w:right="339" w:bottom="1440" w:gutter="0" w:footer="0" w:header="0"/>
        </w:sectPr>
      </w:pPr>
    </w:p>
    <w:bookmarkStart w:id="74" w:name="page75"/>
    <w:bookmarkEnd w:id="74"/>
    <w:p>
      <w:pPr>
        <w:ind w:left="1960" w:hanging="656"/>
        <w:spacing w:after="0" w:line="263" w:lineRule="auto"/>
        <w:tabs>
          <w:tab w:leader="none" w:pos="1948" w:val="left"/>
        </w:tabs>
        <w:numPr>
          <w:ilvl w:val="0"/>
          <w:numId w:val="28"/>
        </w:numPr>
        <w:rPr>
          <w:rFonts w:ascii="Arial" w:cs="Arial" w:eastAsia="Arial" w:hAnsi="Arial"/>
          <w:sz w:val="20"/>
          <w:szCs w:val="20"/>
          <w:color w:val="auto"/>
        </w:rPr>
      </w:pPr>
      <w:r>
        <w:rPr>
          <w:rFonts w:ascii="Arial" w:cs="Arial" w:eastAsia="Arial" w:hAnsi="Arial"/>
          <w:sz w:val="22"/>
          <w:szCs w:val="22"/>
          <w:color w:val="auto"/>
        </w:rPr>
        <w:t>any other method of withholding determined by the Company and, to the extent required by applicable law or the Plan, approved by the Committee.</w:t>
      </w:r>
    </w:p>
    <w:p>
      <w:pPr>
        <w:spacing w:after="0" w:line="175" w:lineRule="exact"/>
        <w:rPr>
          <w:sz w:val="20"/>
          <w:szCs w:val="20"/>
          <w:color w:val="auto"/>
        </w:rPr>
      </w:pPr>
    </w:p>
    <w:p>
      <w:pPr>
        <w:jc w:val="both"/>
        <w:ind w:firstLine="1296"/>
        <w:spacing w:after="0" w:line="259" w:lineRule="auto"/>
        <w:rPr>
          <w:sz w:val="20"/>
          <w:szCs w:val="20"/>
          <w:color w:val="auto"/>
        </w:rPr>
      </w:pPr>
      <w:r>
        <w:rPr>
          <w:rFonts w:ascii="Arial" w:cs="Arial" w:eastAsia="Arial" w:hAnsi="Arial"/>
          <w:sz w:val="21"/>
          <w:szCs w:val="21"/>
          <w:color w:val="auto"/>
        </w:rPr>
        <w:t>The Company may withhold or account for Tax-Related Items by considering statutory or other applicable withholding rates, including minimum or maximum rates applicable in Participant’s jurisdiction(s). In the event of over-withholding, Participant may receive a refund of any over-withheld amount in cash with no entitlement to the equivalent in Shares, or, if not refunded, Participant may be able to seek a refund from the local tax authorities. In the event of under-withholding, Participant may be required to pay additional Tax-Related Items directly to the applicable tax authorities. If the obligation for Tax-Related Items is satisfied by withholding Shares, for tax purposes, Participant will be deemed to have been issued the full number of Shares subject to the vested Stock Units, notwithstanding that a number of the Shares is held back solely for the purpose of paying the Tax-Related Items.</w:t>
      </w:r>
    </w:p>
    <w:p>
      <w:pPr>
        <w:spacing w:after="0" w:line="183" w:lineRule="exact"/>
        <w:rPr>
          <w:sz w:val="20"/>
          <w:szCs w:val="20"/>
          <w:color w:val="auto"/>
        </w:rPr>
      </w:pPr>
    </w:p>
    <w:p>
      <w:pPr>
        <w:jc w:val="both"/>
        <w:ind w:firstLine="1296"/>
        <w:spacing w:after="0" w:line="253" w:lineRule="auto"/>
        <w:rPr>
          <w:sz w:val="20"/>
          <w:szCs w:val="20"/>
          <w:color w:val="auto"/>
        </w:rPr>
      </w:pPr>
      <w:r>
        <w:rPr>
          <w:rFonts w:ascii="Arial" w:cs="Arial" w:eastAsia="Arial" w:hAnsi="Arial"/>
          <w:sz w:val="22"/>
          <w:szCs w:val="22"/>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185" w:lineRule="exact"/>
        <w:rPr>
          <w:sz w:val="20"/>
          <w:szCs w:val="20"/>
          <w:color w:val="auto"/>
        </w:rPr>
      </w:pPr>
    </w:p>
    <w:p>
      <w:pPr>
        <w:jc w:val="both"/>
        <w:ind w:firstLine="1296"/>
        <w:spacing w:after="0" w:line="253" w:lineRule="auto"/>
        <w:rPr>
          <w:sz w:val="20"/>
          <w:szCs w:val="20"/>
          <w:color w:val="auto"/>
        </w:rPr>
      </w:pPr>
      <w:r>
        <w:rPr>
          <w:rFonts w:ascii="Arial" w:cs="Arial" w:eastAsia="Arial" w:hAnsi="Arial"/>
          <w:sz w:val="22"/>
          <w:szCs w:val="22"/>
          <w:color w:val="auto"/>
        </w:rPr>
        <w:t>If Participant fails to make satisfactory arrangements to satisfy applicable withholding obligations for Tax-Related Items hereunder, Participant will permanently forfeit such Stock Units and any right to receive Shares thereunder and the Stock Units will be returned to the Company at no cost to the Company.</w:t>
      </w:r>
    </w:p>
    <w:p>
      <w:pPr>
        <w:spacing w:after="0" w:line="185" w:lineRule="exact"/>
        <w:rPr>
          <w:sz w:val="20"/>
          <w:szCs w:val="20"/>
          <w:color w:val="auto"/>
        </w:rPr>
      </w:pPr>
    </w:p>
    <w:p>
      <w:pPr>
        <w:jc w:val="both"/>
        <w:ind w:firstLine="656"/>
        <w:spacing w:after="0" w:line="247" w:lineRule="auto"/>
        <w:tabs>
          <w:tab w:leader="none" w:pos="1296" w:val="left"/>
        </w:tabs>
        <w:numPr>
          <w:ilvl w:val="0"/>
          <w:numId w:val="29"/>
        </w:numPr>
        <w:rPr>
          <w:rFonts w:ascii="Arial" w:cs="Arial" w:eastAsia="Arial" w:hAnsi="Arial"/>
          <w:sz w:val="22"/>
          <w:szCs w:val="22"/>
          <w:color w:val="auto"/>
        </w:rPr>
      </w:pPr>
      <w:r>
        <w:rPr>
          <w:rFonts w:ascii="Arial" w:cs="Arial" w:eastAsia="Arial" w:hAnsi="Arial"/>
          <w:sz w:val="22"/>
          <w:szCs w:val="22"/>
          <w:u w:val="single" w:color="auto"/>
          <w:color w:val="auto"/>
        </w:rPr>
        <w:t>Rights as Shareholder</w:t>
      </w:r>
      <w:r>
        <w:rPr>
          <w:rFonts w:ascii="Arial" w:cs="Arial" w:eastAsia="Arial" w:hAnsi="Arial"/>
          <w:sz w:val="22"/>
          <w:szCs w:val="22"/>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(including by way of book entry). After such issuance, recordation and delivery, Participant will have all the rights of a shareholder of the Company with respect to voting such Shares and receipt of dividends and distributions on such Shares.</w:t>
      </w:r>
    </w:p>
    <w:p>
      <w:pPr>
        <w:spacing w:after="0" w:line="192" w:lineRule="exact"/>
        <w:rPr>
          <w:rFonts w:ascii="Arial" w:cs="Arial" w:eastAsia="Arial" w:hAnsi="Arial"/>
          <w:sz w:val="22"/>
          <w:szCs w:val="22"/>
          <w:color w:val="auto"/>
        </w:rPr>
      </w:pPr>
    </w:p>
    <w:p>
      <w:pPr>
        <w:ind w:left="1300" w:hanging="644"/>
        <w:spacing w:after="0"/>
        <w:tabs>
          <w:tab w:leader="none" w:pos="1300" w:val="left"/>
        </w:tabs>
        <w:numPr>
          <w:ilvl w:val="0"/>
          <w:numId w:val="29"/>
        </w:numPr>
        <w:rPr>
          <w:rFonts w:ascii="Arial" w:cs="Arial" w:eastAsia="Arial" w:hAnsi="Arial"/>
          <w:sz w:val="21"/>
          <w:szCs w:val="21"/>
          <w:color w:val="auto"/>
        </w:rPr>
      </w:pPr>
      <w:r>
        <w:rPr>
          <w:rFonts w:ascii="Arial" w:cs="Arial" w:eastAsia="Arial" w:hAnsi="Arial"/>
          <w:sz w:val="21"/>
          <w:szCs w:val="21"/>
          <w:u w:val="single" w:color="auto"/>
          <w:color w:val="auto"/>
        </w:rPr>
        <w:t>Nature of Grant</w:t>
      </w:r>
      <w:r>
        <w:rPr>
          <w:rFonts w:ascii="Arial" w:cs="Arial" w:eastAsia="Arial" w:hAnsi="Arial"/>
          <w:sz w:val="21"/>
          <w:szCs w:val="21"/>
          <w:color w:val="auto"/>
        </w:rPr>
        <w:t>. By accepting the Stock Units, Participant understands, acknowledges and agrees that:</w:t>
      </w:r>
    </w:p>
    <w:p>
      <w:pPr>
        <w:spacing w:after="0" w:line="231" w:lineRule="exact"/>
        <w:rPr>
          <w:rFonts w:ascii="Arial" w:cs="Arial" w:eastAsia="Arial" w:hAnsi="Arial"/>
          <w:sz w:val="21"/>
          <w:szCs w:val="21"/>
          <w:color w:val="auto"/>
        </w:rPr>
      </w:pPr>
    </w:p>
    <w:p>
      <w:pPr>
        <w:ind w:firstLine="1304"/>
        <w:spacing w:after="0" w:line="263" w:lineRule="auto"/>
        <w:tabs>
          <w:tab w:leader="none" w:pos="1941" w:val="left"/>
        </w:tabs>
        <w:numPr>
          <w:ilvl w:val="1"/>
          <w:numId w:val="29"/>
        </w:numPr>
        <w:rPr>
          <w:rFonts w:ascii="Arial" w:cs="Arial" w:eastAsia="Arial" w:hAnsi="Arial"/>
          <w:sz w:val="22"/>
          <w:szCs w:val="22"/>
          <w:color w:val="auto"/>
        </w:rPr>
      </w:pPr>
      <w:r>
        <w:rPr>
          <w:rFonts w:ascii="Arial" w:cs="Arial" w:eastAsia="Arial" w:hAnsi="Arial"/>
          <w:sz w:val="22"/>
          <w:szCs w:val="22"/>
          <w:color w:val="auto"/>
        </w:rPr>
        <w:t>the Plan is established voluntarily by the Company, it is discretionary in nature and it may be modified, amended, suspended or terminated by the Company at any time, to the extent permitted by the Plan;</w:t>
      </w:r>
    </w:p>
    <w:p>
      <w:pPr>
        <w:spacing w:after="0" w:line="174" w:lineRule="exact"/>
        <w:rPr>
          <w:rFonts w:ascii="Arial" w:cs="Arial" w:eastAsia="Arial" w:hAnsi="Arial"/>
          <w:sz w:val="22"/>
          <w:szCs w:val="22"/>
          <w:color w:val="auto"/>
        </w:rPr>
      </w:pPr>
    </w:p>
    <w:p>
      <w:pPr>
        <w:jc w:val="both"/>
        <w:ind w:firstLine="1304"/>
        <w:spacing w:after="0" w:line="253" w:lineRule="auto"/>
        <w:tabs>
          <w:tab w:leader="none" w:pos="1939" w:val="left"/>
        </w:tabs>
        <w:numPr>
          <w:ilvl w:val="1"/>
          <w:numId w:val="29"/>
        </w:numPr>
        <w:rPr>
          <w:rFonts w:ascii="Arial" w:cs="Arial" w:eastAsia="Arial" w:hAnsi="Arial"/>
          <w:sz w:val="22"/>
          <w:szCs w:val="22"/>
          <w:color w:val="auto"/>
        </w:rPr>
      </w:pPr>
      <w:r>
        <w:rPr>
          <w:rFonts w:ascii="Arial" w:cs="Arial" w:eastAsia="Arial" w:hAnsi="Arial"/>
          <w:sz w:val="22"/>
          <w:szCs w:val="22"/>
          <w:color w:val="auto"/>
        </w:rPr>
        <w:t>the grant of the Stock Units is exceptional, voluntary and occasional and does not create any contractual or other right to receive future grants of restricted stock units, or benefits in lieu of restricted stock units, even if restricted stock units have been granted in the past;</w:t>
      </w:r>
    </w:p>
    <w:p>
      <w:pPr>
        <w:spacing w:after="0" w:line="185" w:lineRule="exact"/>
        <w:rPr>
          <w:rFonts w:ascii="Arial" w:cs="Arial" w:eastAsia="Arial" w:hAnsi="Arial"/>
          <w:sz w:val="22"/>
          <w:szCs w:val="22"/>
          <w:color w:val="auto"/>
        </w:rPr>
      </w:pPr>
    </w:p>
    <w:p>
      <w:pPr>
        <w:ind w:left="1940" w:hanging="636"/>
        <w:spacing w:after="0"/>
        <w:tabs>
          <w:tab w:leader="none" w:pos="1940" w:val="left"/>
        </w:tabs>
        <w:numPr>
          <w:ilvl w:val="1"/>
          <w:numId w:val="29"/>
        </w:numPr>
        <w:rPr>
          <w:rFonts w:ascii="Arial" w:cs="Arial" w:eastAsia="Arial" w:hAnsi="Arial"/>
          <w:sz w:val="19"/>
          <w:szCs w:val="19"/>
          <w:color w:val="auto"/>
        </w:rPr>
      </w:pPr>
      <w:r>
        <w:rPr>
          <w:rFonts w:ascii="Arial" w:cs="Arial" w:eastAsia="Arial" w:hAnsi="Arial"/>
          <w:sz w:val="19"/>
          <w:szCs w:val="19"/>
          <w:color w:val="auto"/>
        </w:rPr>
        <w:t>all decisions with respect to future restricted stock unit grants, if any, will be at the sole discretion of the</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4</w:t>
      </w:r>
    </w:p>
    <w:p>
      <w:pPr>
        <w:sectPr>
          <w:pgSz w:w="11900" w:h="16838" w:orient="portrait"/>
          <w:cols w:equalWidth="0" w:num="1">
            <w:col w:w="11240"/>
          </w:cols>
          <w:pgMar w:left="320" w:top="1428" w:right="339" w:bottom="1440" w:gutter="0" w:footer="0" w:header="0"/>
        </w:sectPr>
      </w:pPr>
    </w:p>
    <w:bookmarkStart w:id="75" w:name="page76"/>
    <w:bookmarkEnd w:id="75"/>
    <w:p>
      <w:pPr>
        <w:jc w:val="both"/>
        <w:ind w:firstLine="1304"/>
        <w:spacing w:after="0" w:line="250" w:lineRule="auto"/>
        <w:tabs>
          <w:tab w:leader="none" w:pos="1939" w:val="left"/>
        </w:tabs>
        <w:numPr>
          <w:ilvl w:val="0"/>
          <w:numId w:val="30"/>
        </w:numPr>
        <w:rPr>
          <w:rFonts w:ascii="Arial" w:cs="Arial" w:eastAsia="Arial" w:hAnsi="Arial"/>
          <w:sz w:val="22"/>
          <w:szCs w:val="22"/>
          <w:color w:val="auto"/>
        </w:rPr>
      </w:pPr>
      <w:r>
        <w:rPr>
          <w:rFonts w:ascii="Arial" w:cs="Arial" w:eastAsia="Arial" w:hAnsi="Arial"/>
          <w:sz w:val="22"/>
          <w:szCs w:val="22"/>
          <w:color w:val="auto"/>
        </w:rPr>
        <w:t>the grant of the Stock Units and Participant’s participation in the Plan do not create a right to employment and shall not be interpreted as forming or amending an employment or services contract with the Company, the Employer or any other Parent or Subsidiary and shall not interfere with the ability of the Employer to terminate Participant’s employment or other service relationship (if any);</w:t>
      </w:r>
    </w:p>
    <w:p>
      <w:pPr>
        <w:spacing w:after="0" w:line="187" w:lineRule="exact"/>
        <w:rPr>
          <w:rFonts w:ascii="Arial" w:cs="Arial" w:eastAsia="Arial" w:hAnsi="Arial"/>
          <w:sz w:val="22"/>
          <w:szCs w:val="22"/>
          <w:color w:val="auto"/>
        </w:rPr>
      </w:pPr>
    </w:p>
    <w:p>
      <w:pPr>
        <w:ind w:left="1940" w:hanging="636"/>
        <w:spacing w:after="0"/>
        <w:tabs>
          <w:tab w:leader="none" w:pos="1940" w:val="left"/>
        </w:tabs>
        <w:numPr>
          <w:ilvl w:val="0"/>
          <w:numId w:val="30"/>
        </w:numPr>
        <w:rPr>
          <w:rFonts w:ascii="Arial" w:cs="Arial" w:eastAsia="Arial" w:hAnsi="Arial"/>
          <w:sz w:val="22"/>
          <w:szCs w:val="22"/>
          <w:color w:val="auto"/>
        </w:rPr>
      </w:pPr>
      <w:r>
        <w:rPr>
          <w:rFonts w:ascii="Arial" w:cs="Arial" w:eastAsia="Arial" w:hAnsi="Arial"/>
          <w:sz w:val="22"/>
          <w:szCs w:val="22"/>
          <w:color w:val="auto"/>
        </w:rPr>
        <w:t>Participant is voluntarily participating in the Plan;</w:t>
      </w:r>
    </w:p>
    <w:p>
      <w:pPr>
        <w:spacing w:after="0" w:line="219" w:lineRule="exact"/>
        <w:rPr>
          <w:rFonts w:ascii="Arial" w:cs="Arial" w:eastAsia="Arial" w:hAnsi="Arial"/>
          <w:sz w:val="22"/>
          <w:szCs w:val="22"/>
          <w:color w:val="auto"/>
        </w:rPr>
      </w:pPr>
    </w:p>
    <w:p>
      <w:pPr>
        <w:ind w:right="20" w:firstLine="1304"/>
        <w:spacing w:after="0" w:line="263" w:lineRule="auto"/>
        <w:tabs>
          <w:tab w:leader="none" w:pos="1944" w:val="left"/>
        </w:tabs>
        <w:numPr>
          <w:ilvl w:val="0"/>
          <w:numId w:val="30"/>
        </w:numPr>
        <w:rPr>
          <w:rFonts w:ascii="Arial" w:cs="Arial" w:eastAsia="Arial" w:hAnsi="Arial"/>
          <w:sz w:val="22"/>
          <w:szCs w:val="22"/>
          <w:color w:val="auto"/>
        </w:rPr>
      </w:pPr>
      <w:r>
        <w:rPr>
          <w:rFonts w:ascii="Arial" w:cs="Arial" w:eastAsia="Arial" w:hAnsi="Arial"/>
          <w:sz w:val="22"/>
          <w:szCs w:val="22"/>
          <w:color w:val="auto"/>
        </w:rPr>
        <w:t>the Stock Units and the Shares subject to the Stock Units, and the income from and value of same, are not intended to replace any pension rights or compensation;</w:t>
      </w:r>
    </w:p>
    <w:p>
      <w:pPr>
        <w:spacing w:after="0" w:line="174" w:lineRule="exact"/>
        <w:rPr>
          <w:rFonts w:ascii="Arial" w:cs="Arial" w:eastAsia="Arial" w:hAnsi="Arial"/>
          <w:sz w:val="22"/>
          <w:szCs w:val="22"/>
          <w:color w:val="auto"/>
        </w:rPr>
      </w:pPr>
    </w:p>
    <w:p>
      <w:pPr>
        <w:jc w:val="both"/>
        <w:ind w:firstLine="1304"/>
        <w:spacing w:after="0" w:line="302" w:lineRule="auto"/>
        <w:tabs>
          <w:tab w:leader="none" w:pos="1939" w:val="left"/>
        </w:tabs>
        <w:numPr>
          <w:ilvl w:val="0"/>
          <w:numId w:val="30"/>
        </w:numPr>
        <w:rPr>
          <w:rFonts w:ascii="Arial" w:cs="Arial" w:eastAsia="Arial" w:hAnsi="Arial"/>
          <w:sz w:val="19"/>
          <w:szCs w:val="19"/>
          <w:color w:val="auto"/>
        </w:rPr>
      </w:pPr>
      <w:r>
        <w:rPr>
          <w:rFonts w:ascii="Arial" w:cs="Arial" w:eastAsia="Arial" w:hAnsi="Arial"/>
          <w:sz w:val="19"/>
          <w:szCs w:val="19"/>
          <w:color w:val="auto"/>
        </w:rPr>
        <w:t>the Stock Units and the Shares subject to the Stock Units, and the income from and value of same, are not part of normal or expected compensation or salary for any purpose, including, but not limited to, calculating any severance, resignation, termination, redundancy, dismissal, end-of-service payments, holiday pay, bonuses, long-service awards, leave-related payments, holiday top-up, pension or retirement, or welfare benefits or similar mandatory payments;</w:t>
      </w:r>
    </w:p>
    <w:p>
      <w:pPr>
        <w:spacing w:after="0" w:line="142" w:lineRule="exact"/>
        <w:rPr>
          <w:rFonts w:ascii="Arial" w:cs="Arial" w:eastAsia="Arial" w:hAnsi="Arial"/>
          <w:sz w:val="19"/>
          <w:szCs w:val="19"/>
          <w:color w:val="auto"/>
        </w:rPr>
      </w:pPr>
    </w:p>
    <w:p>
      <w:pPr>
        <w:jc w:val="both"/>
        <w:ind w:right="20" w:firstLine="1304"/>
        <w:spacing w:after="0" w:line="253" w:lineRule="auto"/>
        <w:tabs>
          <w:tab w:leader="none" w:pos="1939" w:val="left"/>
        </w:tabs>
        <w:numPr>
          <w:ilvl w:val="0"/>
          <w:numId w:val="30"/>
        </w:numPr>
        <w:rPr>
          <w:rFonts w:ascii="Arial" w:cs="Arial" w:eastAsia="Arial" w:hAnsi="Arial"/>
          <w:sz w:val="22"/>
          <w:szCs w:val="22"/>
          <w:color w:val="auto"/>
        </w:rPr>
      </w:pPr>
      <w:r>
        <w:rPr>
          <w:rFonts w:ascii="Arial" w:cs="Arial" w:eastAsia="Arial" w:hAnsi="Arial"/>
          <w:sz w:val="22"/>
          <w:szCs w:val="22"/>
          <w:color w:val="auto"/>
        </w:rPr>
        <w:t>unless otherwise agreed in writing with the Company, the Stock Units and the Shares subject to the Stock Units, and the income from and value of same, are not granted as consideration for, or in connection with, any service Participant may provide as a director of any Parent or Subsidiary;</w:t>
      </w:r>
    </w:p>
    <w:p>
      <w:pPr>
        <w:spacing w:after="0" w:line="185" w:lineRule="exact"/>
        <w:rPr>
          <w:rFonts w:ascii="Arial" w:cs="Arial" w:eastAsia="Arial" w:hAnsi="Arial"/>
          <w:sz w:val="22"/>
          <w:szCs w:val="22"/>
          <w:color w:val="auto"/>
        </w:rPr>
      </w:pPr>
    </w:p>
    <w:p>
      <w:pPr>
        <w:ind w:left="1940" w:hanging="636"/>
        <w:spacing w:after="0"/>
        <w:tabs>
          <w:tab w:leader="none" w:pos="1940" w:val="left"/>
        </w:tabs>
        <w:numPr>
          <w:ilvl w:val="0"/>
          <w:numId w:val="30"/>
        </w:numPr>
        <w:rPr>
          <w:rFonts w:ascii="Arial" w:cs="Arial" w:eastAsia="Arial" w:hAnsi="Arial"/>
          <w:sz w:val="21"/>
          <w:szCs w:val="21"/>
          <w:color w:val="auto"/>
        </w:rPr>
      </w:pPr>
      <w:r>
        <w:rPr>
          <w:rFonts w:ascii="Arial" w:cs="Arial" w:eastAsia="Arial" w:hAnsi="Arial"/>
          <w:sz w:val="21"/>
          <w:szCs w:val="21"/>
          <w:color w:val="auto"/>
        </w:rPr>
        <w:t>the future value of the underlying Shares is unknown, indeterminable and cannot be predicted with</w:t>
      </w:r>
    </w:p>
    <w:p>
      <w:pPr>
        <w:spacing w:after="0" w:line="32" w:lineRule="exact"/>
        <w:rPr>
          <w:rFonts w:ascii="Arial" w:cs="Arial" w:eastAsia="Arial" w:hAnsi="Arial"/>
          <w:sz w:val="21"/>
          <w:szCs w:val="21"/>
          <w:color w:val="auto"/>
        </w:rPr>
      </w:pPr>
    </w:p>
    <w:p>
      <w:pPr>
        <w:spacing w:after="0"/>
        <w:rPr>
          <w:rFonts w:ascii="Arial" w:cs="Arial" w:eastAsia="Arial" w:hAnsi="Arial"/>
          <w:sz w:val="21"/>
          <w:szCs w:val="21"/>
          <w:color w:val="auto"/>
        </w:rPr>
      </w:pPr>
      <w:r>
        <w:rPr>
          <w:rFonts w:ascii="Arial" w:cs="Arial" w:eastAsia="Arial" w:hAnsi="Arial"/>
          <w:sz w:val="22"/>
          <w:szCs w:val="22"/>
          <w:color w:val="auto"/>
        </w:rPr>
        <w:t>certainty;</w:t>
      </w:r>
    </w:p>
    <w:p>
      <w:pPr>
        <w:spacing w:after="0" w:line="201" w:lineRule="exact"/>
        <w:rPr>
          <w:rFonts w:ascii="Arial" w:cs="Arial" w:eastAsia="Arial" w:hAnsi="Arial"/>
          <w:sz w:val="21"/>
          <w:szCs w:val="21"/>
          <w:color w:val="auto"/>
        </w:rPr>
      </w:pPr>
    </w:p>
    <w:p>
      <w:pPr>
        <w:jc w:val="both"/>
        <w:ind w:firstLine="1304"/>
        <w:spacing w:after="0" w:line="248" w:lineRule="auto"/>
        <w:tabs>
          <w:tab w:leader="none" w:pos="1932" w:val="left"/>
        </w:tabs>
        <w:numPr>
          <w:ilvl w:val="0"/>
          <w:numId w:val="30"/>
        </w:numPr>
        <w:rPr>
          <w:rFonts w:ascii="Arial" w:cs="Arial" w:eastAsia="Arial" w:hAnsi="Arial"/>
          <w:sz w:val="22"/>
          <w:szCs w:val="22"/>
          <w:color w:val="auto"/>
        </w:rPr>
      </w:pPr>
      <w:r>
        <w:rPr>
          <w:rFonts w:ascii="Arial" w:cs="Arial" w:eastAsia="Arial" w:hAnsi="Arial"/>
          <w:sz w:val="22"/>
          <w:szCs w:val="22"/>
          <w:color w:val="auto"/>
        </w:rPr>
        <w:t>no claim or entitlement to compensation or damages shall arise from forfeiture of the Stock Units resulting from (i) the application of any recoupment or recovery policy adopted by the Company or otherwise required by law, or (ii) termination of Participant’s Continuous Service (for any reason whatsoever, whether or not later found to be invalid or in breach of local labor laws in the jurisdiction where Participant is employed or otherwise providing services or the terms of his or her employment or other service contract, if any);</w:t>
      </w:r>
    </w:p>
    <w:p>
      <w:pPr>
        <w:spacing w:after="0" w:line="191" w:lineRule="exact"/>
        <w:rPr>
          <w:rFonts w:ascii="Arial" w:cs="Arial" w:eastAsia="Arial" w:hAnsi="Arial"/>
          <w:sz w:val="22"/>
          <w:szCs w:val="22"/>
          <w:color w:val="auto"/>
        </w:rPr>
      </w:pPr>
    </w:p>
    <w:p>
      <w:pPr>
        <w:jc w:val="both"/>
        <w:ind w:firstLine="1304"/>
        <w:spacing w:after="0" w:line="271" w:lineRule="auto"/>
        <w:tabs>
          <w:tab w:leader="none" w:pos="1939" w:val="left"/>
        </w:tabs>
        <w:numPr>
          <w:ilvl w:val="0"/>
          <w:numId w:val="30"/>
        </w:numPr>
        <w:rPr>
          <w:rFonts w:ascii="Arial" w:cs="Arial" w:eastAsia="Arial" w:hAnsi="Arial"/>
          <w:sz w:val="21"/>
          <w:szCs w:val="21"/>
          <w:color w:val="auto"/>
        </w:rPr>
      </w:pPr>
      <w:r>
        <w:rPr>
          <w:rFonts w:ascii="Arial" w:cs="Arial" w:eastAsia="Arial" w:hAnsi="Arial"/>
          <w:sz w:val="21"/>
          <w:szCs w:val="21"/>
          <w:color w:val="auto"/>
        </w:rPr>
        <w:t>the Company is not providing any tax, legal or financial advice, nor is the Company making any recommendations regarding Participant’s participation in the Plan; Participant should consult with his or her own personal tax, legal and financial advisors regarding participation in the Plan before taking any action related to the Plan;</w:t>
      </w:r>
    </w:p>
    <w:p>
      <w:pPr>
        <w:spacing w:after="0" w:line="167" w:lineRule="exact"/>
        <w:rPr>
          <w:rFonts w:ascii="Arial" w:cs="Arial" w:eastAsia="Arial" w:hAnsi="Arial"/>
          <w:sz w:val="21"/>
          <w:szCs w:val="21"/>
          <w:color w:val="auto"/>
        </w:rPr>
      </w:pPr>
    </w:p>
    <w:p>
      <w:pPr>
        <w:ind w:firstLine="1304"/>
        <w:spacing w:after="0" w:line="263" w:lineRule="auto"/>
        <w:tabs>
          <w:tab w:leader="none" w:pos="1932" w:val="left"/>
        </w:tabs>
        <w:numPr>
          <w:ilvl w:val="0"/>
          <w:numId w:val="30"/>
        </w:numPr>
        <w:rPr>
          <w:rFonts w:ascii="Arial" w:cs="Arial" w:eastAsia="Arial" w:hAnsi="Arial"/>
          <w:sz w:val="22"/>
          <w:szCs w:val="22"/>
          <w:color w:val="auto"/>
        </w:rPr>
      </w:pPr>
      <w:r>
        <w:rPr>
          <w:rFonts w:ascii="Arial" w:cs="Arial" w:eastAsia="Arial" w:hAnsi="Arial"/>
          <w:sz w:val="22"/>
          <w:szCs w:val="22"/>
          <w:color w:val="auto"/>
        </w:rPr>
        <w:t>the Stock Units and the benefits under the Plan, if any, will not automatically transfer to another company in the case of a merger, take-over or transfer of liability; and</w:t>
      </w:r>
    </w:p>
    <w:p>
      <w:pPr>
        <w:spacing w:after="0" w:line="174" w:lineRule="exact"/>
        <w:rPr>
          <w:rFonts w:ascii="Arial" w:cs="Arial" w:eastAsia="Arial" w:hAnsi="Arial"/>
          <w:sz w:val="22"/>
          <w:szCs w:val="22"/>
          <w:color w:val="auto"/>
        </w:rPr>
      </w:pPr>
    </w:p>
    <w:p>
      <w:pPr>
        <w:jc w:val="both"/>
        <w:ind w:firstLine="1304"/>
        <w:spacing w:after="0" w:line="253" w:lineRule="auto"/>
        <w:tabs>
          <w:tab w:leader="none" w:pos="1932" w:val="left"/>
        </w:tabs>
        <w:numPr>
          <w:ilvl w:val="0"/>
          <w:numId w:val="30"/>
        </w:numPr>
        <w:rPr>
          <w:rFonts w:ascii="Arial" w:cs="Arial" w:eastAsia="Arial" w:hAnsi="Arial"/>
          <w:sz w:val="22"/>
          <w:szCs w:val="22"/>
          <w:color w:val="auto"/>
        </w:rPr>
      </w:pPr>
      <w:r>
        <w:rPr>
          <w:rFonts w:ascii="Arial" w:cs="Arial" w:eastAsia="Arial" w:hAnsi="Arial"/>
          <w:sz w:val="22"/>
          <w:szCs w:val="22"/>
          <w:color w:val="auto"/>
        </w:rPr>
        <w:t>neither the Company, the Employer nor any other Parent or Subsidiary shall be liable for any foreign exchange rate fluctuation between Participant’s local currency (if not the United States dollar) and the United States dollar that may affect the value of the Stock</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5</w:t>
      </w:r>
    </w:p>
    <w:p>
      <w:pPr>
        <w:sectPr>
          <w:pgSz w:w="11900" w:h="16838" w:orient="portrait"/>
          <w:cols w:equalWidth="0" w:num="1">
            <w:col w:w="11240"/>
          </w:cols>
          <w:pgMar w:left="320" w:top="1428" w:right="339" w:bottom="1440" w:gutter="0" w:footer="0" w:header="0"/>
        </w:sectPr>
      </w:pPr>
    </w:p>
    <w:bookmarkStart w:id="76" w:name="page77"/>
    <w:bookmarkEnd w:id="76"/>
    <w:p>
      <w:pPr>
        <w:spacing w:after="0" w:line="263" w:lineRule="auto"/>
        <w:rPr>
          <w:sz w:val="20"/>
          <w:szCs w:val="20"/>
          <w:color w:val="auto"/>
        </w:rPr>
      </w:pPr>
      <w:r>
        <w:rPr>
          <w:rFonts w:ascii="Arial" w:cs="Arial" w:eastAsia="Arial" w:hAnsi="Arial"/>
          <w:sz w:val="22"/>
          <w:szCs w:val="22"/>
          <w:color w:val="auto"/>
        </w:rPr>
        <w:t>Units or of any amounts due to Participant pursuant to the settlement of the Stock Units or the subsequent sale of any Shares acquired under the Plan.</w:t>
      </w:r>
    </w:p>
    <w:p>
      <w:pPr>
        <w:spacing w:after="0" w:line="175" w:lineRule="exact"/>
        <w:rPr>
          <w:sz w:val="20"/>
          <w:szCs w:val="20"/>
          <w:color w:val="auto"/>
        </w:rPr>
      </w:pPr>
    </w:p>
    <w:p>
      <w:pPr>
        <w:ind w:left="1300" w:hanging="644"/>
        <w:spacing w:after="0"/>
        <w:tabs>
          <w:tab w:leader="none" w:pos="1300" w:val="left"/>
        </w:tabs>
        <w:numPr>
          <w:ilvl w:val="0"/>
          <w:numId w:val="31"/>
        </w:numPr>
        <w:rPr>
          <w:rFonts w:ascii="Arial" w:cs="Arial" w:eastAsia="Arial" w:hAnsi="Arial"/>
          <w:sz w:val="22"/>
          <w:szCs w:val="22"/>
          <w:color w:val="auto"/>
        </w:rPr>
      </w:pPr>
      <w:r>
        <w:rPr>
          <w:rFonts w:ascii="Arial" w:cs="Arial" w:eastAsia="Arial" w:hAnsi="Arial"/>
          <w:sz w:val="22"/>
          <w:szCs w:val="22"/>
          <w:b w:val="1"/>
          <w:bCs w:val="1"/>
          <w:i w:val="1"/>
          <w:iCs w:val="1"/>
          <w:u w:val="single" w:color="auto"/>
          <w:color w:val="auto"/>
        </w:rPr>
        <w:t>Data Privacy Information and Consent</w:t>
      </w:r>
      <w:r>
        <w:rPr>
          <w:rFonts w:ascii="Arial" w:cs="Arial" w:eastAsia="Arial" w:hAnsi="Arial"/>
          <w:sz w:val="22"/>
          <w:szCs w:val="22"/>
          <w:b w:val="1"/>
          <w:bCs w:val="1"/>
          <w:i w:val="1"/>
          <w:iCs w:val="1"/>
          <w:color w:val="auto"/>
        </w:rPr>
        <w:t>.</w:t>
      </w:r>
    </w:p>
    <w:p>
      <w:pPr>
        <w:spacing w:after="0" w:line="213" w:lineRule="exact"/>
        <w:rPr>
          <w:rFonts w:ascii="Arial" w:cs="Arial" w:eastAsia="Arial" w:hAnsi="Arial"/>
          <w:sz w:val="22"/>
          <w:szCs w:val="22"/>
          <w:color w:val="auto"/>
        </w:rPr>
      </w:pPr>
    </w:p>
    <w:p>
      <w:pPr>
        <w:jc w:val="both"/>
        <w:ind w:firstLine="1304"/>
        <w:spacing w:after="0" w:line="261" w:lineRule="auto"/>
        <w:tabs>
          <w:tab w:leader="none" w:pos="1941" w:val="left"/>
        </w:tabs>
        <w:numPr>
          <w:ilvl w:val="1"/>
          <w:numId w:val="31"/>
        </w:numPr>
        <w:rPr>
          <w:rFonts w:ascii="Arial" w:cs="Arial" w:eastAsia="Arial" w:hAnsi="Arial"/>
          <w:sz w:val="21"/>
          <w:szCs w:val="21"/>
          <w:color w:val="auto"/>
        </w:rPr>
      </w:pPr>
      <w:r>
        <w:rPr>
          <w:rFonts w:ascii="Arial" w:cs="Arial" w:eastAsia="Arial" w:hAnsi="Arial"/>
          <w:sz w:val="21"/>
          <w:szCs w:val="21"/>
          <w:b w:val="1"/>
          <w:bCs w:val="1"/>
          <w:color w:val="auto"/>
        </w:rPr>
        <w:t>Data Collection and Usage</w:t>
      </w:r>
      <w:r>
        <w:rPr>
          <w:rFonts w:ascii="Arial" w:cs="Arial" w:eastAsia="Arial" w:hAnsi="Arial"/>
          <w:sz w:val="21"/>
          <w:szCs w:val="21"/>
          <w:b w:val="1"/>
          <w:bCs w:val="1"/>
          <w:i w:val="1"/>
          <w:iCs w:val="1"/>
          <w:color w:val="auto"/>
        </w:rPr>
        <w:t>. The Company and the Employer collect, process and use certain personal</w:t>
      </w:r>
      <w:r>
        <w:rPr>
          <w:rFonts w:ascii="Arial" w:cs="Arial" w:eastAsia="Arial" w:hAnsi="Arial"/>
          <w:sz w:val="21"/>
          <w:szCs w:val="21"/>
          <w:b w:val="1"/>
          <w:bCs w:val="1"/>
          <w:color w:val="auto"/>
        </w:rPr>
        <w:t xml:space="preserve"> </w:t>
      </w:r>
      <w:r>
        <w:rPr>
          <w:rFonts w:ascii="Arial" w:cs="Arial" w:eastAsia="Arial" w:hAnsi="Arial"/>
          <w:sz w:val="21"/>
          <w:szCs w:val="21"/>
          <w:b w:val="1"/>
          <w:bCs w:val="1"/>
          <w:i w:val="1"/>
          <w:iCs w:val="1"/>
          <w:color w:val="auto"/>
        </w:rPr>
        <w:t>information about Participant, including, but not limited to, Participant’s name, home address, telephone number, email address, date of birth, social insurance number, passport or other identification number, salary, nationality, job title, any Shares or directorships held in the Company, details of all awards granted under the Plan or any other entitlement to Shares or equivalent benefits awarded, canceled, exercised, vested, unvested or outstanding in Participant’s favor (“Data”), for purposes of implementing, administering and managing the Plan. The legal basis, where required, for the processing of Data is Participant’s consent.</w:t>
      </w:r>
    </w:p>
    <w:p>
      <w:pPr>
        <w:spacing w:after="0" w:line="173" w:lineRule="exact"/>
        <w:rPr>
          <w:rFonts w:ascii="Arial" w:cs="Arial" w:eastAsia="Arial" w:hAnsi="Arial"/>
          <w:sz w:val="21"/>
          <w:szCs w:val="21"/>
          <w:color w:val="auto"/>
        </w:rPr>
      </w:pPr>
    </w:p>
    <w:p>
      <w:pPr>
        <w:jc w:val="both"/>
        <w:ind w:firstLine="1304"/>
        <w:spacing w:after="0" w:line="295" w:lineRule="auto"/>
        <w:tabs>
          <w:tab w:leader="none" w:pos="1939" w:val="left"/>
        </w:tabs>
        <w:numPr>
          <w:ilvl w:val="1"/>
          <w:numId w:val="31"/>
        </w:numPr>
        <w:rPr>
          <w:rFonts w:ascii="Arial" w:cs="Arial" w:eastAsia="Arial" w:hAnsi="Arial"/>
          <w:sz w:val="19"/>
          <w:szCs w:val="19"/>
          <w:color w:val="auto"/>
        </w:rPr>
      </w:pPr>
      <w:r>
        <w:rPr>
          <w:rFonts w:ascii="Arial" w:cs="Arial" w:eastAsia="Arial" w:hAnsi="Arial"/>
          <w:sz w:val="19"/>
          <w:szCs w:val="19"/>
          <w:b w:val="1"/>
          <w:bCs w:val="1"/>
          <w:color w:val="auto"/>
        </w:rPr>
        <w:t>Stock Plan Administration Service Providers</w:t>
      </w:r>
      <w:r>
        <w:rPr>
          <w:rFonts w:ascii="Arial" w:cs="Arial" w:eastAsia="Arial" w:hAnsi="Arial"/>
          <w:sz w:val="19"/>
          <w:szCs w:val="19"/>
          <w:b w:val="1"/>
          <w:bCs w:val="1"/>
          <w:i w:val="1"/>
          <w:iCs w:val="1"/>
          <w:color w:val="auto"/>
        </w:rPr>
        <w:t>. The Company transfers Data to E*TRADE Financial</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Corporate Services, Inc. and certain of its affiliated companies (the “Designated Broker”), an independent service provider based in the United States, which is assisting the Company with the implementation, administration and management of the Plan. Participant may be asked to agree on separate terms and data processing practices with the Designated Broker, with such agreement being a condition to the ability to participate in the Plan. In the future, the Company may select a different service provider or additional service providers and share Data with such other provider(s) serving in a similar manner.</w:t>
      </w:r>
    </w:p>
    <w:p>
      <w:pPr>
        <w:spacing w:after="0" w:line="143" w:lineRule="exact"/>
        <w:rPr>
          <w:rFonts w:ascii="Arial" w:cs="Arial" w:eastAsia="Arial" w:hAnsi="Arial"/>
          <w:sz w:val="19"/>
          <w:szCs w:val="19"/>
          <w:color w:val="auto"/>
        </w:rPr>
      </w:pPr>
    </w:p>
    <w:p>
      <w:pPr>
        <w:jc w:val="both"/>
        <w:ind w:firstLine="1304"/>
        <w:spacing w:after="0" w:line="288" w:lineRule="auto"/>
        <w:tabs>
          <w:tab w:leader="none" w:pos="1941" w:val="left"/>
        </w:tabs>
        <w:numPr>
          <w:ilvl w:val="1"/>
          <w:numId w:val="31"/>
        </w:numPr>
        <w:rPr>
          <w:rFonts w:ascii="Arial" w:cs="Arial" w:eastAsia="Arial" w:hAnsi="Arial"/>
          <w:sz w:val="19"/>
          <w:szCs w:val="19"/>
          <w:color w:val="auto"/>
        </w:rPr>
      </w:pPr>
      <w:r>
        <w:rPr>
          <w:rFonts w:ascii="Arial" w:cs="Arial" w:eastAsia="Arial" w:hAnsi="Arial"/>
          <w:sz w:val="19"/>
          <w:szCs w:val="19"/>
          <w:b w:val="1"/>
          <w:bCs w:val="1"/>
          <w:color w:val="auto"/>
        </w:rPr>
        <w:t>International Data Transfers</w:t>
      </w:r>
      <w:r>
        <w:rPr>
          <w:rFonts w:ascii="Arial" w:cs="Arial" w:eastAsia="Arial" w:hAnsi="Arial"/>
          <w:sz w:val="19"/>
          <w:szCs w:val="19"/>
          <w:b w:val="1"/>
          <w:bCs w:val="1"/>
          <w:i w:val="1"/>
          <w:iCs w:val="1"/>
          <w:color w:val="auto"/>
        </w:rPr>
        <w:t>. If Participant resides, works or is otherwise located outside of the United</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States, Data will be transferred from Participant’s country to the United States, where the Company and the Designated Broker, respectively, are based. Participant’s country or jurisdiction may have different data privacy laws and protections than the United States. If Participant is located in the European Union (“EU”) and/or European Economic Area (“EEA”), Participant understands and acknowledges that the United States are not subject to an unlimited adequacy finding by the European Commission and might not provide a level of protection of personal data equivalent to the level of protection in Participant’s country. As a result, in the absence of the implementation of appropriate safeguards such as the Standard Contractual Clauses or binding corporate rules adopted by the EU Commission, the processing of personal data might not be subject to substantive data processing principles or supervision by data protection authorities. In addition, data subjects might have no, or less, enforceable rights regarding the processing of their personal data. The Company’s legal basis for the transfer of Data, where required, is Participant’s consent.</w:t>
      </w:r>
    </w:p>
    <w:p>
      <w:pPr>
        <w:spacing w:after="0" w:line="153" w:lineRule="exact"/>
        <w:rPr>
          <w:rFonts w:ascii="Arial" w:cs="Arial" w:eastAsia="Arial" w:hAnsi="Arial"/>
          <w:sz w:val="19"/>
          <w:szCs w:val="19"/>
          <w:color w:val="auto"/>
        </w:rPr>
      </w:pPr>
    </w:p>
    <w:p>
      <w:pPr>
        <w:jc w:val="both"/>
        <w:ind w:right="20" w:firstLine="1304"/>
        <w:spacing w:after="0" w:line="256" w:lineRule="auto"/>
        <w:tabs>
          <w:tab w:leader="none" w:pos="1939" w:val="left"/>
        </w:tabs>
        <w:numPr>
          <w:ilvl w:val="1"/>
          <w:numId w:val="31"/>
        </w:numPr>
        <w:rPr>
          <w:rFonts w:ascii="Arial" w:cs="Arial" w:eastAsia="Arial" w:hAnsi="Arial"/>
          <w:sz w:val="22"/>
          <w:szCs w:val="22"/>
          <w:color w:val="auto"/>
        </w:rPr>
      </w:pPr>
      <w:r>
        <w:rPr>
          <w:rFonts w:ascii="Arial" w:cs="Arial" w:eastAsia="Arial" w:hAnsi="Arial"/>
          <w:sz w:val="22"/>
          <w:szCs w:val="22"/>
          <w:b w:val="1"/>
          <w:bCs w:val="1"/>
          <w:color w:val="auto"/>
        </w:rPr>
        <w:t>Data Retention</w:t>
      </w:r>
      <w:r>
        <w:rPr>
          <w:rFonts w:ascii="Arial" w:cs="Arial" w:eastAsia="Arial" w:hAnsi="Arial"/>
          <w:sz w:val="22"/>
          <w:szCs w:val="22"/>
          <w:b w:val="1"/>
          <w:bCs w:val="1"/>
          <w:i w:val="1"/>
          <w:iCs w:val="1"/>
          <w:color w:val="auto"/>
        </w:rPr>
        <w:t>. The Company will hold and use Data only as long as is necessary to implement,</w:t>
      </w:r>
      <w:r>
        <w:rPr>
          <w:rFonts w:ascii="Arial" w:cs="Arial" w:eastAsia="Arial" w:hAnsi="Arial"/>
          <w:sz w:val="22"/>
          <w:szCs w:val="22"/>
          <w:b w:val="1"/>
          <w:bCs w:val="1"/>
          <w:color w:val="auto"/>
        </w:rPr>
        <w:t xml:space="preserve"> </w:t>
      </w:r>
      <w:r>
        <w:rPr>
          <w:rFonts w:ascii="Arial" w:cs="Arial" w:eastAsia="Arial" w:hAnsi="Arial"/>
          <w:sz w:val="22"/>
          <w:szCs w:val="22"/>
          <w:b w:val="1"/>
          <w:bCs w:val="1"/>
          <w:i w:val="1"/>
          <w:iCs w:val="1"/>
          <w:color w:val="auto"/>
        </w:rPr>
        <w:t>administer and manage Participant’s participation in the Plan, or as required to comply with legal or regulatory obligations, including under tax, securities, exchange control, labor and other laws.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6</w:t>
      </w:r>
    </w:p>
    <w:p>
      <w:pPr>
        <w:sectPr>
          <w:pgSz w:w="11900" w:h="16838" w:orient="portrait"/>
          <w:cols w:equalWidth="0" w:num="1">
            <w:col w:w="11240"/>
          </w:cols>
          <w:pgMar w:left="320" w:top="1428" w:right="339" w:bottom="1440" w:gutter="0" w:footer="0" w:header="0"/>
        </w:sectPr>
      </w:pPr>
    </w:p>
    <w:bookmarkStart w:id="77" w:name="page78"/>
    <w:bookmarkEnd w:id="77"/>
    <w:p>
      <w:pPr>
        <w:jc w:val="both"/>
        <w:ind w:firstLine="1304"/>
        <w:spacing w:after="0" w:line="293" w:lineRule="auto"/>
        <w:tabs>
          <w:tab w:leader="none" w:pos="1941" w:val="left"/>
        </w:tabs>
        <w:numPr>
          <w:ilvl w:val="0"/>
          <w:numId w:val="32"/>
        </w:numPr>
        <w:rPr>
          <w:rFonts w:ascii="Arial" w:cs="Arial" w:eastAsia="Arial" w:hAnsi="Arial"/>
          <w:sz w:val="19"/>
          <w:szCs w:val="19"/>
          <w:color w:val="auto"/>
        </w:rPr>
      </w:pPr>
      <w:r>
        <w:rPr>
          <w:rFonts w:ascii="Arial" w:cs="Arial" w:eastAsia="Arial" w:hAnsi="Arial"/>
          <w:sz w:val="19"/>
          <w:szCs w:val="19"/>
          <w:b w:val="1"/>
          <w:bCs w:val="1"/>
          <w:color w:val="auto"/>
        </w:rPr>
        <w:t>Voluntariness and Consequences of Consent Denial or Withdrawal</w:t>
      </w:r>
      <w:r>
        <w:rPr>
          <w:rFonts w:ascii="Arial" w:cs="Arial" w:eastAsia="Arial" w:hAnsi="Arial"/>
          <w:sz w:val="19"/>
          <w:szCs w:val="19"/>
          <w:b w:val="1"/>
          <w:bCs w:val="1"/>
          <w:i w:val="1"/>
          <w:iCs w:val="1"/>
          <w:color w:val="auto"/>
        </w:rPr>
        <w:t>. Participation in the Plan is</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voluntary and Participant is providing the consents herein on a purely voluntary basis. Participant may withdraw any such consent at any time with future effect for any or no reason. If Participant does not consent, or if Participant later seeks to revoke the consent, Participant’s salary from or employment with the Employer will not be affected; the only consequence of refusing or withdrawing consent is that the Company would not be able to grant Participant Stock Units under the Plan or other awards or administer or maintain such awards. For more information on the consequences of refusal to consent or withdrawal of consent, Participant should contact his or her local human resources representative.</w:t>
      </w:r>
    </w:p>
    <w:p>
      <w:pPr>
        <w:spacing w:after="0" w:line="144" w:lineRule="exact"/>
        <w:rPr>
          <w:rFonts w:ascii="Arial" w:cs="Arial" w:eastAsia="Arial" w:hAnsi="Arial"/>
          <w:sz w:val="19"/>
          <w:szCs w:val="19"/>
          <w:color w:val="auto"/>
        </w:rPr>
      </w:pPr>
    </w:p>
    <w:p>
      <w:pPr>
        <w:jc w:val="both"/>
        <w:ind w:firstLine="1304"/>
        <w:spacing w:after="0" w:line="314" w:lineRule="auto"/>
        <w:tabs>
          <w:tab w:leader="none" w:pos="1944"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Data Subject Rights</w:t>
      </w:r>
      <w:r>
        <w:rPr>
          <w:rFonts w:ascii="Arial" w:cs="Arial" w:eastAsia="Arial" w:hAnsi="Arial"/>
          <w:sz w:val="18"/>
          <w:szCs w:val="18"/>
          <w:b w:val="1"/>
          <w:bCs w:val="1"/>
          <w:i w:val="1"/>
          <w:iCs w:val="1"/>
          <w:color w:val="auto"/>
        </w:rPr>
        <w:t>. Participant may have a number of rights under data privacy laws in his or her</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jurisdiction. Depending on where Participant is based, such rights may include the right to (i) request access to or copies of Data the Company processes, (ii) rectify or amend incorrect or incomplete Data, (iii) delete Data, (iv) request restrictions on processing of Data, (v) restrict the portability of Data, (vi) lodge complaints with competent authorities in Participant’s jurisdiction, and/or (vii) receive a list with the names and addresses of any potential recipients of Data. To receive clarification regarding these rights or to exercise these rights, Participant can contact his or her local human resources representative.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108585</wp:posOffset>
            </wp:positionV>
            <wp:extent cx="7140575" cy="10033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2">
                      <a:extLst>
                        <a:ext uri="{28A0092B-C50C-407E-A947-70E740481C1C}"/>
                      </a:extLst>
                    </a:blip>
                    <a:srcRect/>
                    <a:stretch>
                      <a:fillRect/>
                    </a:stretch>
                  </pic:blipFill>
                  <pic:spPr bwMode="auto">
                    <a:xfrm>
                      <a:off x="0" y="0"/>
                      <a:ext cx="7140575" cy="1003300"/>
                    </a:xfrm>
                    <a:prstGeom prst="rect">
                      <a:avLst/>
                    </a:prstGeom>
                    <a:noFill/>
                  </pic:spPr>
                </pic:pic>
              </a:graphicData>
            </a:graphic>
          </wp:anchor>
        </w:drawing>
      </w:r>
    </w:p>
    <w:p>
      <w:pPr>
        <w:spacing w:after="0" w:line="178" w:lineRule="exact"/>
        <w:rPr>
          <w:sz w:val="20"/>
          <w:szCs w:val="20"/>
          <w:color w:val="auto"/>
        </w:rPr>
      </w:pPr>
    </w:p>
    <w:p>
      <w:pPr>
        <w:jc w:val="both"/>
        <w:ind w:left="80" w:right="60"/>
        <w:spacing w:after="0" w:line="298" w:lineRule="auto"/>
        <w:rPr>
          <w:sz w:val="20"/>
          <w:szCs w:val="20"/>
          <w:color w:val="auto"/>
        </w:rPr>
      </w:pPr>
      <w:r>
        <w:rPr>
          <w:rFonts w:ascii="Arial" w:cs="Arial" w:eastAsia="Arial" w:hAnsi="Arial"/>
          <w:sz w:val="19"/>
          <w:szCs w:val="19"/>
          <w:b w:val="1"/>
          <w:bCs w:val="1"/>
          <w:color w:val="auto"/>
        </w:rPr>
        <w:t xml:space="preserve">Declaration of Consent. </w:t>
      </w:r>
      <w:r>
        <w:rPr>
          <w:rFonts w:ascii="Arial" w:cs="Arial" w:eastAsia="Arial" w:hAnsi="Arial"/>
          <w:sz w:val="19"/>
          <w:szCs w:val="19"/>
          <w:b w:val="1"/>
          <w:bCs w:val="1"/>
          <w:i w:val="1"/>
          <w:iCs w:val="1"/>
          <w:color w:val="auto"/>
        </w:rPr>
        <w:t>By accepting this Agreement and indicating consent via the Company’s acceptance procedure,</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Participant explicitly declares his or her consent to the data processing practices described in this Section 10, including, without limitation, to the collection, processing and use of Data by the Company and, if applicable, to the transfer of Data to the recipients mentioned above, including the onward transfer of Data by the Company to the Designated Broker, or, as the case may be, a different service provider selected by the Company.</w:t>
      </w:r>
    </w:p>
    <w:p>
      <w:pPr>
        <w:spacing w:after="0" w:line="385" w:lineRule="exact"/>
        <w:rPr>
          <w:sz w:val="20"/>
          <w:szCs w:val="20"/>
          <w:color w:val="auto"/>
        </w:rPr>
      </w:pPr>
    </w:p>
    <w:p>
      <w:pPr>
        <w:ind w:left="1300" w:hanging="644"/>
        <w:spacing w:after="0"/>
        <w:tabs>
          <w:tab w:leader="none" w:pos="1300" w:val="left"/>
        </w:tabs>
        <w:numPr>
          <w:ilvl w:val="0"/>
          <w:numId w:val="33"/>
        </w:numPr>
        <w:rPr>
          <w:rFonts w:ascii="Arial" w:cs="Arial" w:eastAsia="Arial" w:hAnsi="Arial"/>
          <w:sz w:val="21"/>
          <w:szCs w:val="21"/>
          <w:color w:val="auto"/>
        </w:rPr>
      </w:pPr>
      <w:r>
        <w:rPr>
          <w:rFonts w:ascii="Arial" w:cs="Arial" w:eastAsia="Arial" w:hAnsi="Arial"/>
          <w:sz w:val="21"/>
          <w:szCs w:val="21"/>
          <w:u w:val="single" w:color="auto"/>
          <w:color w:val="auto"/>
        </w:rPr>
        <w:t>Participant Acknowledgments</w:t>
      </w:r>
      <w:r>
        <w:rPr>
          <w:rFonts w:ascii="Arial" w:cs="Arial" w:eastAsia="Arial" w:hAnsi="Arial"/>
          <w:sz w:val="21"/>
          <w:szCs w:val="21"/>
          <w:color w:val="auto"/>
        </w:rPr>
        <w:t xml:space="preserve">. </w:t>
      </w:r>
      <w:r>
        <w:rPr>
          <w:rFonts w:ascii="Arial" w:cs="Arial" w:eastAsia="Arial" w:hAnsi="Arial"/>
          <w:sz w:val="21"/>
          <w:szCs w:val="21"/>
          <w:b w:val="1"/>
          <w:bCs w:val="1"/>
          <w:color w:val="auto"/>
        </w:rPr>
        <w:t>PARTICIPANT ACKNOWLEDGES AND AGREES THAT THE VESTING</w:t>
      </w:r>
    </w:p>
    <w:p>
      <w:pPr>
        <w:spacing w:after="0" w:line="38" w:lineRule="exact"/>
        <w:rPr>
          <w:rFonts w:ascii="Arial" w:cs="Arial" w:eastAsia="Arial" w:hAnsi="Arial"/>
          <w:sz w:val="21"/>
          <w:szCs w:val="21"/>
          <w:color w:val="auto"/>
        </w:rPr>
      </w:pPr>
    </w:p>
    <w:p>
      <w:pPr>
        <w:jc w:val="both"/>
        <w:spacing w:after="0" w:line="243" w:lineRule="auto"/>
        <w:rPr>
          <w:rFonts w:ascii="Arial" w:cs="Arial" w:eastAsia="Arial" w:hAnsi="Arial"/>
          <w:sz w:val="21"/>
          <w:szCs w:val="21"/>
          <w:color w:val="auto"/>
        </w:rPr>
      </w:pPr>
      <w:r>
        <w:rPr>
          <w:rFonts w:ascii="Arial" w:cs="Arial" w:eastAsia="Arial" w:hAnsi="Arial"/>
          <w:sz w:val="22"/>
          <w:szCs w:val="22"/>
          <w:b w:val="1"/>
          <w:bCs w:val="1"/>
          <w:color w:val="auto"/>
        </w:rPr>
        <w:t>OF THE STOCK UNITS PURSUANT TO THE VESTING SCHEDULE HEREOF IS EARNED ONLY BY PROVIDING CONTINUOUS SERVICE THROUGH THE VESTING DATE AND NOT THROUGH THE ACT OF BEING HIRED, BEING GRANTED THIS AWARD OF STOCK UNITS OR ACQUIRING SHARES HEREUNDER. PARTICIPANT FURTHER ACKNOWLEDGES THAT HE OR SHE IS NOT ENTITLED TO PRO RATA VESTING OF ANY SHARES FOR ANY PERIOD PRIOR TO THE TERMINATION DATE. PARTICIPANT ACKNOWLEDGES AND AGREES THAT THIS AGREEMENT, THE TRANSACTIONS CONTEMPLATED HEREUNDER AND THE VESTING SCHEDULE SET FORTH HEREIN DO NOT CONSTITUTE AN EXPRESS OR IMPLIED PROMISE OF CONTINUED ENGAGEMENT FOR CONTINUOUS SERVICE FOR THE VESTING PERIOD, FOR ANY PERIOD, OR AT ALL, AND WILL NOT INTERFERE IN ANY WAY WITH PARTICIPANT’S RIGHT OR THE RIGHT OF THE EMPLOYER TO TERMINATE PARTICIPANT’S CONTINUOUS SERVICE AT ANY TIME, WITH OR WITHOUT CAUSE.</w:t>
      </w:r>
    </w:p>
    <w:p>
      <w:pPr>
        <w:spacing w:after="0" w:line="202" w:lineRule="exact"/>
        <w:rPr>
          <w:sz w:val="20"/>
          <w:szCs w:val="20"/>
          <w:color w:val="auto"/>
        </w:rPr>
      </w:pPr>
    </w:p>
    <w:p>
      <w:pPr>
        <w:jc w:val="both"/>
        <w:ind w:firstLine="648"/>
        <w:spacing w:after="0" w:line="312" w:lineRule="auto"/>
        <w:rPr>
          <w:sz w:val="20"/>
          <w:szCs w:val="20"/>
          <w:color w:val="auto"/>
        </w:rPr>
      </w:pPr>
      <w:r>
        <w:rPr>
          <w:rFonts w:ascii="Arial" w:cs="Arial" w:eastAsia="Arial" w:hAnsi="Arial"/>
          <w:sz w:val="19"/>
          <w:szCs w:val="19"/>
          <w:color w:val="auto"/>
        </w:rPr>
        <w:t>Participant acknowledges receipt of a copy of the Plan and represents that he or she is familiar with the terms and provisions thereof, and hereby accepts the Stock Units subject to all of the terms and provisions thereof. Participant has reviewed the Plan, this Agreement, and the Notice of Grant in their entirety, has had an opportunity to obtain the advice of counsel prior to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7</w:t>
      </w:r>
    </w:p>
    <w:p>
      <w:pPr>
        <w:sectPr>
          <w:pgSz w:w="11900" w:h="16838" w:orient="portrait"/>
          <w:cols w:equalWidth="0" w:num="1">
            <w:col w:w="11240"/>
          </w:cols>
          <w:pgMar w:left="320" w:top="1422" w:right="339" w:bottom="1440" w:gutter="0" w:footer="0" w:header="0"/>
        </w:sectPr>
      </w:pPr>
    </w:p>
    <w:bookmarkStart w:id="78" w:name="page79"/>
    <w:bookmarkEnd w:id="78"/>
    <w:p>
      <w:pPr>
        <w:jc w:val="both"/>
        <w:spacing w:after="0" w:line="250" w:lineRule="auto"/>
        <w:rPr>
          <w:sz w:val="20"/>
          <w:szCs w:val="20"/>
          <w:color w:val="auto"/>
        </w:rPr>
      </w:pPr>
      <w:r>
        <w:rPr>
          <w:rFonts w:ascii="Arial" w:cs="Arial" w:eastAsia="Arial" w:hAnsi="Arial"/>
          <w:sz w:val="22"/>
          <w:szCs w:val="22"/>
          <w:color w:val="auto"/>
        </w:rPr>
        <w:t>executing this Agreement and fully understands all provisions of such documents. Participant understands that the Plan is discretionary in nature and may be amended, suspended or terminated by the Company at any time. Participant hereby agrees to accept as binding, conclusive and final all decisions or interpretations of the Administrator upon any questions arising under the Plan, the Notice of Grant or this Agreement.</w:t>
      </w:r>
    </w:p>
    <w:p>
      <w:pPr>
        <w:spacing w:after="0" w:line="188" w:lineRule="exact"/>
        <w:rPr>
          <w:sz w:val="20"/>
          <w:szCs w:val="20"/>
          <w:color w:val="auto"/>
        </w:rPr>
      </w:pPr>
    </w:p>
    <w:p>
      <w:pPr>
        <w:jc w:val="both"/>
        <w:ind w:firstLine="656"/>
        <w:spacing w:after="0" w:line="302"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u w:val="single" w:color="auto"/>
          <w:color w:val="auto"/>
        </w:rPr>
        <w:t>Address</w:t>
      </w:r>
      <w:r>
        <w:rPr>
          <w:rFonts w:ascii="Arial" w:cs="Arial" w:eastAsia="Arial" w:hAnsi="Arial"/>
          <w:sz w:val="19"/>
          <w:szCs w:val="19"/>
          <w:color w:val="auto"/>
        </w:rPr>
        <w:t>. Any notice to be given to the Company under the terms of this Agreement should be addressed to the Company at its corporate headquarters, or at such other address as the Company may hereafter designate in writing. Participant agrees to timely notify the Company upon any change in his or her residence address, and acknowledges that the Company may in its discretion deliver share certificates representing Shares issued pursuant to the settlement of the Stock Units to such address.</w:t>
      </w:r>
    </w:p>
    <w:p>
      <w:pPr>
        <w:spacing w:after="0" w:line="142" w:lineRule="exact"/>
        <w:rPr>
          <w:rFonts w:ascii="Arial" w:cs="Arial" w:eastAsia="Arial" w:hAnsi="Arial"/>
          <w:sz w:val="19"/>
          <w:szCs w:val="19"/>
          <w:color w:val="auto"/>
        </w:rPr>
      </w:pPr>
    </w:p>
    <w:p>
      <w:pPr>
        <w:jc w:val="both"/>
        <w:ind w:firstLine="656"/>
        <w:spacing w:after="0" w:line="253" w:lineRule="auto"/>
        <w:tabs>
          <w:tab w:leader="none" w:pos="1296" w:val="left"/>
        </w:tabs>
        <w:numPr>
          <w:ilvl w:val="0"/>
          <w:numId w:val="34"/>
        </w:numPr>
        <w:rPr>
          <w:rFonts w:ascii="Arial" w:cs="Arial" w:eastAsia="Arial" w:hAnsi="Arial"/>
          <w:sz w:val="22"/>
          <w:szCs w:val="22"/>
          <w:color w:val="auto"/>
        </w:rPr>
      </w:pPr>
      <w:r>
        <w:rPr>
          <w:rFonts w:ascii="Arial" w:cs="Arial" w:eastAsia="Arial" w:hAnsi="Arial"/>
          <w:sz w:val="22"/>
          <w:szCs w:val="22"/>
          <w:u w:val="single" w:color="auto"/>
          <w:color w:val="auto"/>
        </w:rPr>
        <w:t>Grant Not Transferable</w:t>
      </w:r>
      <w:r>
        <w:rPr>
          <w:rFonts w:ascii="Arial" w:cs="Arial" w:eastAsia="Arial" w:hAnsi="Arial"/>
          <w:sz w:val="22"/>
          <w:szCs w:val="22"/>
          <w:color w:val="auto"/>
        </w:rPr>
        <w:t>. The Stock Units may not be transferred in any manner otherwise than by will or by the laws of descent or distribution. The terms of Stock Units shall be binding upon the executors, administrators, heirs, successors and assigns of Participant.</w:t>
      </w:r>
    </w:p>
    <w:p>
      <w:pPr>
        <w:spacing w:after="0" w:line="185" w:lineRule="exact"/>
        <w:rPr>
          <w:rFonts w:ascii="Arial" w:cs="Arial" w:eastAsia="Arial" w:hAnsi="Arial"/>
          <w:sz w:val="22"/>
          <w:szCs w:val="22"/>
          <w:color w:val="auto"/>
        </w:rPr>
      </w:pPr>
    </w:p>
    <w:p>
      <w:pPr>
        <w:ind w:firstLine="656"/>
        <w:spacing w:after="0" w:line="343"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u w:val="single" w:color="auto"/>
          <w:color w:val="auto"/>
        </w:rPr>
        <w:t>Plan Governs</w:t>
      </w:r>
      <w:r>
        <w:rPr>
          <w:rFonts w:ascii="Arial" w:cs="Arial" w:eastAsia="Arial" w:hAnsi="Arial"/>
          <w:sz w:val="19"/>
          <w:szCs w:val="19"/>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104" w:lineRule="exact"/>
        <w:rPr>
          <w:rFonts w:ascii="Arial" w:cs="Arial" w:eastAsia="Arial" w:hAnsi="Arial"/>
          <w:sz w:val="19"/>
          <w:szCs w:val="19"/>
          <w:color w:val="auto"/>
        </w:rPr>
      </w:pPr>
    </w:p>
    <w:p>
      <w:pPr>
        <w:jc w:val="both"/>
        <w:ind w:firstLine="656"/>
        <w:spacing w:after="0" w:line="253" w:lineRule="auto"/>
        <w:tabs>
          <w:tab w:leader="none" w:pos="1296" w:val="left"/>
        </w:tabs>
        <w:numPr>
          <w:ilvl w:val="0"/>
          <w:numId w:val="34"/>
        </w:numPr>
        <w:rPr>
          <w:rFonts w:ascii="Arial" w:cs="Arial" w:eastAsia="Arial" w:hAnsi="Arial"/>
          <w:sz w:val="22"/>
          <w:szCs w:val="22"/>
          <w:color w:val="auto"/>
        </w:rPr>
      </w:pPr>
      <w:r>
        <w:rPr>
          <w:rFonts w:ascii="Arial" w:cs="Arial" w:eastAsia="Arial" w:hAnsi="Arial"/>
          <w:sz w:val="22"/>
          <w:szCs w:val="22"/>
          <w:u w:val="single" w:color="auto"/>
          <w:color w:val="auto"/>
        </w:rPr>
        <w:t>Binding Agreement</w:t>
      </w:r>
      <w:r>
        <w:rPr>
          <w:rFonts w:ascii="Arial" w:cs="Arial" w:eastAsia="Arial" w:hAnsi="Arial"/>
          <w:sz w:val="22"/>
          <w:szCs w:val="22"/>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85" w:lineRule="exact"/>
        <w:rPr>
          <w:rFonts w:ascii="Arial" w:cs="Arial" w:eastAsia="Arial" w:hAnsi="Arial"/>
          <w:sz w:val="22"/>
          <w:szCs w:val="22"/>
          <w:color w:val="auto"/>
        </w:rPr>
      </w:pPr>
    </w:p>
    <w:p>
      <w:pPr>
        <w:jc w:val="both"/>
        <w:ind w:firstLine="656"/>
        <w:spacing w:after="0" w:line="288"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u w:val="single" w:color="auto"/>
          <w:color w:val="auto"/>
        </w:rPr>
        <w:t>Additional Conditions to Issuance of Stock</w:t>
      </w:r>
      <w:r>
        <w:rPr>
          <w:rFonts w:ascii="Arial" w:cs="Arial" w:eastAsia="Arial" w:hAnsi="Arial"/>
          <w:sz w:val="19"/>
          <w:szCs w:val="19"/>
          <w:color w:val="auto"/>
        </w:rPr>
        <w:t>. If at any time the Company will determine, in its discretion, that the listing, registration or qualification of the Shares upon any securities exchange or under any U.S. or non-U.S. federal, state or local law, or the consent 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U.S. or non-U.S. federal, state or local securities, exchange control or other applicable laws, the Company will defer delivery until the earliest date at which the Company reasonably anticipates that the delivery of Shares will no longer cause such violation. The Company is under no obligation to register or qualify the shares with U.S. or non-U.S. securities commission or to seek approval or clearance from any governmental authority for the issuance or sale of Shares.</w:t>
      </w:r>
    </w:p>
    <w:p>
      <w:pPr>
        <w:spacing w:after="0" w:line="159" w:lineRule="exact"/>
        <w:rPr>
          <w:rFonts w:ascii="Arial" w:cs="Arial" w:eastAsia="Arial" w:hAnsi="Arial"/>
          <w:sz w:val="19"/>
          <w:szCs w:val="19"/>
          <w:color w:val="auto"/>
        </w:rPr>
      </w:pPr>
    </w:p>
    <w:p>
      <w:pPr>
        <w:jc w:val="both"/>
        <w:ind w:firstLine="656"/>
        <w:spacing w:after="0" w:line="263" w:lineRule="auto"/>
        <w:tabs>
          <w:tab w:leader="none" w:pos="1296" w:val="left"/>
        </w:tabs>
        <w:numPr>
          <w:ilvl w:val="0"/>
          <w:numId w:val="34"/>
        </w:numPr>
        <w:rPr>
          <w:rFonts w:ascii="Arial" w:cs="Arial" w:eastAsia="Arial" w:hAnsi="Arial"/>
          <w:sz w:val="21"/>
          <w:szCs w:val="21"/>
          <w:color w:val="auto"/>
        </w:rPr>
      </w:pPr>
      <w:r>
        <w:rPr>
          <w:rFonts w:ascii="Arial" w:cs="Arial" w:eastAsia="Arial" w:hAnsi="Arial"/>
          <w:sz w:val="21"/>
          <w:szCs w:val="21"/>
          <w:u w:val="single" w:color="auto"/>
          <w:color w:val="auto"/>
        </w:rPr>
        <w:t>Administrator Authority</w:t>
      </w:r>
      <w:r>
        <w:rPr>
          <w:rFonts w:ascii="Arial" w:cs="Arial" w:eastAsia="Arial" w:hAnsi="Arial"/>
          <w:sz w:val="21"/>
          <w:szCs w:val="21"/>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Stock Units have vested). All actions taken and all interpretations and determinations made by the Administrator in good faith will be final and binding upon Participant, the Company and all other interested persons.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8</w:t>
      </w:r>
    </w:p>
    <w:p>
      <w:pPr>
        <w:sectPr>
          <w:pgSz w:w="11900" w:h="16838" w:orient="portrait"/>
          <w:cols w:equalWidth="0" w:num="1">
            <w:col w:w="11240"/>
          </w:cols>
          <w:pgMar w:left="320" w:top="1428" w:right="339" w:bottom="1440" w:gutter="0" w:footer="0" w:header="0"/>
        </w:sectPr>
      </w:pPr>
    </w:p>
    <w:bookmarkStart w:id="79" w:name="page80"/>
    <w:bookmarkEnd w:id="79"/>
    <w:p>
      <w:pPr>
        <w:spacing w:after="0" w:line="263" w:lineRule="auto"/>
        <w:rPr>
          <w:sz w:val="20"/>
          <w:szCs w:val="20"/>
          <w:color w:val="auto"/>
        </w:rPr>
      </w:pPr>
      <w:r>
        <w:rPr>
          <w:rFonts w:ascii="Arial" w:cs="Arial" w:eastAsia="Arial" w:hAnsi="Arial"/>
          <w:sz w:val="22"/>
          <w:szCs w:val="22"/>
          <w:color w:val="auto"/>
        </w:rPr>
        <w:t>No member of the Administrator will be personally liable for any action, determination or interpretation made in good faith with respect to the Plan or this Agreement.</w:t>
      </w:r>
    </w:p>
    <w:p>
      <w:pPr>
        <w:spacing w:after="0" w:line="175" w:lineRule="exact"/>
        <w:rPr>
          <w:sz w:val="20"/>
          <w:szCs w:val="20"/>
          <w:color w:val="auto"/>
        </w:rPr>
      </w:pPr>
    </w:p>
    <w:p>
      <w:pPr>
        <w:jc w:val="both"/>
        <w:ind w:firstLine="656"/>
        <w:spacing w:after="0" w:line="248"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Electronic Delivery and Participation</w:t>
      </w:r>
      <w:r>
        <w:rPr>
          <w:rFonts w:ascii="Arial" w:cs="Arial" w:eastAsia="Arial" w:hAnsi="Arial"/>
          <w:sz w:val="22"/>
          <w:szCs w:val="22"/>
          <w:color w:val="auto"/>
        </w:rPr>
        <w:t>. The Company may, in its sole discretion, decide to deliver any documents related to Stock Units awarded under the Plan or future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third party designated by the Company.</w:t>
      </w:r>
    </w:p>
    <w:p>
      <w:pPr>
        <w:spacing w:after="0" w:line="191" w:lineRule="exact"/>
        <w:rPr>
          <w:rFonts w:ascii="Arial" w:cs="Arial" w:eastAsia="Arial" w:hAnsi="Arial"/>
          <w:sz w:val="22"/>
          <w:szCs w:val="22"/>
          <w:color w:val="auto"/>
        </w:rPr>
      </w:pPr>
    </w:p>
    <w:p>
      <w:pPr>
        <w:ind w:right="20" w:firstLine="656"/>
        <w:spacing w:after="0" w:line="263"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Captions</w:t>
      </w:r>
      <w:r>
        <w:rPr>
          <w:rFonts w:ascii="Arial" w:cs="Arial" w:eastAsia="Arial" w:hAnsi="Arial"/>
          <w:sz w:val="22"/>
          <w:szCs w:val="22"/>
          <w:color w:val="auto"/>
        </w:rPr>
        <w:t>. Captions provided herein are for convenience only and are not to serve as a basis for interpretation or construction of this Agreement.</w:t>
      </w:r>
    </w:p>
    <w:p>
      <w:pPr>
        <w:spacing w:after="0" w:line="174" w:lineRule="exact"/>
        <w:rPr>
          <w:rFonts w:ascii="Arial" w:cs="Arial" w:eastAsia="Arial" w:hAnsi="Arial"/>
          <w:sz w:val="22"/>
          <w:szCs w:val="22"/>
          <w:color w:val="auto"/>
        </w:rPr>
      </w:pPr>
    </w:p>
    <w:p>
      <w:pPr>
        <w:jc w:val="both"/>
        <w:ind w:firstLine="656"/>
        <w:spacing w:after="0" w:line="253"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Agreement Severable</w:t>
      </w:r>
      <w:r>
        <w:rPr>
          <w:rFonts w:ascii="Arial" w:cs="Arial" w:eastAsia="Arial" w:hAnsi="Arial"/>
          <w:sz w:val="22"/>
          <w:szCs w:val="22"/>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85" w:lineRule="exact"/>
        <w:rPr>
          <w:rFonts w:ascii="Arial" w:cs="Arial" w:eastAsia="Arial" w:hAnsi="Arial"/>
          <w:sz w:val="22"/>
          <w:szCs w:val="22"/>
          <w:color w:val="auto"/>
        </w:rPr>
      </w:pPr>
    </w:p>
    <w:p>
      <w:pPr>
        <w:jc w:val="both"/>
        <w:ind w:firstLine="656"/>
        <w:spacing w:after="0" w:line="294" w:lineRule="auto"/>
        <w:tabs>
          <w:tab w:leader="none" w:pos="1296" w:val="left"/>
        </w:tabs>
        <w:numPr>
          <w:ilvl w:val="0"/>
          <w:numId w:val="35"/>
        </w:numPr>
        <w:rPr>
          <w:rFonts w:ascii="Arial" w:cs="Arial" w:eastAsia="Arial" w:hAnsi="Arial"/>
          <w:sz w:val="19"/>
          <w:szCs w:val="19"/>
          <w:color w:val="auto"/>
        </w:rPr>
      </w:pPr>
      <w:r>
        <w:rPr>
          <w:rFonts w:ascii="Arial" w:cs="Arial" w:eastAsia="Arial" w:hAnsi="Arial"/>
          <w:sz w:val="19"/>
          <w:szCs w:val="19"/>
          <w:u w:val="single" w:color="auto"/>
          <w:color w:val="auto"/>
        </w:rPr>
        <w:t>Entirety; Modifications to Agreement</w:t>
      </w:r>
      <w:r>
        <w:rPr>
          <w:rFonts w:ascii="Arial" w:cs="Arial" w:eastAsia="Arial" w:hAnsi="Arial"/>
          <w:sz w:val="19"/>
          <w:szCs w:val="19"/>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Notwithstanding anything to the contrary in the Plan or this Agreement, if Participant is a U.S. taxpayer, the Company reserves the right to revise this Agreement as it deems necessary or advisable, in its sole discretion and without the consent of Participant, to comply with Section 409A or to otherwise avoid imposition of any additional tax or income recognition under Section 409A in connection to this Award of Stock Units.</w:t>
      </w:r>
    </w:p>
    <w:p>
      <w:pPr>
        <w:spacing w:after="0" w:line="149" w:lineRule="exact"/>
        <w:rPr>
          <w:rFonts w:ascii="Arial" w:cs="Arial" w:eastAsia="Arial" w:hAnsi="Arial"/>
          <w:sz w:val="19"/>
          <w:szCs w:val="19"/>
          <w:color w:val="auto"/>
        </w:rPr>
      </w:pPr>
    </w:p>
    <w:p>
      <w:pPr>
        <w:jc w:val="both"/>
        <w:ind w:firstLine="656"/>
        <w:spacing w:after="0" w:line="247"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Governing Law and Venue</w:t>
      </w:r>
      <w:r>
        <w:rPr>
          <w:rFonts w:ascii="Arial" w:cs="Arial" w:eastAsia="Arial" w:hAnsi="Arial"/>
          <w:sz w:val="22"/>
          <w:szCs w:val="22"/>
          <w:color w:val="auto"/>
        </w:rPr>
        <w:t>. This Agreement shall be governed by the laws of the State of California, without giving effect to the conflict of law principles thereof. For purposes of litigating any dispute that arises under this Award of Stock Units or this Agreement, the parties hereby submit to and consent to the exclusive jurisdiction of the State of California, and agree that such litigation will be conducted exclusively in the courts of Santa Clara County, California, or the federal courts for the United States for the Northern District of California, and no other courts, where this Award of Stock Units is made and/or to be performed.</w:t>
      </w:r>
    </w:p>
    <w:p>
      <w:pPr>
        <w:spacing w:after="0" w:line="192" w:lineRule="exact"/>
        <w:rPr>
          <w:rFonts w:ascii="Arial" w:cs="Arial" w:eastAsia="Arial" w:hAnsi="Arial"/>
          <w:sz w:val="22"/>
          <w:szCs w:val="22"/>
          <w:color w:val="auto"/>
        </w:rPr>
      </w:pPr>
    </w:p>
    <w:p>
      <w:pPr>
        <w:jc w:val="both"/>
        <w:ind w:firstLine="656"/>
        <w:spacing w:after="0" w:line="263" w:lineRule="auto"/>
        <w:tabs>
          <w:tab w:leader="none" w:pos="1296" w:val="left"/>
        </w:tabs>
        <w:numPr>
          <w:ilvl w:val="0"/>
          <w:numId w:val="35"/>
        </w:numPr>
        <w:rPr>
          <w:rFonts w:ascii="Arial" w:cs="Arial" w:eastAsia="Arial" w:hAnsi="Arial"/>
          <w:sz w:val="21"/>
          <w:szCs w:val="21"/>
          <w:color w:val="auto"/>
        </w:rPr>
      </w:pPr>
      <w:r>
        <w:rPr>
          <w:rFonts w:ascii="Arial" w:cs="Arial" w:eastAsia="Arial" w:hAnsi="Arial"/>
          <w:sz w:val="21"/>
          <w:szCs w:val="21"/>
          <w:u w:val="single" w:color="auto"/>
          <w:color w:val="auto"/>
        </w:rPr>
        <w:t>Language</w:t>
      </w:r>
      <w:r>
        <w:rPr>
          <w:rFonts w:ascii="Arial" w:cs="Arial" w:eastAsia="Arial" w:hAnsi="Arial"/>
          <w:sz w:val="21"/>
          <w:szCs w:val="21"/>
          <w:color w:val="auto"/>
        </w:rPr>
        <w:t>. By accepting the Award of Stock Units, Participant acknowledges that he or she is proficient in the English language, or has consulted with an advisor who is sufficiently proficient in English, so as to allow Participant to understand the content of this Agreement and any other Plan-related materials.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75" w:lineRule="exact"/>
        <w:rPr>
          <w:rFonts w:ascii="Arial" w:cs="Arial" w:eastAsia="Arial" w:hAnsi="Arial"/>
          <w:sz w:val="21"/>
          <w:szCs w:val="21"/>
          <w:color w:val="auto"/>
        </w:rPr>
      </w:pPr>
    </w:p>
    <w:p>
      <w:pPr>
        <w:ind w:firstLine="656"/>
        <w:spacing w:after="0" w:line="263"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Appendix</w:t>
      </w:r>
      <w:r>
        <w:rPr>
          <w:rFonts w:ascii="Arial" w:cs="Arial" w:eastAsia="Arial" w:hAnsi="Arial"/>
          <w:sz w:val="22"/>
          <w:szCs w:val="22"/>
          <w:color w:val="auto"/>
        </w:rPr>
        <w:t>. Notwithstanding any provisions in this Stock Unit Agreement, the Stock Units shall be subject to any additional terms and conditions set forth in any Appendix to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21"/>
          <w:szCs w:val="21"/>
          <w:color w:val="auto"/>
        </w:rPr>
        <w:t>9</w:t>
      </w:r>
    </w:p>
    <w:p>
      <w:pPr>
        <w:sectPr>
          <w:pgSz w:w="11900" w:h="16838" w:orient="portrait"/>
          <w:cols w:equalWidth="0" w:num="1">
            <w:col w:w="11240"/>
          </w:cols>
          <w:pgMar w:left="320" w:top="1428" w:right="339" w:bottom="1440" w:gutter="0" w:footer="0" w:header="0"/>
        </w:sectPr>
      </w:pPr>
    </w:p>
    <w:bookmarkStart w:id="80" w:name="page81"/>
    <w:bookmarkEnd w:id="80"/>
    <w:p>
      <w:pPr>
        <w:jc w:val="both"/>
        <w:spacing w:after="0" w:line="250" w:lineRule="auto"/>
        <w:rPr>
          <w:sz w:val="20"/>
          <w:szCs w:val="20"/>
          <w:color w:val="auto"/>
        </w:rPr>
      </w:pPr>
      <w:r>
        <w:rPr>
          <w:rFonts w:ascii="Arial" w:cs="Arial" w:eastAsia="Arial" w:hAnsi="Arial"/>
          <w:sz w:val="22"/>
          <w:szCs w:val="22"/>
          <w:color w:val="auto"/>
        </w:rPr>
        <w:t>this Agreement for Participant’s country. Moreover, if Participant relocates to one of the countries included in the Appendix, the additional terms and conditions for such country will apply to Participant, to the extent the Company determines that the application of such terms and conditions is necessary or advisable for legal or administrative reasons. The Appendix constitutes part of this Agreement.</w:t>
      </w:r>
    </w:p>
    <w:p>
      <w:pPr>
        <w:spacing w:after="0" w:line="188" w:lineRule="exact"/>
        <w:rPr>
          <w:sz w:val="20"/>
          <w:szCs w:val="20"/>
          <w:color w:val="auto"/>
        </w:rPr>
      </w:pPr>
    </w:p>
    <w:p>
      <w:pPr>
        <w:jc w:val="both"/>
        <w:ind w:firstLine="656"/>
        <w:spacing w:after="0" w:line="287" w:lineRule="auto"/>
        <w:tabs>
          <w:tab w:leader="none" w:pos="1296" w:val="left"/>
        </w:tabs>
        <w:numPr>
          <w:ilvl w:val="0"/>
          <w:numId w:val="36"/>
        </w:numPr>
        <w:rPr>
          <w:rFonts w:ascii="Arial" w:cs="Arial" w:eastAsia="Arial" w:hAnsi="Arial"/>
          <w:sz w:val="19"/>
          <w:szCs w:val="19"/>
          <w:color w:val="auto"/>
        </w:rPr>
      </w:pPr>
      <w:r>
        <w:rPr>
          <w:rFonts w:ascii="Arial" w:cs="Arial" w:eastAsia="Arial" w:hAnsi="Arial"/>
          <w:sz w:val="19"/>
          <w:szCs w:val="19"/>
          <w:u w:val="single" w:color="auto"/>
          <w:color w:val="auto"/>
        </w:rPr>
        <w:t>Insider-Trading/Market-Abuse Laws</w:t>
      </w:r>
      <w:r>
        <w:rPr>
          <w:rFonts w:ascii="Arial" w:cs="Arial" w:eastAsia="Arial" w:hAnsi="Arial"/>
          <w:sz w:val="19"/>
          <w:szCs w:val="19"/>
          <w:color w:val="auto"/>
        </w:rPr>
        <w:t>. Participant acknowledges that he or she may be subject to insider-trading restrictions and/or market-abuse laws in applicable jurisdictions, including the United States and (if different) the Participant’s country, his or her broker’s country and/or the country where the Shares are listed, which may affect his or her ability to accept, acquire, sell or attempt to sell, or otherwise dispose of Shares or right to Shares (</w:t>
      </w:r>
      <w:r>
        <w:rPr>
          <w:rFonts w:ascii="Arial" w:cs="Arial" w:eastAsia="Arial" w:hAnsi="Arial"/>
          <w:sz w:val="19"/>
          <w:szCs w:val="19"/>
          <w:i w:val="1"/>
          <w:iCs w:val="1"/>
          <w:color w:val="auto"/>
        </w:rPr>
        <w:t>e.g.</w:t>
      </w:r>
      <w:r>
        <w:rPr>
          <w:rFonts w:ascii="Arial" w:cs="Arial" w:eastAsia="Arial" w:hAnsi="Arial"/>
          <w:sz w:val="19"/>
          <w:szCs w:val="19"/>
          <w:color w:val="auto"/>
        </w:rPr>
        <w:t>, Stock Units), or rights linked to the value of Shares, during such times as he or she is considered to have “inside information” regarding the Company (as defined by the laws or regulations in the applicable jurisdictions, including the United States and, if different, Participant’s country). Local insider trading laws and regulations may prohibit the cancellation or amendment of orders Participant placed before possessing inside information. Furthermore, Participant may be prohibited from (i) disclosing the inside information to any third party and (ii) “tipping” third parties or causing them to otherwise buy or sell securities (third parties include fellow employees). Any restrictions under these laws or regulations are separate from and in addition to any restrictions that may be imposed under any applicable Company insider-trading policy. Participant is responsible for complying with any applicable restrictions, so Participant should speak to his or her personal legal advisor for further details regarding any applicable insider-trading and/or market-abuse laws in Participant’s country.</w:t>
      </w:r>
    </w:p>
    <w:p>
      <w:pPr>
        <w:spacing w:after="0" w:line="200" w:lineRule="exact"/>
        <w:rPr>
          <w:rFonts w:ascii="Arial" w:cs="Arial" w:eastAsia="Arial" w:hAnsi="Arial"/>
          <w:sz w:val="19"/>
          <w:szCs w:val="19"/>
          <w:color w:val="auto"/>
        </w:rPr>
      </w:pPr>
    </w:p>
    <w:p>
      <w:pPr>
        <w:spacing w:after="0" w:line="215" w:lineRule="exact"/>
        <w:rPr>
          <w:rFonts w:ascii="Arial" w:cs="Arial" w:eastAsia="Arial" w:hAnsi="Arial"/>
          <w:sz w:val="19"/>
          <w:szCs w:val="19"/>
          <w:color w:val="auto"/>
        </w:rPr>
      </w:pPr>
    </w:p>
    <w:p>
      <w:pPr>
        <w:jc w:val="both"/>
        <w:ind w:firstLine="656"/>
        <w:spacing w:after="0" w:line="289" w:lineRule="auto"/>
        <w:tabs>
          <w:tab w:leader="none" w:pos="1296" w:val="left"/>
        </w:tabs>
        <w:numPr>
          <w:ilvl w:val="0"/>
          <w:numId w:val="36"/>
        </w:numPr>
        <w:rPr>
          <w:rFonts w:ascii="Arial" w:cs="Arial" w:eastAsia="Arial" w:hAnsi="Arial"/>
          <w:sz w:val="19"/>
          <w:szCs w:val="19"/>
          <w:color w:val="auto"/>
        </w:rPr>
      </w:pPr>
      <w:r>
        <w:rPr>
          <w:rFonts w:ascii="Arial" w:cs="Arial" w:eastAsia="Arial" w:hAnsi="Arial"/>
          <w:sz w:val="19"/>
          <w:szCs w:val="19"/>
          <w:u w:val="single" w:color="auto"/>
          <w:color w:val="auto"/>
        </w:rPr>
        <w:t>Foreign Asset/Account Reporting Requirements; Exchange Controls; Tax Reporting</w:t>
      </w:r>
      <w:r>
        <w:rPr>
          <w:rFonts w:ascii="Arial" w:cs="Arial" w:eastAsia="Arial" w:hAnsi="Arial"/>
          <w:sz w:val="19"/>
          <w:szCs w:val="19"/>
          <w:color w:val="auto"/>
        </w:rPr>
        <w:t>. Participant acknowledges that Participant’s country may have certain foreign asset and/or account reporting requirements, exchange controls and/or tax reporting requirements which may affect Participant’s ability to acquire or hold Shares acquired under the Plan (or cash received from participating in the Plan) in a brokerage or bank account outside of Participant’s country. Participant may be required to report such accounts, assets or transactions to the tax or other authorities in his or her country and/or to pay and/or report applicable taxes due in connection with the Award on his or her own behalf. Participant may also be required to repatriate sale proceeds or other funds received as a result of participating in the Plan to Participant’s country through a designated bank or broker within a certain time after receipt. Participant acknowledges that it is his or her responsibility to be aware of and compliant with such regulations and Participant should speak to his or her personal advisor on this matter.</w:t>
      </w:r>
    </w:p>
    <w:p>
      <w:pPr>
        <w:spacing w:after="0" w:line="156" w:lineRule="exact"/>
        <w:rPr>
          <w:rFonts w:ascii="Arial" w:cs="Arial" w:eastAsia="Arial" w:hAnsi="Arial"/>
          <w:sz w:val="19"/>
          <w:szCs w:val="19"/>
          <w:color w:val="auto"/>
        </w:rPr>
      </w:pPr>
    </w:p>
    <w:p>
      <w:pPr>
        <w:jc w:val="both"/>
        <w:ind w:firstLine="656"/>
        <w:spacing w:after="0" w:line="253" w:lineRule="auto"/>
        <w:tabs>
          <w:tab w:leader="none" w:pos="1296" w:val="left"/>
        </w:tabs>
        <w:numPr>
          <w:ilvl w:val="0"/>
          <w:numId w:val="36"/>
        </w:numPr>
        <w:rPr>
          <w:rFonts w:ascii="Arial" w:cs="Arial" w:eastAsia="Arial" w:hAnsi="Arial"/>
          <w:sz w:val="22"/>
          <w:szCs w:val="22"/>
          <w:color w:val="auto"/>
        </w:rPr>
      </w:pPr>
      <w:r>
        <w:rPr>
          <w:rFonts w:ascii="Arial" w:cs="Arial" w:eastAsia="Arial" w:hAnsi="Arial"/>
          <w:sz w:val="22"/>
          <w:szCs w:val="22"/>
          <w:u w:val="single" w:color="auto"/>
          <w:color w:val="auto"/>
        </w:rPr>
        <w:t>Waiver</w:t>
      </w:r>
      <w:r>
        <w:rPr>
          <w:rFonts w:ascii="Arial" w:cs="Arial" w:eastAsia="Arial" w:hAnsi="Arial"/>
          <w:sz w:val="22"/>
          <w:szCs w:val="22"/>
          <w:color w:val="auto"/>
        </w:rPr>
        <w:t>. Participant acknowledges that a waiver by the Company of a breach of any provisions of this Agreement shall not operate or be construed as a waiver of any other provision of this Agreement, or of any subsequent breach by Participant or any other participant.</w:t>
      </w:r>
    </w:p>
    <w:p>
      <w:pPr>
        <w:spacing w:after="0" w:line="185" w:lineRule="exact"/>
        <w:rPr>
          <w:rFonts w:ascii="Arial" w:cs="Arial" w:eastAsia="Arial" w:hAnsi="Arial"/>
          <w:sz w:val="22"/>
          <w:szCs w:val="22"/>
          <w:color w:val="auto"/>
        </w:rPr>
      </w:pPr>
    </w:p>
    <w:p>
      <w:pPr>
        <w:jc w:val="both"/>
        <w:ind w:left="80" w:right="60" w:firstLine="628"/>
        <w:spacing w:after="0" w:line="291" w:lineRule="auto"/>
        <w:tabs>
          <w:tab w:leader="none" w:pos="1349" w:val="left"/>
        </w:tabs>
        <w:numPr>
          <w:ilvl w:val="1"/>
          <w:numId w:val="36"/>
        </w:numPr>
        <w:rPr>
          <w:rFonts w:ascii="Arial" w:cs="Arial" w:eastAsia="Arial" w:hAnsi="Arial"/>
          <w:sz w:val="19"/>
          <w:szCs w:val="19"/>
          <w:color w:val="auto"/>
        </w:rPr>
      </w:pPr>
      <w:r>
        <w:rPr>
          <w:rFonts w:ascii="Arial" w:cs="Arial" w:eastAsia="Arial" w:hAnsi="Arial"/>
          <w:sz w:val="19"/>
          <w:szCs w:val="19"/>
          <w:u w:val="single" w:color="auto"/>
          <w:color w:val="auto"/>
        </w:rPr>
        <w:t>Imposition of Other Requirements</w:t>
      </w:r>
      <w:r>
        <w:rPr>
          <w:rFonts w:ascii="Arial" w:cs="Arial" w:eastAsia="Arial" w:hAnsi="Arial"/>
          <w:sz w:val="19"/>
          <w:szCs w:val="19"/>
          <w:color w:val="auto"/>
        </w:rPr>
        <w:t>. The Company reserves the right to impose other requirements on Participant’s participation in the Plan, on the Stock Units and on any Shares acquired under the Plan, to the extent the Company determines it</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is necessary 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10</w:t>
      </w:r>
    </w:p>
    <w:p>
      <w:pPr>
        <w:sectPr>
          <w:pgSz w:w="11900" w:h="16838" w:orient="portrait"/>
          <w:cols w:equalWidth="0" w:num="1">
            <w:col w:w="11240"/>
          </w:cols>
          <w:pgMar w:left="320" w:top="1428" w:right="339" w:bottom="1440" w:gutter="0" w:footer="0" w:header="0"/>
        </w:sectPr>
      </w:pPr>
    </w:p>
    <w:bookmarkStart w:id="81" w:name="page82"/>
    <w:bookmarkEnd w:id="81"/>
    <w:p>
      <w:pPr>
        <w:jc w:val="center"/>
        <w:ind w:left="520"/>
        <w:spacing w:after="0" w:line="263" w:lineRule="auto"/>
        <w:rPr>
          <w:sz w:val="20"/>
          <w:szCs w:val="20"/>
          <w:color w:val="auto"/>
        </w:rPr>
      </w:pPr>
      <w:r>
        <w:rPr>
          <w:rFonts w:ascii="Arial" w:cs="Arial" w:eastAsia="Arial" w:hAnsi="Arial"/>
          <w:sz w:val="22"/>
          <w:szCs w:val="22"/>
          <w:color w:val="auto"/>
        </w:rPr>
        <w:t>advisable for legal or administrative reasons, and to require Participant to sign any additional agreements or undertakings that may be necessary to accomplish the foregoing.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11</w:t>
      </w:r>
    </w:p>
    <w:p>
      <w:pPr>
        <w:sectPr>
          <w:pgSz w:w="11900" w:h="16838" w:orient="portrait"/>
          <w:cols w:equalWidth="0" w:num="1">
            <w:col w:w="11060"/>
          </w:cols>
          <w:pgMar w:left="320" w:top="1428" w:right="519" w:bottom="1440" w:gutter="0" w:footer="0" w:header="0"/>
        </w:sectPr>
      </w:pPr>
    </w:p>
    <w:bookmarkStart w:id="82" w:name="page83"/>
    <w:bookmarkEnd w:id="82"/>
    <w:p>
      <w:pPr>
        <w:ind w:left="4960" w:hanging="654"/>
        <w:spacing w:after="0"/>
        <w:tabs>
          <w:tab w:leader="none" w:pos="4960" w:val="left"/>
        </w:tabs>
        <w:numPr>
          <w:ilvl w:val="0"/>
          <w:numId w:val="37"/>
        </w:numPr>
        <w:rPr>
          <w:rFonts w:ascii="Arial" w:cs="Arial" w:eastAsia="Arial" w:hAnsi="Arial"/>
          <w:sz w:val="22"/>
          <w:szCs w:val="22"/>
          <w:color w:val="auto"/>
        </w:rPr>
      </w:pPr>
      <w:r>
        <w:rPr>
          <w:rFonts w:ascii="Arial" w:cs="Arial" w:eastAsia="Arial" w:hAnsi="Arial"/>
          <w:sz w:val="22"/>
          <w:szCs w:val="22"/>
          <w:b w:val="1"/>
          <w:bCs w:val="1"/>
          <w:color w:val="auto"/>
        </w:rPr>
        <w:t>APPENDIX TO THE</w:t>
      </w:r>
    </w:p>
    <w:p>
      <w:pPr>
        <w:spacing w:after="0" w:line="200" w:lineRule="exact"/>
        <w:rPr>
          <w:sz w:val="20"/>
          <w:szCs w:val="20"/>
          <w:color w:val="auto"/>
        </w:rPr>
      </w:pPr>
    </w:p>
    <w:p>
      <w:pPr>
        <w:spacing w:after="0" w:line="26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AMENDED AND RESTATED 1995 STOCK OPTION PLAN</w:t>
      </w:r>
    </w:p>
    <w:p>
      <w:pPr>
        <w:spacing w:after="0" w:line="22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UNIT AGREEMENT</w:t>
      </w:r>
    </w:p>
    <w:p>
      <w:pPr>
        <w:spacing w:after="0" w:line="253" w:lineRule="exact"/>
        <w:rPr>
          <w:sz w:val="20"/>
          <w:szCs w:val="20"/>
          <w:color w:val="auto"/>
        </w:rPr>
      </w:pPr>
    </w:p>
    <w:p>
      <w:pPr>
        <w:jc w:val="both"/>
        <w:spacing w:after="0" w:line="253" w:lineRule="auto"/>
        <w:rPr>
          <w:sz w:val="20"/>
          <w:szCs w:val="20"/>
          <w:color w:val="auto"/>
        </w:rPr>
      </w:pPr>
      <w:r>
        <w:rPr>
          <w:rFonts w:ascii="Arial" w:cs="Arial" w:eastAsia="Arial" w:hAnsi="Arial"/>
          <w:sz w:val="22"/>
          <w:szCs w:val="22"/>
          <w:color w:val="auto"/>
        </w:rPr>
        <w:t>Capitalized terms used but not defined herein shall have the meanings ascribed to them in the Stock Unit Agreement (including this Appendix, the “Agreement”) and/or the Marvell Technology, Inc. Amended and Restated 1995 Stock Option Plan (the “Plan”).</w:t>
      </w:r>
    </w:p>
    <w:p>
      <w:pPr>
        <w:spacing w:after="0" w:line="212"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7" w:lineRule="exact"/>
        <w:rPr>
          <w:sz w:val="20"/>
          <w:szCs w:val="20"/>
          <w:color w:val="auto"/>
        </w:rPr>
      </w:pPr>
    </w:p>
    <w:p>
      <w:pPr>
        <w:jc w:val="both"/>
        <w:spacing w:after="0" w:line="343" w:lineRule="auto"/>
        <w:rPr>
          <w:sz w:val="20"/>
          <w:szCs w:val="20"/>
          <w:color w:val="auto"/>
        </w:rPr>
      </w:pPr>
      <w:r>
        <w:rPr>
          <w:rFonts w:ascii="Arial" w:cs="Arial" w:eastAsia="Arial" w:hAnsi="Arial"/>
          <w:sz w:val="19"/>
          <w:szCs w:val="19"/>
          <w:color w:val="auto"/>
        </w:rPr>
        <w:t>This Appendix to the Stock Unit Agreement includes additional terms and conditions that govern the Stock Units granted to Participant if he or she resides and/or works in one of the countries listed herein. This Appendix forms part of the Agreement.</w:t>
      </w:r>
    </w:p>
    <w:p>
      <w:pPr>
        <w:spacing w:after="0" w:line="131"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If Participant is a citizen or resident of a country other than the one in which Participant is currently residing and/or working, transfers employment and/or residency to another country after the Stock Units are granted, or is considered a resident of another country for local law purposes, the Company shall, in its sole discretion, determine to what extent the terms and conditions included herein will apply to Participant.</w:t>
      </w:r>
    </w:p>
    <w:p>
      <w:pPr>
        <w:spacing w:after="0" w:line="21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7" w:lineRule="exact"/>
        <w:rPr>
          <w:sz w:val="20"/>
          <w:szCs w:val="20"/>
          <w:color w:val="auto"/>
        </w:rPr>
      </w:pPr>
    </w:p>
    <w:p>
      <w:pPr>
        <w:jc w:val="both"/>
        <w:spacing w:after="0" w:line="294" w:lineRule="auto"/>
        <w:rPr>
          <w:sz w:val="20"/>
          <w:szCs w:val="20"/>
          <w:color w:val="auto"/>
        </w:rPr>
      </w:pPr>
      <w:r>
        <w:rPr>
          <w:rFonts w:ascii="Arial" w:cs="Arial" w:eastAsia="Arial" w:hAnsi="Arial"/>
          <w:sz w:val="19"/>
          <w:szCs w:val="19"/>
          <w:color w:val="auto"/>
        </w:rPr>
        <w:t>This Appendix also includes information regarding exchange controls and certain other issues of which Participant should be aware with respect to Participant’s participation in the Plan. The information is based on the tax, securities, exchange control and other laws in effect in the respective countries as of April 2021. Such laws are often complex and change frequently. As a result, the Company strongly recommends that Participant not rely on the information noted herein as the only source of information relating to the consequences of Participant’s participation in the Plan because the information may be out of date at the time Participant vests in the Stock Units or sells Shares acquired under the Plan.</w:t>
      </w:r>
    </w:p>
    <w:p>
      <w:pPr>
        <w:spacing w:after="0" w:line="176" w:lineRule="exact"/>
        <w:rPr>
          <w:sz w:val="20"/>
          <w:szCs w:val="20"/>
          <w:color w:val="auto"/>
        </w:rPr>
      </w:pPr>
    </w:p>
    <w:p>
      <w:pPr>
        <w:jc w:val="both"/>
        <w:spacing w:after="0" w:line="271" w:lineRule="auto"/>
        <w:rPr>
          <w:sz w:val="20"/>
          <w:szCs w:val="20"/>
          <w:color w:val="auto"/>
        </w:rPr>
      </w:pPr>
      <w:r>
        <w:rPr>
          <w:rFonts w:ascii="Arial" w:cs="Arial" w:eastAsia="Arial" w:hAnsi="Arial"/>
          <w:sz w:val="21"/>
          <w:szCs w:val="21"/>
          <w:color w:val="auto"/>
        </w:rPr>
        <w:t>In addition, the information is general in nature and may not apply to Participant’s particular situation, and the Company is not in a position to assure Participant of any particular result. Accordingly, Participant should seek appropriate professional advice as to how the relevant laws in his or her country may apply to Participant’s situation.</w:t>
      </w:r>
    </w:p>
    <w:p>
      <w:pPr>
        <w:spacing w:after="0" w:line="194" w:lineRule="exact"/>
        <w:rPr>
          <w:sz w:val="20"/>
          <w:szCs w:val="20"/>
          <w:color w:val="auto"/>
        </w:rPr>
      </w:pPr>
    </w:p>
    <w:p>
      <w:pPr>
        <w:jc w:val="both"/>
        <w:spacing w:after="0" w:line="312" w:lineRule="auto"/>
        <w:rPr>
          <w:sz w:val="20"/>
          <w:szCs w:val="20"/>
          <w:color w:val="auto"/>
        </w:rPr>
      </w:pPr>
      <w:r>
        <w:rPr>
          <w:rFonts w:ascii="Arial" w:cs="Arial" w:eastAsia="Arial" w:hAnsi="Arial"/>
          <w:sz w:val="19"/>
          <w:szCs w:val="19"/>
          <w:color w:val="auto"/>
        </w:rPr>
        <w:t>Finally, if Participant is a citizen or resident of a country other than the one in which Participant is currently residing and/or working, transfers employment and/or residency to another country after the Stock Units are granted, or is considered a resident of another country for local law purposes, the information contained herein may not be applicable to Participant.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12</w:t>
      </w:r>
    </w:p>
    <w:p>
      <w:pPr>
        <w:sectPr>
          <w:pgSz w:w="11900" w:h="16838" w:orient="portrait"/>
          <w:cols w:equalWidth="0" w:num="1">
            <w:col w:w="11240"/>
          </w:cols>
          <w:pgMar w:left="320" w:top="1422" w:right="339" w:bottom="1440" w:gutter="0" w:footer="0" w:header="0"/>
        </w:sectPr>
      </w:pPr>
    </w:p>
    <w:bookmarkStart w:id="83" w:name="page84"/>
    <w:bookmarkEnd w:id="83"/>
    <w:p>
      <w:pPr>
        <w:spacing w:after="0"/>
        <w:rPr>
          <w:sz w:val="20"/>
          <w:szCs w:val="20"/>
          <w:color w:val="auto"/>
        </w:rPr>
      </w:pPr>
      <w:r>
        <w:rPr>
          <w:rFonts w:ascii="Arial" w:cs="Arial" w:eastAsia="Arial" w:hAnsi="Arial"/>
          <w:sz w:val="22"/>
          <w:szCs w:val="22"/>
          <w:b w:val="1"/>
          <w:bCs w:val="1"/>
          <w:color w:val="auto"/>
        </w:rPr>
        <w:t>ARGENTINA</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14"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Securities Law Information</w:t>
      </w:r>
      <w:r>
        <w:rPr>
          <w:rFonts w:ascii="Arial" w:cs="Arial" w:eastAsia="Arial" w:hAnsi="Arial"/>
          <w:sz w:val="22"/>
          <w:szCs w:val="22"/>
          <w:color w:val="auto"/>
        </w:rPr>
        <w:t>. Neither the Stock Units nor the underlying Shares is publicly offered or listed on any stock</w:t>
      </w:r>
      <w:r>
        <w:rPr>
          <w:rFonts w:ascii="Arial" w:cs="Arial" w:eastAsia="Arial" w:hAnsi="Arial"/>
          <w:sz w:val="22"/>
          <w:szCs w:val="22"/>
          <w:b w:val="1"/>
          <w:bCs w:val="1"/>
          <w:color w:val="auto"/>
        </w:rPr>
        <w:t xml:space="preserve"> </w:t>
      </w:r>
      <w:r>
        <w:rPr>
          <w:rFonts w:ascii="Arial" w:cs="Arial" w:eastAsia="Arial" w:hAnsi="Arial"/>
          <w:sz w:val="22"/>
          <w:szCs w:val="22"/>
          <w:color w:val="auto"/>
        </w:rPr>
        <w:t>exchange in Argentina. The offer is private and not subject to any disclosure requirements in Argentina.</w:t>
      </w:r>
    </w:p>
    <w:p>
      <w:pPr>
        <w:spacing w:after="0" w:line="162"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Exchange Control Information</w:t>
      </w:r>
      <w:r>
        <w:rPr>
          <w:rFonts w:ascii="Arial" w:cs="Arial" w:eastAsia="Arial" w:hAnsi="Arial"/>
          <w:sz w:val="22"/>
          <w:szCs w:val="22"/>
          <w:color w:val="auto"/>
        </w:rPr>
        <w:t>. Exchange control regulations in Argentina are subject to frequent change. Prior to transferring</w:t>
      </w:r>
      <w:r>
        <w:rPr>
          <w:rFonts w:ascii="Arial" w:cs="Arial" w:eastAsia="Arial" w:hAnsi="Arial"/>
          <w:sz w:val="22"/>
          <w:szCs w:val="22"/>
          <w:b w:val="1"/>
          <w:bCs w:val="1"/>
          <w:color w:val="auto"/>
        </w:rPr>
        <w:t xml:space="preserve"> </w:t>
      </w:r>
      <w:r>
        <w:rPr>
          <w:rFonts w:ascii="Arial" w:cs="Arial" w:eastAsia="Arial" w:hAnsi="Arial"/>
          <w:sz w:val="22"/>
          <w:szCs w:val="22"/>
          <w:color w:val="auto"/>
        </w:rPr>
        <w:t>proceeds into Argentina, Participant should consult his or her local bank and/or personal legal advisor to confirm the applicable requirements.</w:t>
      </w:r>
    </w:p>
    <w:p>
      <w:pPr>
        <w:spacing w:after="0" w:line="203" w:lineRule="exact"/>
        <w:rPr>
          <w:sz w:val="20"/>
          <w:szCs w:val="20"/>
          <w:color w:val="auto"/>
        </w:rPr>
      </w:pPr>
    </w:p>
    <w:p>
      <w:pPr>
        <w:jc w:val="both"/>
        <w:spacing w:after="0" w:line="274" w:lineRule="auto"/>
        <w:rPr>
          <w:sz w:val="20"/>
          <w:szCs w:val="20"/>
          <w:color w:val="auto"/>
        </w:rPr>
      </w:pPr>
      <w:r>
        <w:rPr>
          <w:rFonts w:ascii="Arial" w:cs="Arial" w:eastAsia="Arial" w:hAnsi="Arial"/>
          <w:sz w:val="21"/>
          <w:szCs w:val="21"/>
          <w:b w:val="1"/>
          <w:bCs w:val="1"/>
          <w:color w:val="auto"/>
        </w:rPr>
        <w:t xml:space="preserve">Foreign Asset/Account Reporting Information. </w:t>
      </w:r>
      <w:r>
        <w:rPr>
          <w:rFonts w:ascii="Arial" w:cs="Arial" w:eastAsia="Arial" w:hAnsi="Arial"/>
          <w:sz w:val="21"/>
          <w:szCs w:val="21"/>
          <w:color w:val="auto"/>
        </w:rPr>
        <w:t>Participant is required to report certain information regarding any Shares held</w:t>
      </w:r>
      <w:r>
        <w:rPr>
          <w:rFonts w:ascii="Arial" w:cs="Arial" w:eastAsia="Arial" w:hAnsi="Arial"/>
          <w:sz w:val="21"/>
          <w:szCs w:val="21"/>
          <w:b w:val="1"/>
          <w:bCs w:val="1"/>
          <w:color w:val="auto"/>
        </w:rPr>
        <w:t xml:space="preserve"> </w:t>
      </w:r>
      <w:r>
        <w:rPr>
          <w:rFonts w:ascii="Arial" w:cs="Arial" w:eastAsia="Arial" w:hAnsi="Arial"/>
          <w:sz w:val="21"/>
          <w:szCs w:val="21"/>
          <w:color w:val="auto"/>
        </w:rPr>
        <w:t xml:space="preserve">as of December 31 each year to the Argentine tax authorities on Participant’s annual tax return. </w:t>
      </w:r>
      <w:r>
        <w:rPr>
          <w:rFonts w:ascii="Arial" w:cs="Arial" w:eastAsia="Arial" w:hAnsi="Arial"/>
          <w:sz w:val="21"/>
          <w:szCs w:val="21"/>
          <w:i w:val="1"/>
          <w:iCs w:val="1"/>
          <w:color w:val="auto"/>
        </w:rPr>
        <w:t>Participant should consult with a</w:t>
      </w:r>
      <w:r>
        <w:rPr>
          <w:rFonts w:ascii="Arial" w:cs="Arial" w:eastAsia="Arial" w:hAnsi="Arial"/>
          <w:sz w:val="21"/>
          <w:szCs w:val="21"/>
          <w:color w:val="auto"/>
        </w:rPr>
        <w:t xml:space="preserve"> </w:t>
      </w:r>
      <w:r>
        <w:rPr>
          <w:rFonts w:ascii="Arial" w:cs="Arial" w:eastAsia="Arial" w:hAnsi="Arial"/>
          <w:sz w:val="21"/>
          <w:szCs w:val="21"/>
          <w:i w:val="1"/>
          <w:iCs w:val="1"/>
          <w:color w:val="auto"/>
        </w:rPr>
        <w:t>personal tax advisor for assistance with complying with the applicable reporting requirements.</w:t>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CANADA</w:t>
      </w:r>
    </w:p>
    <w:p>
      <w:pPr>
        <w:spacing w:after="0" w:line="374" w:lineRule="exact"/>
        <w:rPr>
          <w:sz w:val="20"/>
          <w:szCs w:val="20"/>
          <w:color w:val="auto"/>
        </w:rPr>
      </w:pPr>
    </w:p>
    <w:p>
      <w:pPr>
        <w:ind w:left="660" w:hanging="652"/>
        <w:spacing w:after="0"/>
        <w:tabs>
          <w:tab w:leader="none" w:pos="660" w:val="left"/>
        </w:tabs>
        <w:numPr>
          <w:ilvl w:val="0"/>
          <w:numId w:val="38"/>
        </w:numPr>
        <w:rPr>
          <w:rFonts w:ascii="Arial" w:cs="Arial" w:eastAsia="Arial" w:hAnsi="Arial"/>
          <w:sz w:val="22"/>
          <w:szCs w:val="22"/>
          <w:b w:val="1"/>
          <w:bCs w:val="1"/>
          <w:i w:val="1"/>
          <w:iCs w:val="1"/>
          <w:color w:val="auto"/>
        </w:rPr>
      </w:pPr>
      <w:r>
        <w:rPr>
          <w:rFonts w:ascii="Arial" w:cs="Arial" w:eastAsia="Arial" w:hAnsi="Arial"/>
          <w:sz w:val="22"/>
          <w:szCs w:val="22"/>
          <w:b w:val="1"/>
          <w:bCs w:val="1"/>
          <w:i w:val="1"/>
          <w:iCs w:val="1"/>
          <w:color w:val="auto"/>
        </w:rPr>
        <w:t>Terms and Conditions</w:t>
      </w:r>
    </w:p>
    <w:p>
      <w:pPr>
        <w:spacing w:after="0" w:line="11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Settlement of Stock Units. </w:t>
      </w:r>
      <w:r>
        <w:rPr>
          <w:rFonts w:ascii="Arial" w:cs="Arial" w:eastAsia="Arial" w:hAnsi="Arial"/>
          <w:sz w:val="22"/>
          <w:szCs w:val="22"/>
          <w:color w:val="auto"/>
        </w:rPr>
        <w:t>The following provision supplements Section 2 of the Stock Unit Agreement:</w:t>
      </w:r>
    </w:p>
    <w:p>
      <w:pPr>
        <w:spacing w:after="0" w:line="253" w:lineRule="exact"/>
        <w:rPr>
          <w:sz w:val="20"/>
          <w:szCs w:val="20"/>
          <w:color w:val="auto"/>
        </w:rPr>
      </w:pPr>
    </w:p>
    <w:p>
      <w:pPr>
        <w:jc w:val="both"/>
        <w:ind w:right="20"/>
        <w:spacing w:after="0" w:line="263" w:lineRule="auto"/>
        <w:rPr>
          <w:sz w:val="20"/>
          <w:szCs w:val="20"/>
          <w:color w:val="auto"/>
        </w:rPr>
      </w:pPr>
      <w:r>
        <w:rPr>
          <w:rFonts w:ascii="Arial" w:cs="Arial" w:eastAsia="Arial" w:hAnsi="Arial"/>
          <w:sz w:val="22"/>
          <w:szCs w:val="22"/>
          <w:color w:val="auto"/>
        </w:rPr>
        <w:t>Notwithstanding Section 2 of the Stock Unit Agreement and Section 13(c) of the Plan, the Stock Units will be settled in Shares only, not cash.</w:t>
      </w:r>
    </w:p>
    <w:p>
      <w:pPr>
        <w:spacing w:after="0" w:line="196"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 xml:space="preserve">Forfeiture upon Termination of Continuous Service. </w:t>
      </w:r>
      <w:r>
        <w:rPr>
          <w:rFonts w:ascii="Arial" w:cs="Arial" w:eastAsia="Arial" w:hAnsi="Arial"/>
          <w:sz w:val="22"/>
          <w:szCs w:val="22"/>
          <w:color w:val="auto"/>
        </w:rPr>
        <w:t>The following provision replaces Section 5 of the Stock Unit Agreement</w:t>
      </w:r>
      <w:r>
        <w:rPr>
          <w:rFonts w:ascii="Arial" w:cs="Arial" w:eastAsia="Arial" w:hAnsi="Arial"/>
          <w:sz w:val="22"/>
          <w:szCs w:val="22"/>
          <w:b w:val="1"/>
          <w:bCs w:val="1"/>
          <w:color w:val="auto"/>
        </w:rPr>
        <w:t xml:space="preserve"> </w:t>
      </w:r>
      <w:r>
        <w:rPr>
          <w:rFonts w:ascii="Arial" w:cs="Arial" w:eastAsia="Arial" w:hAnsi="Arial"/>
          <w:sz w:val="22"/>
          <w:szCs w:val="22"/>
          <w:color w:val="auto"/>
        </w:rPr>
        <w:t>in its entirety:</w:t>
      </w:r>
    </w:p>
    <w:p>
      <w:pPr>
        <w:spacing w:after="0" w:line="195" w:lineRule="exact"/>
        <w:rPr>
          <w:sz w:val="20"/>
          <w:szCs w:val="20"/>
          <w:color w:val="auto"/>
        </w:rPr>
      </w:pPr>
    </w:p>
    <w:p>
      <w:pPr>
        <w:jc w:val="both"/>
        <w:spacing w:after="0" w:line="258" w:lineRule="auto"/>
        <w:rPr>
          <w:sz w:val="20"/>
          <w:szCs w:val="20"/>
          <w:color w:val="auto"/>
        </w:rPr>
      </w:pPr>
      <w:r>
        <w:rPr>
          <w:rFonts w:ascii="Arial" w:cs="Arial" w:eastAsia="Arial" w:hAnsi="Arial"/>
          <w:sz w:val="21"/>
          <w:szCs w:val="21"/>
          <w:color w:val="auto"/>
        </w:rPr>
        <w:t>Notwithstanding any contrary provision of this Agreement, in the event Participant’s Continuous Service is terminated (regardless of the reason of such termination and whether or not such termination is later found invalid or in breach of employment laws in the jurisdiction where Participant is employed or otherwise providing services, or the terms of Participant’s employment or other service agreement, if any), any Stock Units that have not vested as of the date of such termination (the “Termination Date,” as further defined below) will immediately terminate and the Shares covered by the outstanding Stock Units shall revert to the Plan. For purposes of this Agreement, the Termination Date will be the date that is the earlier of: (1) the date of termination of Participant’s Continuous Service, and (2) the date Participant receives notice of termination of Continuous Service. In either case, the date shall exclude any period during which notice, pay in lieu of notice or related payments or damages are provided or required to be provided under local law. For greater certainty, Participant will not earn or be entitled to any pro-rated vesting for that portion of time before the date on which Participant’s right to vest terminates, nor will Participant be entitled to any compensation for lost vesting.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13</w:t>
      </w:r>
    </w:p>
    <w:p>
      <w:pPr>
        <w:sectPr>
          <w:pgSz w:w="11900" w:h="16838" w:orient="portrait"/>
          <w:cols w:equalWidth="0" w:num="1">
            <w:col w:w="11240"/>
          </w:cols>
          <w:pgMar w:left="320" w:top="1422" w:right="339" w:bottom="1440" w:gutter="0" w:footer="0" w:header="0"/>
        </w:sectPr>
      </w:pPr>
    </w:p>
    <w:bookmarkStart w:id="84" w:name="page85"/>
    <w:bookmarkEnd w:id="84"/>
    <w:p>
      <w:pPr>
        <w:jc w:val="both"/>
        <w:spacing w:after="0" w:line="248" w:lineRule="auto"/>
        <w:rPr>
          <w:sz w:val="20"/>
          <w:szCs w:val="20"/>
          <w:color w:val="auto"/>
        </w:rPr>
      </w:pPr>
      <w:r>
        <w:rPr>
          <w:rFonts w:ascii="Arial" w:cs="Arial" w:eastAsia="Arial" w:hAnsi="Arial"/>
          <w:sz w:val="22"/>
          <w:szCs w:val="22"/>
          <w:color w:val="auto"/>
        </w:rPr>
        <w:t>Notwithstanding the foregoing, if applicable employment standards legislation explicitly requires continued participation in the Plan during a statutory notice period, Participant acknowledges that his or her right to participate in the Plan, if any, will terminate effective as of the last day of his or her minimum statutory notice period, but Participant will not earn or be entitled to any pro-rated vesting if the vesting date falls after the end of his or her statutory notice period, nor will Participant be entitled to any compensation for lost vesting.</w:t>
      </w:r>
    </w:p>
    <w:p>
      <w:pPr>
        <w:spacing w:after="0" w:line="219"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The following provisions will apply if Participant resides in Quebec:</w:t>
      </w:r>
    </w:p>
    <w:p>
      <w:pPr>
        <w:spacing w:after="0" w:line="241" w:lineRule="exact"/>
        <w:rPr>
          <w:sz w:val="20"/>
          <w:szCs w:val="20"/>
          <w:color w:val="auto"/>
        </w:rPr>
      </w:pPr>
    </w:p>
    <w:p>
      <w:pPr>
        <w:jc w:val="both"/>
        <w:ind w:right="20"/>
        <w:spacing w:after="0" w:line="256" w:lineRule="auto"/>
        <w:rPr>
          <w:sz w:val="20"/>
          <w:szCs w:val="20"/>
          <w:color w:val="auto"/>
        </w:rPr>
      </w:pPr>
      <w:r>
        <w:rPr>
          <w:rFonts w:ascii="Arial" w:cs="Arial" w:eastAsia="Arial" w:hAnsi="Arial"/>
          <w:sz w:val="22"/>
          <w:szCs w:val="22"/>
          <w:b w:val="1"/>
          <w:bCs w:val="1"/>
          <w:color w:val="auto"/>
        </w:rPr>
        <w:t xml:space="preserve">Language Consent. </w:t>
      </w:r>
      <w:r>
        <w:rPr>
          <w:rFonts w:ascii="Arial" w:cs="Arial" w:eastAsia="Arial" w:hAnsi="Arial"/>
          <w:sz w:val="22"/>
          <w:szCs w:val="22"/>
          <w:color w:val="auto"/>
        </w:rPr>
        <w:t>The parties acknowledge that it is their express wish that the Agreement, as well as all addenda, documents,</w:t>
      </w:r>
      <w:r>
        <w:rPr>
          <w:rFonts w:ascii="Arial" w:cs="Arial" w:eastAsia="Arial" w:hAnsi="Arial"/>
          <w:sz w:val="22"/>
          <w:szCs w:val="22"/>
          <w:b w:val="1"/>
          <w:bCs w:val="1"/>
          <w:color w:val="auto"/>
        </w:rPr>
        <w:t xml:space="preserve"> </w:t>
      </w:r>
      <w:r>
        <w:rPr>
          <w:rFonts w:ascii="Arial" w:cs="Arial" w:eastAsia="Arial" w:hAnsi="Arial"/>
          <w:sz w:val="22"/>
          <w:szCs w:val="22"/>
          <w:color w:val="auto"/>
        </w:rPr>
        <w:t>notices, and legal proceedings entered into, given or instituted pursuant hereto or relating directly or indirectly hereto, be drawn up in English.</w:t>
      </w:r>
    </w:p>
    <w:p>
      <w:pPr>
        <w:spacing w:after="0" w:line="209" w:lineRule="exact"/>
        <w:rPr>
          <w:sz w:val="20"/>
          <w:szCs w:val="20"/>
          <w:color w:val="auto"/>
        </w:rPr>
      </w:pPr>
    </w:p>
    <w:p>
      <w:pPr>
        <w:jc w:val="both"/>
        <w:spacing w:after="0" w:line="343" w:lineRule="auto"/>
        <w:rPr>
          <w:sz w:val="20"/>
          <w:szCs w:val="20"/>
          <w:color w:val="auto"/>
        </w:rPr>
      </w:pPr>
      <w:r>
        <w:rPr>
          <w:rFonts w:ascii="Arial" w:cs="Arial" w:eastAsia="Arial" w:hAnsi="Arial"/>
          <w:sz w:val="19"/>
          <w:szCs w:val="19"/>
          <w:i w:val="1"/>
          <w:iCs w:val="1"/>
          <w:color w:val="auto"/>
        </w:rPr>
        <w:t>Les parties reconnaissent avoir exigé la rédaction en anglais de cette Convention, ainsi que de tous documents exécutés, avis donnés et procédures judiciaries intentées, directement ou indirectement, relativement à ou suite à la présente convention.</w:t>
      </w:r>
    </w:p>
    <w:p>
      <w:pPr>
        <w:spacing w:after="0" w:line="12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Data Privacy Notice &amp; Consent. </w:t>
      </w:r>
      <w:r>
        <w:rPr>
          <w:rFonts w:ascii="Arial" w:cs="Arial" w:eastAsia="Arial" w:hAnsi="Arial"/>
          <w:sz w:val="22"/>
          <w:szCs w:val="22"/>
          <w:color w:val="auto"/>
        </w:rPr>
        <w:t>The following provisions supplement Section 10 of the Stock Unit Agreement:</w:t>
      </w:r>
    </w:p>
    <w:p>
      <w:pPr>
        <w:spacing w:after="0" w:line="253" w:lineRule="exact"/>
        <w:rPr>
          <w:sz w:val="20"/>
          <w:szCs w:val="20"/>
          <w:color w:val="auto"/>
        </w:rPr>
      </w:pPr>
    </w:p>
    <w:p>
      <w:pPr>
        <w:jc w:val="both"/>
        <w:spacing w:after="0" w:line="263" w:lineRule="auto"/>
        <w:rPr>
          <w:sz w:val="20"/>
          <w:szCs w:val="20"/>
          <w:color w:val="auto"/>
        </w:rPr>
      </w:pPr>
      <w:r>
        <w:rPr>
          <w:rFonts w:ascii="Arial" w:cs="Arial" w:eastAsia="Arial" w:hAnsi="Arial"/>
          <w:sz w:val="21"/>
          <w:szCs w:val="21"/>
          <w:color w:val="auto"/>
        </w:rPr>
        <w:t>Participant hereby authorizes the Company and the Company’s representatives to discuss and obtain all relevant information from all personnel, professional or non-professional, involved in the administration of the Plan. Participant further authorizes the Company, the Employer, any other Parent and Subsidiary, and the Administrator to disclose and discuss the Plan with their advisors. Participant further authorizes the Company, the Employer and any other Parent or Subsidiary to record such information and to keep such information in Participant’s employee file.</w:t>
      </w:r>
    </w:p>
    <w:p>
      <w:pPr>
        <w:spacing w:after="0" w:line="202"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74" w:lineRule="auto"/>
        <w:rPr>
          <w:sz w:val="20"/>
          <w:szCs w:val="20"/>
          <w:color w:val="auto"/>
        </w:rPr>
      </w:pPr>
      <w:r>
        <w:rPr>
          <w:rFonts w:ascii="Arial" w:cs="Arial" w:eastAsia="Arial" w:hAnsi="Arial"/>
          <w:sz w:val="21"/>
          <w:szCs w:val="21"/>
          <w:b w:val="1"/>
          <w:bCs w:val="1"/>
          <w:color w:val="auto"/>
        </w:rPr>
        <w:t xml:space="preserve">Securities Law Information. </w:t>
      </w:r>
      <w:r>
        <w:rPr>
          <w:rFonts w:ascii="Arial" w:cs="Arial" w:eastAsia="Arial" w:hAnsi="Arial"/>
          <w:sz w:val="21"/>
          <w:szCs w:val="21"/>
          <w:color w:val="auto"/>
        </w:rPr>
        <w:t>Participant acknowledges that he or she is permitted to sell Shares acquired under the Plan only</w:t>
      </w:r>
      <w:r>
        <w:rPr>
          <w:rFonts w:ascii="Arial" w:cs="Arial" w:eastAsia="Arial" w:hAnsi="Arial"/>
          <w:sz w:val="21"/>
          <w:szCs w:val="21"/>
          <w:b w:val="1"/>
          <w:bCs w:val="1"/>
          <w:color w:val="auto"/>
        </w:rPr>
        <w:t xml:space="preserve"> </w:t>
      </w:r>
      <w:r>
        <w:rPr>
          <w:rFonts w:ascii="Arial" w:cs="Arial" w:eastAsia="Arial" w:hAnsi="Arial"/>
          <w:sz w:val="21"/>
          <w:szCs w:val="21"/>
          <w:color w:val="auto"/>
        </w:rPr>
        <w:t>through the Designated Broker, if any, provided the sale of the Shares acquired under Plan takes place outside of Canada through the facilities of a stock exchange on which the Shares are listed (</w:t>
      </w:r>
      <w:r>
        <w:rPr>
          <w:rFonts w:ascii="Arial" w:cs="Arial" w:eastAsia="Arial" w:hAnsi="Arial"/>
          <w:sz w:val="21"/>
          <w:szCs w:val="21"/>
          <w:i w:val="1"/>
          <w:iCs w:val="1"/>
          <w:color w:val="auto"/>
        </w:rPr>
        <w:t>i.e.</w:t>
      </w:r>
      <w:r>
        <w:rPr>
          <w:rFonts w:ascii="Arial" w:cs="Arial" w:eastAsia="Arial" w:hAnsi="Arial"/>
          <w:sz w:val="21"/>
          <w:szCs w:val="21"/>
          <w:color w:val="auto"/>
        </w:rPr>
        <w:t>, the Nasdaq Stock Market).</w:t>
      </w:r>
    </w:p>
    <w:p>
      <w:pPr>
        <w:spacing w:after="0" w:line="185" w:lineRule="exact"/>
        <w:rPr>
          <w:sz w:val="20"/>
          <w:szCs w:val="20"/>
          <w:color w:val="auto"/>
        </w:rPr>
      </w:pPr>
    </w:p>
    <w:p>
      <w:pPr>
        <w:jc w:val="both"/>
        <w:spacing w:after="0" w:line="293" w:lineRule="auto"/>
        <w:rPr>
          <w:sz w:val="20"/>
          <w:szCs w:val="20"/>
          <w:color w:val="auto"/>
        </w:rPr>
      </w:pPr>
      <w:r>
        <w:rPr>
          <w:rFonts w:ascii="Arial" w:cs="Arial" w:eastAsia="Arial" w:hAnsi="Arial"/>
          <w:sz w:val="19"/>
          <w:szCs w:val="19"/>
          <w:b w:val="1"/>
          <w:bCs w:val="1"/>
          <w:color w:val="auto"/>
        </w:rPr>
        <w:t xml:space="preserve">Foreign Asset/Account Reporting Information. </w:t>
      </w:r>
      <w:r>
        <w:rPr>
          <w:rFonts w:ascii="Arial" w:cs="Arial" w:eastAsia="Arial" w:hAnsi="Arial"/>
          <w:sz w:val="19"/>
          <w:szCs w:val="19"/>
          <w:color w:val="auto"/>
        </w:rPr>
        <w:t>Specified foreign property, including shares and rights to receive shares (</w:t>
      </w:r>
      <w:r>
        <w:rPr>
          <w:rFonts w:ascii="Arial" w:cs="Arial" w:eastAsia="Arial" w:hAnsi="Arial"/>
          <w:sz w:val="19"/>
          <w:szCs w:val="19"/>
          <w:i w:val="1"/>
          <w:iCs w:val="1"/>
          <w:color w:val="auto"/>
        </w:rPr>
        <w:t>e.g.</w:t>
      </w:r>
      <w:r>
        <w:rPr>
          <w:rFonts w:ascii="Arial" w:cs="Arial" w:eastAsia="Arial" w:hAnsi="Arial"/>
          <w:sz w:val="19"/>
          <w:szCs w:val="19"/>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stock options, restricted stock units) of a non-Canadian company held by a Canadian resident must generally be reported annually on a Form T1135 (Foreign Income Verification Statement) if the total cost of the foreign specified property exceeds C$100,000 at any time during the year. Thus, the Stock Units must be reported (generally at a nil cost) if the C$100,000 cost threshold is exceeded because of other specified foreign property held by Participant. When Shares are acquired, their cost generally is the adjusted cost base (“ACB”) of the Shares. The ACB would ordinarily equal the fair market value of the Shares at the time of acquisition, but if Participant owns other Shares, this ACB may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14</w:t>
      </w:r>
    </w:p>
    <w:p>
      <w:pPr>
        <w:sectPr>
          <w:pgSz w:w="11900" w:h="16838" w:orient="portrait"/>
          <w:cols w:equalWidth="0" w:num="1">
            <w:col w:w="11240"/>
          </w:cols>
          <w:pgMar w:left="320" w:top="1428" w:right="339" w:bottom="1440" w:gutter="0" w:footer="0" w:header="0"/>
        </w:sectPr>
      </w:pPr>
    </w:p>
    <w:bookmarkStart w:id="85" w:name="page86"/>
    <w:bookmarkEnd w:id="85"/>
    <w:p>
      <w:pPr>
        <w:jc w:val="both"/>
        <w:spacing w:after="0" w:line="263" w:lineRule="auto"/>
        <w:rPr>
          <w:sz w:val="20"/>
          <w:szCs w:val="20"/>
          <w:color w:val="auto"/>
        </w:rPr>
      </w:pPr>
      <w:r>
        <w:rPr>
          <w:rFonts w:ascii="Arial" w:cs="Arial" w:eastAsia="Arial" w:hAnsi="Arial"/>
          <w:sz w:val="22"/>
          <w:szCs w:val="22"/>
          <w:color w:val="auto"/>
        </w:rPr>
        <w:t>have to be averaged with the ACB of the other Shares. Participant should consult a personal tax advisor to ensure compliance with applicable reporting obligations.</w:t>
      </w: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CHINA</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7" w:lineRule="exact"/>
        <w:rPr>
          <w:sz w:val="20"/>
          <w:szCs w:val="20"/>
          <w:color w:val="auto"/>
        </w:rPr>
      </w:pPr>
    </w:p>
    <w:p>
      <w:pPr>
        <w:jc w:val="both"/>
        <w:spacing w:after="0" w:line="312" w:lineRule="auto"/>
        <w:rPr>
          <w:sz w:val="20"/>
          <w:szCs w:val="20"/>
          <w:color w:val="auto"/>
        </w:rPr>
      </w:pPr>
      <w:r>
        <w:rPr>
          <w:rFonts w:ascii="Arial" w:cs="Arial" w:eastAsia="Arial" w:hAnsi="Arial"/>
          <w:sz w:val="19"/>
          <w:szCs w:val="19"/>
          <w:b w:val="1"/>
          <w:bCs w:val="1"/>
          <w:i w:val="1"/>
          <w:iCs w:val="1"/>
          <w:color w:val="auto"/>
        </w:rPr>
        <w:t>The following Terms and Conditions and Notifications apply only if Participant is subject to the exchange control restrictions and regulations in the People’s Republic of China (“China”), including the requirements imposed by the State Administration of Foreign Exchange (“SAFE”), as determined by the Company in its sole discretion.</w:t>
      </w:r>
    </w:p>
    <w:p>
      <w:pPr>
        <w:spacing w:after="0" w:line="154"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Supplemental Rules for China Employees</w:t>
      </w:r>
      <w:r>
        <w:rPr>
          <w:rFonts w:ascii="Arial" w:cs="Arial" w:eastAsia="Arial" w:hAnsi="Arial"/>
          <w:sz w:val="22"/>
          <w:szCs w:val="22"/>
          <w:i w:val="1"/>
          <w:i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By accepting the Stock Units, Participant acknowledges and agrees to be bound by</w:t>
      </w:r>
      <w:r>
        <w:rPr>
          <w:rFonts w:ascii="Arial" w:cs="Arial" w:eastAsia="Arial" w:hAnsi="Arial"/>
          <w:sz w:val="22"/>
          <w:szCs w:val="22"/>
          <w:b w:val="1"/>
          <w:bCs w:val="1"/>
          <w:color w:val="auto"/>
        </w:rPr>
        <w:t xml:space="preserve"> </w:t>
      </w:r>
      <w:r>
        <w:rPr>
          <w:rFonts w:ascii="Arial" w:cs="Arial" w:eastAsia="Arial" w:hAnsi="Arial"/>
          <w:sz w:val="22"/>
          <w:szCs w:val="22"/>
          <w:color w:val="auto"/>
        </w:rPr>
        <w:t>the terms of the Supplemental Rules of Marvell Stock Plans for China Employees.</w:t>
      </w:r>
    </w:p>
    <w:p>
      <w:pPr>
        <w:spacing w:after="0" w:line="189" w:lineRule="exact"/>
        <w:rPr>
          <w:sz w:val="20"/>
          <w:szCs w:val="20"/>
          <w:color w:val="auto"/>
        </w:rPr>
      </w:pPr>
    </w:p>
    <w:p>
      <w:pPr>
        <w:jc w:val="both"/>
        <w:spacing w:after="0" w:line="249" w:lineRule="auto"/>
        <w:rPr>
          <w:sz w:val="20"/>
          <w:szCs w:val="20"/>
          <w:color w:val="auto"/>
        </w:rPr>
      </w:pPr>
      <w:r>
        <w:rPr>
          <w:rFonts w:ascii="Arial" w:cs="Arial" w:eastAsia="Arial" w:hAnsi="Arial"/>
          <w:sz w:val="22"/>
          <w:szCs w:val="22"/>
          <w:b w:val="1"/>
          <w:bCs w:val="1"/>
          <w:color w:val="auto"/>
        </w:rPr>
        <w:t xml:space="preserve">No Transfer of Shares. </w:t>
      </w:r>
      <w:r>
        <w:rPr>
          <w:rFonts w:ascii="Arial" w:cs="Arial" w:eastAsia="Arial" w:hAnsi="Arial"/>
          <w:sz w:val="22"/>
          <w:szCs w:val="22"/>
          <w:color w:val="auto"/>
        </w:rPr>
        <w:t>Participant agrees that any Shares to be issued to Participant shall be deposited directly into an account</w:t>
      </w:r>
      <w:r>
        <w:rPr>
          <w:rFonts w:ascii="Arial" w:cs="Arial" w:eastAsia="Arial" w:hAnsi="Arial"/>
          <w:sz w:val="22"/>
          <w:szCs w:val="22"/>
          <w:b w:val="1"/>
          <w:bCs w:val="1"/>
          <w:color w:val="auto"/>
        </w:rPr>
        <w:t xml:space="preserve"> </w:t>
      </w:r>
      <w:r>
        <w:rPr>
          <w:rFonts w:ascii="Arial" w:cs="Arial" w:eastAsia="Arial" w:hAnsi="Arial"/>
          <w:sz w:val="22"/>
          <w:szCs w:val="22"/>
          <w:color w:val="auto"/>
        </w:rPr>
        <w:t>with the Designated Broker. The deposited Shares shall not be transferable (either electronically or in certificate form) from the brokerage account. This limitation shall apply both to transfers to different accounts with the Designated Broker and to transfers to other brokerage firms. The limitation shall apply to all Shares issued to Participant under the Plan, and whether or not Participant’s Continuous Service terminates.</w:t>
      </w:r>
    </w:p>
    <w:p>
      <w:pPr>
        <w:spacing w:after="0" w:line="213" w:lineRule="exact"/>
        <w:rPr>
          <w:sz w:val="20"/>
          <w:szCs w:val="20"/>
          <w:color w:val="auto"/>
        </w:rPr>
      </w:pPr>
    </w:p>
    <w:p>
      <w:pPr>
        <w:jc w:val="both"/>
        <w:spacing w:after="0" w:line="293" w:lineRule="auto"/>
        <w:rPr>
          <w:sz w:val="20"/>
          <w:szCs w:val="20"/>
          <w:color w:val="auto"/>
        </w:rPr>
      </w:pPr>
      <w:r>
        <w:rPr>
          <w:rFonts w:ascii="Arial" w:cs="Arial" w:eastAsia="Arial" w:hAnsi="Arial"/>
          <w:sz w:val="19"/>
          <w:szCs w:val="19"/>
          <w:b w:val="1"/>
          <w:bCs w:val="1"/>
          <w:color w:val="auto"/>
        </w:rPr>
        <w:t xml:space="preserve">Sale of Shares. </w:t>
      </w:r>
      <w:r>
        <w:rPr>
          <w:rFonts w:ascii="Arial" w:cs="Arial" w:eastAsia="Arial" w:hAnsi="Arial"/>
          <w:sz w:val="19"/>
          <w:szCs w:val="19"/>
          <w:color w:val="auto"/>
        </w:rPr>
        <w:t>To facilitate compliance with exchange control laws in China, the Company may require Participant to sell</w:t>
      </w:r>
      <w:r>
        <w:rPr>
          <w:rFonts w:ascii="Arial" w:cs="Arial" w:eastAsia="Arial" w:hAnsi="Arial"/>
          <w:sz w:val="19"/>
          <w:szCs w:val="19"/>
          <w:b w:val="1"/>
          <w:bCs w:val="1"/>
          <w:color w:val="auto"/>
        </w:rPr>
        <w:t xml:space="preserve"> </w:t>
      </w:r>
      <w:r>
        <w:rPr>
          <w:rFonts w:ascii="Arial" w:cs="Arial" w:eastAsia="Arial" w:hAnsi="Arial"/>
          <w:sz w:val="19"/>
          <w:szCs w:val="19"/>
          <w:color w:val="auto"/>
        </w:rPr>
        <w:t>Shares (i) immediately at vesting, (ii) upon termination of Continuous Service, or (iii) within any other timeframe as the Company determines for legal or administrative reasons. . If Participant does not sell his or her outstanding Shares within the time required by the Company, Participant hereby authorizes the Company to instruct the Designated Broker to sell the Shares on Participant’s behalf, and expressly authorizes the Designated Broker to complete the sale of Shares. Participant agrees to sign any forms and/or consents required by the Designated Broker to effectuate the sale of Shares. Participant acknowledges that the Designated Broker is under no obligation to arrange for the sale of Shares at any particular price.</w:t>
      </w:r>
    </w:p>
    <w:p>
      <w:pPr>
        <w:spacing w:after="0" w:line="177" w:lineRule="exact"/>
        <w:rPr>
          <w:sz w:val="20"/>
          <w:szCs w:val="20"/>
          <w:color w:val="auto"/>
        </w:rPr>
      </w:pPr>
    </w:p>
    <w:p>
      <w:pPr>
        <w:jc w:val="both"/>
        <w:spacing w:after="0" w:line="297" w:lineRule="auto"/>
        <w:rPr>
          <w:sz w:val="20"/>
          <w:szCs w:val="20"/>
          <w:color w:val="auto"/>
        </w:rPr>
      </w:pPr>
      <w:r>
        <w:rPr>
          <w:rFonts w:ascii="Arial" w:cs="Arial" w:eastAsia="Arial" w:hAnsi="Arial"/>
          <w:sz w:val="19"/>
          <w:szCs w:val="19"/>
          <w:color w:val="auto"/>
        </w:rPr>
        <w:t>Upon the sale of Shares, Participant understands that the Company agrees to pay Participant the cash proceeds from the sale of Shares, less any brokerage fees or commissions, and subject to any obligation to satisfy withholding obligations for Tax-Related Items. Participant understands that the proceeds from the sale of Shares may need to be repatriated to China pursuant to the below provision, and Participant agrees to comply with all requirements the Company may impose in order to facilitate compliance with exchange control requirements in China prior to receipt of the cash proceeds.</w:t>
      </w:r>
    </w:p>
    <w:p>
      <w:pPr>
        <w:spacing w:after="0" w:line="174"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Participant acknowledges that he or she is not aware of any material nonpublic information with respect to the Company or any securities of the Company as of the date of the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15</w:t>
      </w:r>
    </w:p>
    <w:p>
      <w:pPr>
        <w:sectPr>
          <w:pgSz w:w="11900" w:h="16838" w:orient="portrait"/>
          <w:cols w:equalWidth="0" w:num="1">
            <w:col w:w="11240"/>
          </w:cols>
          <w:pgMar w:left="320" w:top="1428" w:right="339" w:bottom="1440" w:gutter="0" w:footer="0" w:header="0"/>
        </w:sectPr>
      </w:pPr>
    </w:p>
    <w:bookmarkStart w:id="86" w:name="page87"/>
    <w:bookmarkEnd w:id="86"/>
    <w:p>
      <w:pPr>
        <w:spacing w:after="0" w:line="225" w:lineRule="exact"/>
        <w:rPr>
          <w:sz w:val="20"/>
          <w:szCs w:val="20"/>
          <w:color w:val="auto"/>
        </w:rPr>
      </w:pPr>
    </w:p>
    <w:p>
      <w:pPr>
        <w:jc w:val="both"/>
        <w:spacing w:after="0" w:line="298" w:lineRule="auto"/>
        <w:rPr>
          <w:sz w:val="20"/>
          <w:szCs w:val="20"/>
          <w:color w:val="auto"/>
        </w:rPr>
      </w:pPr>
      <w:r>
        <w:rPr>
          <w:rFonts w:ascii="Arial" w:cs="Arial" w:eastAsia="Arial" w:hAnsi="Arial"/>
          <w:sz w:val="19"/>
          <w:szCs w:val="19"/>
          <w:b w:val="1"/>
          <w:bCs w:val="1"/>
          <w:color w:val="auto"/>
        </w:rPr>
        <w:t xml:space="preserve">Exchange Control Restrictions. </w:t>
      </w:r>
      <w:r>
        <w:rPr>
          <w:rFonts w:ascii="Arial" w:cs="Arial" w:eastAsia="Arial" w:hAnsi="Arial"/>
          <w:sz w:val="19"/>
          <w:szCs w:val="19"/>
          <w:color w:val="auto"/>
        </w:rPr>
        <w:t>Participant understands and agrees that Participant’s participation in the Plan and the vesting of</w:t>
      </w:r>
      <w:r>
        <w:rPr>
          <w:rFonts w:ascii="Arial" w:cs="Arial" w:eastAsia="Arial" w:hAnsi="Arial"/>
          <w:sz w:val="19"/>
          <w:szCs w:val="19"/>
          <w:b w:val="1"/>
          <w:bCs w:val="1"/>
          <w:color w:val="auto"/>
        </w:rPr>
        <w:t xml:space="preserve"> </w:t>
      </w:r>
      <w:r>
        <w:rPr>
          <w:rFonts w:ascii="Arial" w:cs="Arial" w:eastAsia="Arial" w:hAnsi="Arial"/>
          <w:sz w:val="19"/>
          <w:szCs w:val="19"/>
          <w:color w:val="auto"/>
        </w:rPr>
        <w:t>Stock Units under the Plan is subject to the continued registration and compliance of the Plan with applicable exchange control regulations in China. Participant agrees that if the registration of the Plan lapses or the Company determines, in its discretion, that the Stock Units cannot vest due to regulatory restrictions, Participant’s participation in the Plan may be suspended, terminated or otherwise modified to ensure compliance with applicable laws and regulations.</w:t>
      </w:r>
    </w:p>
    <w:p>
      <w:pPr>
        <w:spacing w:after="0" w:line="175" w:lineRule="exact"/>
        <w:rPr>
          <w:sz w:val="20"/>
          <w:szCs w:val="20"/>
          <w:color w:val="auto"/>
        </w:rPr>
      </w:pPr>
    </w:p>
    <w:p>
      <w:pPr>
        <w:jc w:val="both"/>
        <w:spacing w:after="0" w:line="247" w:lineRule="auto"/>
        <w:rPr>
          <w:sz w:val="20"/>
          <w:szCs w:val="20"/>
          <w:color w:val="auto"/>
        </w:rPr>
      </w:pPr>
      <w:r>
        <w:rPr>
          <w:rFonts w:ascii="Arial" w:cs="Arial" w:eastAsia="Arial" w:hAnsi="Arial"/>
          <w:sz w:val="22"/>
          <w:szCs w:val="22"/>
          <w:color w:val="auto"/>
        </w:rPr>
        <w:t>Participant understands and agrees that, pursuant to local exchange control requirements, Participant will be required to immediately repatriate any cash proceeds from the sale of Shares and the receipt of any dividends to China. Participant further understands that, under applicable laws, such repatriation of the proceeds will be effected through a special exchange control account established by the Company, the Employer or any other Parent or Subsidiary, and Participant hereby consents and agrees that the proceeds from the sale of Shares and the receipt of any dividends will be transferred to such special account prior to being delivered to Participant.</w:t>
      </w:r>
    </w:p>
    <w:p>
      <w:pPr>
        <w:spacing w:after="0" w:line="220" w:lineRule="exact"/>
        <w:rPr>
          <w:sz w:val="20"/>
          <w:szCs w:val="20"/>
          <w:color w:val="auto"/>
        </w:rPr>
      </w:pPr>
    </w:p>
    <w:p>
      <w:pPr>
        <w:jc w:val="both"/>
        <w:spacing w:after="0" w:line="302" w:lineRule="auto"/>
        <w:rPr>
          <w:sz w:val="20"/>
          <w:szCs w:val="20"/>
          <w:color w:val="auto"/>
        </w:rPr>
      </w:pPr>
      <w:r>
        <w:rPr>
          <w:rFonts w:ascii="Arial" w:cs="Arial" w:eastAsia="Arial" w:hAnsi="Arial"/>
          <w:sz w:val="19"/>
          <w:szCs w:val="19"/>
          <w:color w:val="auto"/>
        </w:rPr>
        <w:t>Participant also understands that the Company will deliver the proceeds to Participant as soon as possible, but there may be delays in distributing the funds to Participant due to exchange control requirements in China. Proceeds may be paid to Participant in U.S. dollars or local currency, at the Company’s discretion. If proceeds are paid in U.S. dollars, Participant will be required to set up a U.S. dollar bank account in China so that the proceeds may be deposited into this account.</w:t>
      </w:r>
    </w:p>
    <w:p>
      <w:pPr>
        <w:spacing w:after="0" w:line="142"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Participant further agrees to comply with any other requirements that may be imposed by the Company in the future in order to facilitate compliance with exchange control requirements in China.</w:t>
      </w:r>
    </w:p>
    <w:p>
      <w:pPr>
        <w:spacing w:after="0" w:line="17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67" w:lineRule="auto"/>
        <w:rPr>
          <w:sz w:val="20"/>
          <w:szCs w:val="20"/>
          <w:color w:val="auto"/>
        </w:rPr>
      </w:pPr>
      <w:r>
        <w:rPr>
          <w:rFonts w:ascii="Arial" w:cs="Arial" w:eastAsia="Arial" w:hAnsi="Arial"/>
          <w:sz w:val="21"/>
          <w:szCs w:val="21"/>
          <w:b w:val="1"/>
          <w:bCs w:val="1"/>
          <w:color w:val="auto"/>
        </w:rPr>
        <w:t xml:space="preserve">Exchange Control Information. </w:t>
      </w:r>
      <w:r>
        <w:rPr>
          <w:rFonts w:ascii="Arial" w:cs="Arial" w:eastAsia="Arial" w:hAnsi="Arial"/>
          <w:sz w:val="21"/>
          <w:szCs w:val="21"/>
          <w:color w:val="auto"/>
        </w:rPr>
        <w:t>Participant may be required to report to SAFE all details of his or her foreign financial assets</w:t>
      </w:r>
      <w:r>
        <w:rPr>
          <w:rFonts w:ascii="Arial" w:cs="Arial" w:eastAsia="Arial" w:hAnsi="Arial"/>
          <w:sz w:val="21"/>
          <w:szCs w:val="21"/>
          <w:b w:val="1"/>
          <w:bCs w:val="1"/>
          <w:color w:val="auto"/>
        </w:rPr>
        <w:t xml:space="preserve"> </w:t>
      </w:r>
      <w:r>
        <w:rPr>
          <w:rFonts w:ascii="Arial" w:cs="Arial" w:eastAsia="Arial" w:hAnsi="Arial"/>
          <w:sz w:val="21"/>
          <w:szCs w:val="21"/>
          <w:color w:val="auto"/>
        </w:rPr>
        <w:t>and liabilities, as well as details of any economic transactions conducted with non-PRC residents, either directly or through financial institutions. Shares acquired under the Plan and Plan-related transactions may be subject to reporting under these rules. Participant should consult with his or her personal legal advisor in this regard.</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DENMARK</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jc w:val="both"/>
        <w:spacing w:after="0" w:line="315" w:lineRule="auto"/>
        <w:rPr>
          <w:sz w:val="20"/>
          <w:szCs w:val="20"/>
          <w:color w:val="auto"/>
        </w:rPr>
      </w:pPr>
      <w:r>
        <w:rPr>
          <w:rFonts w:ascii="Arial" w:cs="Arial" w:eastAsia="Arial" w:hAnsi="Arial"/>
          <w:sz w:val="19"/>
          <w:szCs w:val="19"/>
          <w:b w:val="1"/>
          <w:bCs w:val="1"/>
          <w:color w:val="auto"/>
        </w:rPr>
        <w:t xml:space="preserve">Danish Stock Option Act. </w:t>
      </w:r>
      <w:r>
        <w:rPr>
          <w:rFonts w:ascii="Arial" w:cs="Arial" w:eastAsia="Arial" w:hAnsi="Arial"/>
          <w:sz w:val="19"/>
          <w:szCs w:val="19"/>
          <w:color w:val="auto"/>
        </w:rPr>
        <w:t>By accepting the Stock Units, Participant acknowledges that he or she has received an Employer</w:t>
      </w:r>
      <w:r>
        <w:rPr>
          <w:rFonts w:ascii="Arial" w:cs="Arial" w:eastAsia="Arial" w:hAnsi="Arial"/>
          <w:sz w:val="19"/>
          <w:szCs w:val="19"/>
          <w:b w:val="1"/>
          <w:bCs w:val="1"/>
          <w:color w:val="auto"/>
        </w:rPr>
        <w:t xml:space="preserve"> </w:t>
      </w:r>
      <w:r>
        <w:rPr>
          <w:rFonts w:ascii="Arial" w:cs="Arial" w:eastAsia="Arial" w:hAnsi="Arial"/>
          <w:sz w:val="19"/>
          <w:szCs w:val="19"/>
          <w:color w:val="auto"/>
        </w:rPr>
        <w:t>Statement translated into Danish, which is being provided to comply with the Danish Stock Option Act (the “</w:t>
      </w:r>
      <w:r>
        <w:rPr>
          <w:rFonts w:ascii="Arial" w:cs="Arial" w:eastAsia="Arial" w:hAnsi="Arial"/>
          <w:sz w:val="19"/>
          <w:szCs w:val="19"/>
          <w:b w:val="1"/>
          <w:bCs w:val="1"/>
          <w:i w:val="1"/>
          <w:iCs w:val="1"/>
          <w:color w:val="auto"/>
        </w:rPr>
        <w:t>Act</w:t>
      </w:r>
      <w:r>
        <w:rPr>
          <w:rFonts w:ascii="Arial" w:cs="Arial" w:eastAsia="Arial" w:hAnsi="Arial"/>
          <w:sz w:val="19"/>
          <w:szCs w:val="19"/>
          <w:color w:val="auto"/>
        </w:rPr>
        <w:t>”). The Act applies only to “employees” as that term is defined in Section 2 of the Act. If Participant is a member of the registered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16</w:t>
      </w:r>
    </w:p>
    <w:p>
      <w:pPr>
        <w:sectPr>
          <w:pgSz w:w="11900" w:h="16838" w:orient="portrait"/>
          <w:cols w:equalWidth="0" w:num="1">
            <w:col w:w="11240"/>
          </w:cols>
          <w:pgMar w:left="320" w:top="1440" w:right="339" w:bottom="1440" w:gutter="0" w:footer="0" w:header="0"/>
        </w:sectPr>
      </w:pPr>
    </w:p>
    <w:bookmarkStart w:id="87" w:name="page88"/>
    <w:bookmarkEnd w:id="87"/>
    <w:p>
      <w:pPr>
        <w:jc w:val="both"/>
        <w:spacing w:after="0" w:line="263" w:lineRule="auto"/>
        <w:rPr>
          <w:sz w:val="20"/>
          <w:szCs w:val="20"/>
          <w:color w:val="auto"/>
        </w:rPr>
      </w:pPr>
      <w:r>
        <w:rPr>
          <w:rFonts w:ascii="Arial" w:cs="Arial" w:eastAsia="Arial" w:hAnsi="Arial"/>
          <w:sz w:val="22"/>
          <w:szCs w:val="22"/>
          <w:color w:val="auto"/>
        </w:rPr>
        <w:t>management of a Parent or Subsidiary in Denmark or otherwise does not satisfy the definition of employee, Participant is not subject to the Act and the Employer Statement will not apply to the Participant.</w:t>
      </w:r>
    </w:p>
    <w:p>
      <w:pPr>
        <w:spacing w:after="0" w:line="1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Nature of Grant. </w:t>
      </w:r>
      <w:r>
        <w:rPr>
          <w:rFonts w:ascii="Arial" w:cs="Arial" w:eastAsia="Arial" w:hAnsi="Arial"/>
          <w:sz w:val="22"/>
          <w:szCs w:val="22"/>
          <w:color w:val="auto"/>
        </w:rPr>
        <w:t>The following provision supplements Section 9 of the Stock Unit Agreement:</w:t>
      </w:r>
    </w:p>
    <w:p>
      <w:pPr>
        <w:spacing w:after="0" w:line="253"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By accepting the Stock Units, Participant acknowledges, understands and agrees that it relates to future services to be performed and is not a bonus or compensation for past services.</w:t>
      </w:r>
    </w:p>
    <w:p>
      <w:pPr>
        <w:spacing w:after="0" w:line="202"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ind w:right="20"/>
        <w:spacing w:after="0" w:line="293" w:lineRule="auto"/>
        <w:rPr>
          <w:sz w:val="20"/>
          <w:szCs w:val="20"/>
          <w:color w:val="auto"/>
        </w:rPr>
      </w:pPr>
      <w:r>
        <w:rPr>
          <w:rFonts w:ascii="Arial" w:cs="Arial" w:eastAsia="Arial" w:hAnsi="Arial"/>
          <w:sz w:val="21"/>
          <w:szCs w:val="21"/>
          <w:b w:val="1"/>
          <w:bCs w:val="1"/>
          <w:color w:val="auto"/>
        </w:rPr>
        <w:t>Foreign Asset/Account Reporting Information</w:t>
      </w:r>
      <w:r>
        <w:rPr>
          <w:rFonts w:ascii="Arial" w:cs="Arial" w:eastAsia="Arial" w:hAnsi="Arial"/>
          <w:sz w:val="21"/>
          <w:szCs w:val="21"/>
          <w:color w:val="auto"/>
        </w:rPr>
        <w:t>. Foreign bank and brokerage accounts and deposits and Shares held in such</w:t>
      </w:r>
      <w:r>
        <w:rPr>
          <w:rFonts w:ascii="Arial" w:cs="Arial" w:eastAsia="Arial" w:hAnsi="Arial"/>
          <w:sz w:val="21"/>
          <w:szCs w:val="21"/>
          <w:b w:val="1"/>
          <w:bCs w:val="1"/>
          <w:color w:val="auto"/>
        </w:rPr>
        <w:t xml:space="preserve"> </w:t>
      </w:r>
      <w:r>
        <w:rPr>
          <w:rFonts w:ascii="Arial" w:cs="Arial" w:eastAsia="Arial" w:hAnsi="Arial"/>
          <w:sz w:val="21"/>
          <w:szCs w:val="21"/>
          <w:color w:val="auto"/>
        </w:rPr>
        <w:t>accounts must be reported on Participant’s annual tax return under the section on foreign affairs and income.</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FINLAND</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color w:val="auto"/>
        </w:rPr>
        <w:t>There are no country-specific provisions.</w:t>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FRANCE</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14" w:lineRule="exact"/>
        <w:rPr>
          <w:sz w:val="20"/>
          <w:szCs w:val="20"/>
          <w:color w:val="auto"/>
        </w:rPr>
      </w:pPr>
    </w:p>
    <w:p>
      <w:pPr>
        <w:jc w:val="both"/>
        <w:spacing w:after="0" w:line="274" w:lineRule="auto"/>
        <w:rPr>
          <w:sz w:val="20"/>
          <w:szCs w:val="20"/>
          <w:color w:val="auto"/>
        </w:rPr>
      </w:pPr>
      <w:r>
        <w:rPr>
          <w:rFonts w:ascii="Arial" w:cs="Arial" w:eastAsia="Arial" w:hAnsi="Arial"/>
          <w:sz w:val="21"/>
          <w:szCs w:val="21"/>
          <w:b w:val="1"/>
          <w:bCs w:val="1"/>
          <w:color w:val="auto"/>
        </w:rPr>
        <w:t xml:space="preserve">Language Consent. </w:t>
      </w:r>
      <w:r>
        <w:rPr>
          <w:rFonts w:ascii="Arial" w:cs="Arial" w:eastAsia="Arial" w:hAnsi="Arial"/>
          <w:sz w:val="21"/>
          <w:szCs w:val="21"/>
          <w:color w:val="auto"/>
        </w:rPr>
        <w:t>By accepting the Agreement providing for the terms and conditions of Participant’s grant, Participants</w:t>
      </w:r>
      <w:r>
        <w:rPr>
          <w:rFonts w:ascii="Arial" w:cs="Arial" w:eastAsia="Arial" w:hAnsi="Arial"/>
          <w:sz w:val="21"/>
          <w:szCs w:val="21"/>
          <w:b w:val="1"/>
          <w:bCs w:val="1"/>
          <w:color w:val="auto"/>
        </w:rPr>
        <w:t xml:space="preserve"> </w:t>
      </w:r>
      <w:r>
        <w:rPr>
          <w:rFonts w:ascii="Arial" w:cs="Arial" w:eastAsia="Arial" w:hAnsi="Arial"/>
          <w:sz w:val="21"/>
          <w:szCs w:val="21"/>
          <w:color w:val="auto"/>
        </w:rPr>
        <w:t>confirms having read and understood the documents relating to this grant (the Plan and the Agreement) which were provided in English language. Participant accepts the terms of those documents accordingly.</w:t>
      </w:r>
    </w:p>
    <w:p>
      <w:pPr>
        <w:spacing w:after="0" w:line="164" w:lineRule="exact"/>
        <w:rPr>
          <w:sz w:val="20"/>
          <w:szCs w:val="20"/>
          <w:color w:val="auto"/>
        </w:rPr>
      </w:pPr>
    </w:p>
    <w:p>
      <w:pPr>
        <w:jc w:val="both"/>
        <w:spacing w:after="0" w:line="253" w:lineRule="auto"/>
        <w:rPr>
          <w:sz w:val="20"/>
          <w:szCs w:val="20"/>
          <w:color w:val="auto"/>
        </w:rPr>
      </w:pPr>
      <w:r>
        <w:rPr>
          <w:rFonts w:ascii="Arial" w:cs="Arial" w:eastAsia="Arial" w:hAnsi="Arial"/>
          <w:sz w:val="22"/>
          <w:szCs w:val="22"/>
          <w:i w:val="1"/>
          <w:iCs w:val="1"/>
          <w:color w:val="auto"/>
        </w:rPr>
        <w:t>En acceptant le Contrat d’Attribution décrivant les termes et conditions de l’attribution, le participant confirme ainsi avoir lu et compris les documents relatifs à cette attribution (le Plan et le Contrat d’Attribution) qui ont été communiqués en langue anglaise. Le participant accepte les termes en connaissance de cause.</w:t>
      </w:r>
    </w:p>
    <w:p>
      <w:pPr>
        <w:spacing w:after="0" w:line="185"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 xml:space="preserve">Tax Information. </w:t>
      </w:r>
      <w:r>
        <w:rPr>
          <w:rFonts w:ascii="Arial" w:cs="Arial" w:eastAsia="Arial" w:hAnsi="Arial"/>
          <w:sz w:val="22"/>
          <w:szCs w:val="22"/>
          <w:color w:val="auto"/>
        </w:rPr>
        <w:t>The Stock Units are not intended to qualify for special tax and social security treatment applicable to restricted</w:t>
      </w:r>
      <w:r>
        <w:rPr>
          <w:rFonts w:ascii="Arial" w:cs="Arial" w:eastAsia="Arial" w:hAnsi="Arial"/>
          <w:sz w:val="22"/>
          <w:szCs w:val="22"/>
          <w:b w:val="1"/>
          <w:bCs w:val="1"/>
          <w:color w:val="auto"/>
        </w:rPr>
        <w:t xml:space="preserve"> </w:t>
      </w:r>
      <w:r>
        <w:rPr>
          <w:rFonts w:ascii="Arial" w:cs="Arial" w:eastAsia="Arial" w:hAnsi="Arial"/>
          <w:sz w:val="22"/>
          <w:szCs w:val="22"/>
          <w:color w:val="auto"/>
        </w:rPr>
        <w:t>stock units granted under Section L.225-197-1 to L.225-197-5 and Sections L. 22-10-59 to L. 22-10-60 of the French Commercial Code, as amended.</w:t>
      </w:r>
    </w:p>
    <w:p>
      <w:pPr>
        <w:spacing w:after="0" w:line="176"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French residents must declare all foreign accounts, whether open, current, or</w:t>
      </w:r>
      <w:r>
        <w:rPr>
          <w:rFonts w:ascii="Arial" w:cs="Arial" w:eastAsia="Arial" w:hAnsi="Arial"/>
          <w:sz w:val="22"/>
          <w:szCs w:val="22"/>
          <w:b w:val="1"/>
          <w:bCs w:val="1"/>
          <w:color w:val="auto"/>
        </w:rPr>
        <w:t xml:space="preserve"> </w:t>
      </w:r>
      <w:r>
        <w:rPr>
          <w:rFonts w:ascii="Arial" w:cs="Arial" w:eastAsia="Arial" w:hAnsi="Arial"/>
          <w:sz w:val="22"/>
          <w:szCs w:val="22"/>
          <w:color w:val="auto"/>
        </w:rPr>
        <w:t>closed, in their income tax returns. Participant should consult with a personal tax advisor to ensure compliance with applicable reporting obligations.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17</w:t>
      </w:r>
    </w:p>
    <w:p>
      <w:pPr>
        <w:sectPr>
          <w:pgSz w:w="11900" w:h="16838" w:orient="portrait"/>
          <w:cols w:equalWidth="0" w:num="1">
            <w:col w:w="11240"/>
          </w:cols>
          <w:pgMar w:left="320" w:top="1428" w:right="339" w:bottom="1440" w:gutter="0" w:footer="0" w:header="0"/>
        </w:sectPr>
      </w:pPr>
    </w:p>
    <w:bookmarkStart w:id="88" w:name="page89"/>
    <w:bookmarkEnd w:id="88"/>
    <w:p>
      <w:pPr>
        <w:spacing w:after="0" w:line="22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GERMANY</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2.</w:t>
      </w:r>
    </w:p>
    <w:p>
      <w:pPr>
        <w:spacing w:after="0" w:line="4" w:lineRule="exact"/>
        <w:rPr>
          <w:sz w:val="20"/>
          <w:szCs w:val="20"/>
          <w:color w:val="auto"/>
        </w:rPr>
      </w:pPr>
    </w:p>
    <w:p>
      <w:pPr>
        <w:jc w:val="both"/>
        <w:spacing w:after="0" w:line="244" w:lineRule="auto"/>
        <w:rPr>
          <w:sz w:val="20"/>
          <w:szCs w:val="20"/>
          <w:color w:val="auto"/>
        </w:rPr>
      </w:pPr>
      <w:r>
        <w:rPr>
          <w:rFonts w:ascii="Arial" w:cs="Arial" w:eastAsia="Arial" w:hAnsi="Arial"/>
          <w:sz w:val="22"/>
          <w:szCs w:val="22"/>
          <w:b w:val="1"/>
          <w:bCs w:val="1"/>
          <w:color w:val="auto"/>
        </w:rPr>
        <w:t>Exchange Control Information</w:t>
      </w:r>
      <w:r>
        <w:rPr>
          <w:rFonts w:ascii="Arial" w:cs="Arial" w:eastAsia="Arial" w:hAnsi="Arial"/>
          <w:sz w:val="22"/>
          <w:szCs w:val="22"/>
          <w:color w:val="auto"/>
        </w:rPr>
        <w:t>. Cross-border payments in excess of €12,500 must be reported monthly to the German Federal</w:t>
      </w:r>
      <w:r>
        <w:rPr>
          <w:rFonts w:ascii="Arial" w:cs="Arial" w:eastAsia="Arial" w:hAnsi="Arial"/>
          <w:sz w:val="22"/>
          <w:szCs w:val="22"/>
          <w:b w:val="1"/>
          <w:bCs w:val="1"/>
          <w:color w:val="auto"/>
        </w:rPr>
        <w:t xml:space="preserve"> </w:t>
      </w:r>
      <w:r>
        <w:rPr>
          <w:rFonts w:ascii="Arial" w:cs="Arial" w:eastAsia="Arial" w:hAnsi="Arial"/>
          <w:sz w:val="22"/>
          <w:szCs w:val="22"/>
          <w:color w:val="auto"/>
        </w:rPr>
        <w:t>Bank (</w:t>
      </w:r>
      <w:r>
        <w:rPr>
          <w:rFonts w:ascii="Arial" w:cs="Arial" w:eastAsia="Arial" w:hAnsi="Arial"/>
          <w:sz w:val="22"/>
          <w:szCs w:val="22"/>
          <w:i w:val="1"/>
          <w:iCs w:val="1"/>
          <w:color w:val="auto"/>
        </w:rPr>
        <w:t>Bundesbank</w:t>
      </w:r>
      <w:r>
        <w:rPr>
          <w:rFonts w:ascii="Arial" w:cs="Arial" w:eastAsia="Arial" w:hAnsi="Arial"/>
          <w:sz w:val="22"/>
          <w:szCs w:val="22"/>
          <w:color w:val="auto"/>
        </w:rPr>
        <w:t>). If Participant makes or receives a payment in excess of this amount, Participant is responsible for electronically reporting to German Federal Bank by the fifth day of the month following the month in which the payment occurs. The form of report (</w:t>
      </w:r>
      <w:r>
        <w:rPr>
          <w:rFonts w:ascii="Arial" w:cs="Arial" w:eastAsia="Arial" w:hAnsi="Arial"/>
          <w:sz w:val="22"/>
          <w:szCs w:val="22"/>
          <w:i w:val="1"/>
          <w:iCs w:val="1"/>
          <w:color w:val="auto"/>
        </w:rPr>
        <w:t>Allgemeine Meldeportal Statistik</w:t>
      </w:r>
      <w:r>
        <w:rPr>
          <w:rFonts w:ascii="Arial" w:cs="Arial" w:eastAsia="Arial" w:hAnsi="Arial"/>
          <w:sz w:val="22"/>
          <w:szCs w:val="22"/>
          <w:color w:val="auto"/>
        </w:rPr>
        <w:t>) can be accessed via German Federal Bank’s website (www.bundesbank.de) and is available in both German and English.</w:t>
      </w:r>
    </w:p>
    <w:p>
      <w:pPr>
        <w:spacing w:after="0" w:line="200" w:lineRule="exact"/>
        <w:rPr>
          <w:sz w:val="20"/>
          <w:szCs w:val="20"/>
          <w:color w:val="auto"/>
        </w:rPr>
      </w:pPr>
    </w:p>
    <w:p>
      <w:pPr>
        <w:spacing w:after="0" w:line="25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HONG KONG</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Settlement of Stock Units. </w:t>
      </w:r>
      <w:r>
        <w:rPr>
          <w:rFonts w:ascii="Arial" w:cs="Arial" w:eastAsia="Arial" w:hAnsi="Arial"/>
          <w:sz w:val="22"/>
          <w:szCs w:val="22"/>
          <w:color w:val="auto"/>
        </w:rPr>
        <w:t>The following provision supplements Section 2 of the Stock Unit Agreement:</w:t>
      </w:r>
    </w:p>
    <w:p>
      <w:pPr>
        <w:spacing w:after="0" w:line="253" w:lineRule="exact"/>
        <w:rPr>
          <w:sz w:val="20"/>
          <w:szCs w:val="20"/>
          <w:color w:val="auto"/>
        </w:rPr>
      </w:pPr>
    </w:p>
    <w:p>
      <w:pPr>
        <w:jc w:val="both"/>
        <w:ind w:right="20"/>
        <w:spacing w:after="0" w:line="263" w:lineRule="auto"/>
        <w:rPr>
          <w:sz w:val="20"/>
          <w:szCs w:val="20"/>
          <w:color w:val="auto"/>
        </w:rPr>
      </w:pPr>
      <w:r>
        <w:rPr>
          <w:rFonts w:ascii="Arial" w:cs="Arial" w:eastAsia="Arial" w:hAnsi="Arial"/>
          <w:sz w:val="22"/>
          <w:szCs w:val="22"/>
          <w:color w:val="auto"/>
        </w:rPr>
        <w:t>Notwithstanding Section 2 of the Stock Unit Agreement and Section 13(c) of the Plan, the Stock Units will be settled in Shares only, not cash.</w:t>
      </w:r>
    </w:p>
    <w:p>
      <w:pPr>
        <w:spacing w:after="0" w:line="196"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Sale of Shares</w:t>
      </w:r>
      <w:r>
        <w:rPr>
          <w:rFonts w:ascii="Arial" w:cs="Arial" w:eastAsia="Arial" w:hAnsi="Arial"/>
          <w:sz w:val="22"/>
          <w:szCs w:val="22"/>
          <w:b w:val="1"/>
          <w:bCs w:val="1"/>
          <w:i w:val="1"/>
          <w:i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Participant hereby agrees that, in the event Stock Units vest and Shares are issued in respect of Stock Units</w:t>
      </w:r>
      <w:r>
        <w:rPr>
          <w:rFonts w:ascii="Arial" w:cs="Arial" w:eastAsia="Arial" w:hAnsi="Arial"/>
          <w:sz w:val="22"/>
          <w:szCs w:val="22"/>
          <w:b w:val="1"/>
          <w:bCs w:val="1"/>
          <w:color w:val="auto"/>
        </w:rPr>
        <w:t xml:space="preserve"> </w:t>
      </w:r>
      <w:r>
        <w:rPr>
          <w:rFonts w:ascii="Arial" w:cs="Arial" w:eastAsia="Arial" w:hAnsi="Arial"/>
          <w:sz w:val="22"/>
          <w:szCs w:val="22"/>
          <w:color w:val="auto"/>
        </w:rPr>
        <w:t>within six months of the date of grant, Participant will not dispose of the Shares or otherwise offer the Shares to the public, prior to the six-month anniversary of the date of grant. Any Shares issued upon settlement of the Stock Units are accepted as a personal investment.</w:t>
      </w:r>
    </w:p>
    <w:p>
      <w:pPr>
        <w:spacing w:after="0" w:line="21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7" w:lineRule="exact"/>
        <w:rPr>
          <w:sz w:val="20"/>
          <w:szCs w:val="20"/>
          <w:color w:val="auto"/>
        </w:rPr>
      </w:pPr>
    </w:p>
    <w:p>
      <w:pPr>
        <w:jc w:val="both"/>
        <w:spacing w:after="0" w:line="259" w:lineRule="auto"/>
        <w:rPr>
          <w:sz w:val="20"/>
          <w:szCs w:val="20"/>
          <w:color w:val="auto"/>
        </w:rPr>
      </w:pPr>
      <w:r>
        <w:rPr>
          <w:rFonts w:ascii="Arial" w:cs="Arial" w:eastAsia="Arial" w:hAnsi="Arial"/>
          <w:sz w:val="21"/>
          <w:szCs w:val="21"/>
          <w:b w:val="1"/>
          <w:bCs w:val="1"/>
          <w:i w:val="1"/>
          <w:iCs w:val="1"/>
          <w:color w:val="auto"/>
        </w:rPr>
        <w:t xml:space="preserve">SECURITIES WARNING. </w:t>
      </w:r>
      <w:r>
        <w:rPr>
          <w:rFonts w:ascii="Arial" w:cs="Arial" w:eastAsia="Arial" w:hAnsi="Arial"/>
          <w:sz w:val="21"/>
          <w:szCs w:val="21"/>
          <w:i w:val="1"/>
          <w:iCs w:val="1"/>
          <w:color w:val="auto"/>
        </w:rPr>
        <w:t>The contents of this document have not been reviewed by any regulatory authority in Hong Kong.</w:t>
      </w:r>
      <w:r>
        <w:rPr>
          <w:rFonts w:ascii="Arial" w:cs="Arial" w:eastAsia="Arial" w:hAnsi="Arial"/>
          <w:sz w:val="21"/>
          <w:szCs w:val="21"/>
          <w:b w:val="1"/>
          <w:bCs w:val="1"/>
          <w:i w:val="1"/>
          <w:iCs w:val="1"/>
          <w:color w:val="auto"/>
        </w:rPr>
        <w:t xml:space="preserve"> </w:t>
      </w:r>
      <w:r>
        <w:rPr>
          <w:rFonts w:ascii="Arial" w:cs="Arial" w:eastAsia="Arial" w:hAnsi="Arial"/>
          <w:sz w:val="21"/>
          <w:szCs w:val="21"/>
          <w:i w:val="1"/>
          <w:iCs w:val="1"/>
          <w:color w:val="auto"/>
        </w:rPr>
        <w:t>Participant is advised to exercise caution in relation to the offer. If Participant is in any doubt about any of the contents of this Agreement, the Plan or any Plan prospectus, Participant should obtain independent professional advice. The Stock Units and any Shares issued thereunder do not constitute a public offering of securities under Hong Kong law and are available only to employees of the Company, a Parent or a Subsidiary. The Agreement, including this Appendix, the Plan and other incidental communication materials have not been prepared in accordance with and are not intended to constitute a “prospectus” for a public offering of securities under the applicable securities legislation in Hong Kong. The Stock Units and any documentation related thereto are intended solely for the personal use of each employee of the Company, a Parent or a Subsidiary and may not be distributed to any other person.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18</w:t>
      </w:r>
    </w:p>
    <w:p>
      <w:pPr>
        <w:sectPr>
          <w:pgSz w:w="11900" w:h="16838" w:orient="portrait"/>
          <w:cols w:equalWidth="0" w:num="1">
            <w:col w:w="11240"/>
          </w:cols>
          <w:pgMar w:left="320" w:top="1440" w:right="339" w:bottom="1440" w:gutter="0" w:footer="0" w:header="0"/>
        </w:sectPr>
      </w:pPr>
    </w:p>
    <w:bookmarkStart w:id="89" w:name="page90"/>
    <w:bookmarkEnd w:id="89"/>
    <w:p>
      <w:pPr>
        <w:spacing w:after="0"/>
        <w:rPr>
          <w:sz w:val="20"/>
          <w:szCs w:val="20"/>
          <w:color w:val="auto"/>
        </w:rPr>
      </w:pPr>
      <w:r>
        <w:rPr>
          <w:rFonts w:ascii="Arial" w:cs="Arial" w:eastAsia="Arial" w:hAnsi="Arial"/>
          <w:sz w:val="22"/>
          <w:szCs w:val="22"/>
          <w:b w:val="1"/>
          <w:bCs w:val="1"/>
          <w:color w:val="auto"/>
        </w:rPr>
        <w:t>INDIA</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95" w:lineRule="auto"/>
        <w:rPr>
          <w:sz w:val="20"/>
          <w:szCs w:val="20"/>
          <w:color w:val="auto"/>
        </w:rPr>
      </w:pPr>
      <w:r>
        <w:rPr>
          <w:rFonts w:ascii="Arial" w:cs="Arial" w:eastAsia="Arial" w:hAnsi="Arial"/>
          <w:sz w:val="19"/>
          <w:szCs w:val="19"/>
          <w:b w:val="1"/>
          <w:bCs w:val="1"/>
          <w:color w:val="auto"/>
        </w:rPr>
        <w:t>Exchange Control Information</w:t>
      </w:r>
      <w:r>
        <w:rPr>
          <w:rFonts w:ascii="Arial" w:cs="Arial" w:eastAsia="Arial" w:hAnsi="Arial"/>
          <w:sz w:val="19"/>
          <w:szCs w:val="19"/>
          <w:color w:val="auto"/>
        </w:rPr>
        <w:t>. Exchange control laws and regulations in India require that any proceeds from the sale of</w:t>
      </w:r>
      <w:r>
        <w:rPr>
          <w:rFonts w:ascii="Arial" w:cs="Arial" w:eastAsia="Arial" w:hAnsi="Arial"/>
          <w:sz w:val="19"/>
          <w:szCs w:val="19"/>
          <w:b w:val="1"/>
          <w:bCs w:val="1"/>
          <w:color w:val="auto"/>
        </w:rPr>
        <w:t xml:space="preserve"> </w:t>
      </w:r>
      <w:r>
        <w:rPr>
          <w:rFonts w:ascii="Arial" w:cs="Arial" w:eastAsia="Arial" w:hAnsi="Arial"/>
          <w:sz w:val="19"/>
          <w:szCs w:val="19"/>
          <w:color w:val="auto"/>
        </w:rPr>
        <w:t>Shares acquired under the Plan and any dividends paid on such Shares be repatriated to India and converted into local currency within such period of time as prescribed under applicable Indian exchange control laws and regulations. Participant must obtain a foreign inward remittance certificate (“FIRC”) from the bank where Participant deposits the foreign currency. Participant should maintain the FIRC as evidence of the repatriation of funds in the event the Reserve Bank of India or the Employer requests proof of repatriation. It is Participant’s responsibility to comply with applicable exchange control laws in India.</w:t>
      </w:r>
    </w:p>
    <w:p>
      <w:pPr>
        <w:spacing w:after="0" w:line="171" w:lineRule="exact"/>
        <w:rPr>
          <w:sz w:val="20"/>
          <w:szCs w:val="20"/>
          <w:color w:val="auto"/>
        </w:rPr>
      </w:pPr>
    </w:p>
    <w:p>
      <w:pPr>
        <w:jc w:val="both"/>
        <w:ind w:right="20"/>
        <w:spacing w:after="0" w:line="315" w:lineRule="auto"/>
        <w:rPr>
          <w:sz w:val="20"/>
          <w:szCs w:val="20"/>
          <w:color w:val="auto"/>
        </w:rPr>
      </w:pPr>
      <w:r>
        <w:rPr>
          <w:rFonts w:ascii="Arial" w:cs="Arial" w:eastAsia="Arial" w:hAnsi="Arial"/>
          <w:sz w:val="19"/>
          <w:szCs w:val="19"/>
          <w:b w:val="1"/>
          <w:bCs w:val="1"/>
          <w:color w:val="auto"/>
        </w:rPr>
        <w:t>Foreign Asset/Account Reporting Information</w:t>
      </w:r>
      <w:r>
        <w:rPr>
          <w:rFonts w:ascii="Arial" w:cs="Arial" w:eastAsia="Arial" w:hAnsi="Arial"/>
          <w:sz w:val="19"/>
          <w:szCs w:val="19"/>
          <w:color w:val="auto"/>
        </w:rPr>
        <w:t>. Foreign bank accounts and any foreign financial assets (including Shares held</w:t>
      </w:r>
      <w:r>
        <w:rPr>
          <w:rFonts w:ascii="Arial" w:cs="Arial" w:eastAsia="Arial" w:hAnsi="Arial"/>
          <w:sz w:val="19"/>
          <w:szCs w:val="19"/>
          <w:b w:val="1"/>
          <w:bCs w:val="1"/>
          <w:color w:val="auto"/>
        </w:rPr>
        <w:t xml:space="preserve"> </w:t>
      </w:r>
      <w:r>
        <w:rPr>
          <w:rFonts w:ascii="Arial" w:cs="Arial" w:eastAsia="Arial" w:hAnsi="Arial"/>
          <w:sz w:val="19"/>
          <w:szCs w:val="19"/>
          <w:color w:val="auto"/>
        </w:rPr>
        <w:t>outside India) must be reported in Participant’s annual Indian personal tax return. Participant is solely responsible for complying with this reporting obligation and should confer with his or her personal tax advisor in this regard.</w:t>
      </w:r>
    </w:p>
    <w:p>
      <w:pPr>
        <w:spacing w:after="0" w:line="39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ISRAEL</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jc w:val="both"/>
        <w:spacing w:after="0" w:line="249" w:lineRule="auto"/>
        <w:rPr>
          <w:sz w:val="20"/>
          <w:szCs w:val="20"/>
          <w:color w:val="auto"/>
        </w:rPr>
      </w:pPr>
      <w:r>
        <w:rPr>
          <w:rFonts w:ascii="Arial" w:cs="Arial" w:eastAsia="Arial" w:hAnsi="Arial"/>
          <w:sz w:val="22"/>
          <w:szCs w:val="22"/>
          <w:b w:val="1"/>
          <w:bCs w:val="1"/>
          <w:color w:val="auto"/>
        </w:rPr>
        <w:t>Plan Appendix for Israeli Employees</w:t>
      </w:r>
      <w:r>
        <w:rPr>
          <w:rFonts w:ascii="Arial" w:cs="Arial" w:eastAsia="Arial" w:hAnsi="Arial"/>
          <w:sz w:val="22"/>
          <w:szCs w:val="22"/>
          <w:i w:val="1"/>
          <w:i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The Stock Unit is granted to Participant pursuant to the rules of the Appendix to the</w:t>
      </w:r>
      <w:r>
        <w:rPr>
          <w:rFonts w:ascii="Arial" w:cs="Arial" w:eastAsia="Arial" w:hAnsi="Arial"/>
          <w:sz w:val="22"/>
          <w:szCs w:val="22"/>
          <w:b w:val="1"/>
          <w:bCs w:val="1"/>
          <w:color w:val="auto"/>
        </w:rPr>
        <w:t xml:space="preserve"> </w:t>
      </w:r>
      <w:r>
        <w:rPr>
          <w:rFonts w:ascii="Arial" w:cs="Arial" w:eastAsia="Arial" w:hAnsi="Arial"/>
          <w:sz w:val="22"/>
          <w:szCs w:val="22"/>
          <w:color w:val="auto"/>
        </w:rPr>
        <w:t>Amended and Restated 1995 Stock Option Plan of Marvell Technology, Inc. in respect of Israeli Employees (the “Israeli Appendix”), and is subject to the terms and conditions as stated in the Israeli Appendix, the Plan, the Notice of Grant and Agreement (including this Appendix). By accepting the Stock Units, Participant acknowledges and agrees to be bound by the terms of the Israeli Appendix.</w:t>
      </w: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ITALY</w:t>
      </w:r>
    </w:p>
    <w:p>
      <w:pPr>
        <w:spacing w:after="0" w:line="361"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106"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Plan Document Acknowledgment</w:t>
      </w:r>
      <w:r>
        <w:rPr>
          <w:rFonts w:ascii="Arial" w:cs="Arial" w:eastAsia="Arial" w:hAnsi="Arial"/>
          <w:sz w:val="22"/>
          <w:szCs w:val="22"/>
          <w:color w:val="auto"/>
        </w:rPr>
        <w:t>. In accepting the Stock Units, Participant acknowledges a copy of the Plan was made</w:t>
      </w:r>
      <w:r>
        <w:rPr>
          <w:rFonts w:ascii="Arial" w:cs="Arial" w:eastAsia="Arial" w:hAnsi="Arial"/>
          <w:sz w:val="22"/>
          <w:szCs w:val="22"/>
          <w:b w:val="1"/>
          <w:bCs w:val="1"/>
          <w:color w:val="auto"/>
        </w:rPr>
        <w:t xml:space="preserve"> </w:t>
      </w:r>
      <w:r>
        <w:rPr>
          <w:rFonts w:ascii="Arial" w:cs="Arial" w:eastAsia="Arial" w:hAnsi="Arial"/>
          <w:sz w:val="22"/>
          <w:szCs w:val="22"/>
          <w:color w:val="auto"/>
        </w:rPr>
        <w:t>available to Participant, and that Participant has reviewed the Plan and the Agreement, including this Appendix, in their entirety and fully understands and accepts all provisions of the Plan, and the Agreement.</w:t>
      </w:r>
    </w:p>
    <w:p>
      <w:pPr>
        <w:spacing w:after="0" w:line="74"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Participant further acknowledges that he or she has read and specifically and expressly approves the following provision in the Stock Unit Agreement: Section 3 (“Vesting Schedule”); Section 5 (“Forfeiture upon Termination of Continuous Service”); Section 7 (“Responsibility for Taxes”); Section 9 (“Nature of Grant”); Section 10 (“Data Privacy Information and Consent”); Section 11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19</w:t>
      </w:r>
    </w:p>
    <w:p>
      <w:pPr>
        <w:sectPr>
          <w:pgSz w:w="11900" w:h="16838" w:orient="portrait"/>
          <w:cols w:equalWidth="0" w:num="1">
            <w:col w:w="11240"/>
          </w:cols>
          <w:pgMar w:left="320" w:top="1422" w:right="339" w:bottom="1440" w:gutter="0" w:footer="0" w:header="0"/>
        </w:sectPr>
      </w:pPr>
    </w:p>
    <w:bookmarkStart w:id="90" w:name="page91"/>
    <w:bookmarkEnd w:id="90"/>
    <w:p>
      <w:pPr>
        <w:spacing w:after="0" w:line="96"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(“Participant Acknowledgments”); Section 22 (“Governing Law and Venue”); Section 23 (“Language”) and Section 28 (“Imposition of Other Requirements”).</w:t>
      </w:r>
    </w:p>
    <w:p>
      <w:pPr>
        <w:spacing w:after="0" w:line="67"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106"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Foreign Asset/Account Reporting Notification</w:t>
      </w:r>
      <w:r>
        <w:rPr>
          <w:rFonts w:ascii="Arial" w:cs="Arial" w:eastAsia="Arial" w:hAnsi="Arial"/>
          <w:sz w:val="19"/>
          <w:szCs w:val="19"/>
          <w:color w:val="auto"/>
        </w:rPr>
        <w:t>. If Participant holds investments abroad or foreign financial assets (</w:t>
      </w:r>
      <w:r>
        <w:rPr>
          <w:rFonts w:ascii="Arial" w:cs="Arial" w:eastAsia="Arial" w:hAnsi="Arial"/>
          <w:sz w:val="19"/>
          <w:szCs w:val="19"/>
          <w:i w:val="1"/>
          <w:iCs w:val="1"/>
          <w:color w:val="auto"/>
        </w:rPr>
        <w:t>e.g.</w:t>
      </w:r>
      <w:r>
        <w:rPr>
          <w:rFonts w:ascii="Arial" w:cs="Arial" w:eastAsia="Arial" w:hAnsi="Arial"/>
          <w:sz w:val="19"/>
          <w:szCs w:val="19"/>
          <w:color w:val="auto"/>
        </w:rPr>
        <w:t>, cash,</w:t>
      </w:r>
      <w:r>
        <w:rPr>
          <w:rFonts w:ascii="Arial" w:cs="Arial" w:eastAsia="Arial" w:hAnsi="Arial"/>
          <w:sz w:val="19"/>
          <w:szCs w:val="19"/>
          <w:b w:val="1"/>
          <w:bCs w:val="1"/>
          <w:color w:val="auto"/>
        </w:rPr>
        <w:t xml:space="preserve"> </w:t>
      </w:r>
      <w:r>
        <w:rPr>
          <w:rFonts w:ascii="Arial" w:cs="Arial" w:eastAsia="Arial" w:hAnsi="Arial"/>
          <w:sz w:val="19"/>
          <w:szCs w:val="19"/>
          <w:color w:val="auto"/>
        </w:rPr>
        <w:t>Shares, Stock Units) that may generate income taxable in Italy, Participant must report them on his or her annual tax return or on a special form if no tax return is due, irrespective of their value. The same reporting duties apply if Participant is a beneficial owner of the investments, even if he or she does not directly hold investments abroad or foreign assets.</w:t>
      </w:r>
    </w:p>
    <w:p>
      <w:pPr>
        <w:spacing w:after="0" w:line="27" w:lineRule="exact"/>
        <w:rPr>
          <w:sz w:val="20"/>
          <w:szCs w:val="20"/>
          <w:color w:val="auto"/>
        </w:rPr>
      </w:pPr>
    </w:p>
    <w:p>
      <w:pPr>
        <w:jc w:val="both"/>
        <w:spacing w:after="0" w:line="298" w:lineRule="auto"/>
        <w:rPr>
          <w:sz w:val="20"/>
          <w:szCs w:val="20"/>
          <w:color w:val="auto"/>
        </w:rPr>
      </w:pPr>
      <w:r>
        <w:rPr>
          <w:rFonts w:ascii="Arial" w:cs="Arial" w:eastAsia="Arial" w:hAnsi="Arial"/>
          <w:sz w:val="19"/>
          <w:szCs w:val="19"/>
          <w:b w:val="1"/>
          <w:bCs w:val="1"/>
          <w:color w:val="auto"/>
        </w:rPr>
        <w:t>Foreign Financial Asset Tax Notification</w:t>
      </w:r>
      <w:r>
        <w:rPr>
          <w:rFonts w:ascii="Arial" w:cs="Arial" w:eastAsia="Arial" w:hAnsi="Arial"/>
          <w:sz w:val="19"/>
          <w:szCs w:val="19"/>
          <w:color w:val="auto"/>
        </w:rPr>
        <w:t>. The value of any Shares (and certain other foreign assets) an Italian resident holds</w:t>
      </w:r>
      <w:r>
        <w:rPr>
          <w:rFonts w:ascii="Arial" w:cs="Arial" w:eastAsia="Arial" w:hAnsi="Arial"/>
          <w:sz w:val="19"/>
          <w:szCs w:val="19"/>
          <w:b w:val="1"/>
          <w:bCs w:val="1"/>
          <w:color w:val="auto"/>
        </w:rPr>
        <w:t xml:space="preserve"> </w:t>
      </w:r>
      <w:r>
        <w:rPr>
          <w:rFonts w:ascii="Arial" w:cs="Arial" w:eastAsia="Arial" w:hAnsi="Arial"/>
          <w:sz w:val="19"/>
          <w:szCs w:val="19"/>
          <w:color w:val="auto"/>
        </w:rPr>
        <w:t>outside Italy may be subject to a foreign financial assets tax. The taxable amount is equal to the fair market value of the Shares on December 31 or on the last day the Shares were held (the tax is levied in proportion to the number of days the Shares were held over the calendar year). The value of financial assets held abroad must be reported in Form RM of the annual tax return. Participant should consult a personal tax advisor for additional information about the foreign financial assets tax.</w:t>
      </w: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JAPAN</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52"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Details of any assets held outside of Japan as of December 31, including</w:t>
      </w:r>
      <w:r>
        <w:rPr>
          <w:rFonts w:ascii="Arial" w:cs="Arial" w:eastAsia="Arial" w:hAnsi="Arial"/>
          <w:sz w:val="22"/>
          <w:szCs w:val="22"/>
          <w:b w:val="1"/>
          <w:bCs w:val="1"/>
          <w:color w:val="auto"/>
        </w:rPr>
        <w:t xml:space="preserve"> </w:t>
      </w:r>
      <w:r>
        <w:rPr>
          <w:rFonts w:ascii="Arial" w:cs="Arial" w:eastAsia="Arial" w:hAnsi="Arial"/>
          <w:sz w:val="22"/>
          <w:szCs w:val="22"/>
          <w:color w:val="auto"/>
        </w:rPr>
        <w:t>Shares, must be reported to the Tax Office, to the extent such assets have a total net fair market value exceeding ¥50,000,000. The report is due by March 15 each year. Participant is responsible for complying with this reporting obligation and should confer with his or her personal tax advisor in this regard.</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KOREA</w:t>
      </w:r>
    </w:p>
    <w:p>
      <w:pPr>
        <w:spacing w:after="0" w:line="22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27" w:lineRule="exact"/>
        <w:rPr>
          <w:sz w:val="20"/>
          <w:szCs w:val="20"/>
          <w:color w:val="auto"/>
        </w:rPr>
      </w:pPr>
    </w:p>
    <w:p>
      <w:pPr>
        <w:jc w:val="both"/>
        <w:spacing w:after="0" w:line="249" w:lineRule="auto"/>
        <w:rPr>
          <w:sz w:val="20"/>
          <w:szCs w:val="20"/>
          <w:color w:val="auto"/>
        </w:rPr>
      </w:pPr>
      <w:r>
        <w:rPr>
          <w:rFonts w:ascii="Arial" w:cs="Arial" w:eastAsia="Arial" w:hAnsi="Arial"/>
          <w:sz w:val="22"/>
          <w:szCs w:val="22"/>
          <w:b w:val="1"/>
          <w:bCs w:val="1"/>
          <w:color w:val="auto"/>
        </w:rPr>
        <w:t xml:space="preserve">Foreign Asset/Account Reporting Information. </w:t>
      </w:r>
      <w:r>
        <w:rPr>
          <w:rFonts w:ascii="Arial" w:cs="Arial" w:eastAsia="Arial" w:hAnsi="Arial"/>
          <w:sz w:val="22"/>
          <w:szCs w:val="22"/>
          <w:color w:val="auto"/>
        </w:rPr>
        <w:t>Korean residents must declare all foreign financial accounts (</w:t>
      </w:r>
      <w:r>
        <w:rPr>
          <w:rFonts w:ascii="Arial" w:cs="Arial" w:eastAsia="Arial" w:hAnsi="Arial"/>
          <w:sz w:val="22"/>
          <w:szCs w:val="22"/>
          <w:i w:val="1"/>
          <w:iCs w:val="1"/>
          <w:color w:val="auto"/>
        </w:rPr>
        <w:t>e.g.</w:t>
      </w:r>
      <w:r>
        <w:rPr>
          <w:rFonts w:ascii="Arial" w:cs="Arial" w:eastAsia="Arial" w:hAnsi="Arial"/>
          <w:sz w:val="22"/>
          <w:szCs w:val="22"/>
          <w:color w:val="auto"/>
        </w:rPr>
        <w:t>, brokerage</w:t>
      </w:r>
      <w:r>
        <w:rPr>
          <w:rFonts w:ascii="Arial" w:cs="Arial" w:eastAsia="Arial" w:hAnsi="Arial"/>
          <w:sz w:val="22"/>
          <w:szCs w:val="22"/>
          <w:b w:val="1"/>
          <w:bCs w:val="1"/>
          <w:color w:val="auto"/>
        </w:rPr>
        <w:t xml:space="preserve"> </w:t>
      </w:r>
      <w:r>
        <w:rPr>
          <w:rFonts w:ascii="Arial" w:cs="Arial" w:eastAsia="Arial" w:hAnsi="Arial"/>
          <w:sz w:val="22"/>
          <w:szCs w:val="22"/>
          <w:color w:val="auto"/>
        </w:rPr>
        <w:t>accounts, bank accounts) to the Korean tax authority and file a report with respect to such accounts if the value of the assets in such accounts exceeds KRW 500 million (or the equivalent amount in a foreign currency) on any month-end date during the calendar year. Participant is responsible for complying with applicable reporting obligations and is advised to speak to his or her personal legal advisor on this matter.</w:t>
      </w: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MALAYSIA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20</w:t>
      </w:r>
    </w:p>
    <w:p>
      <w:pPr>
        <w:sectPr>
          <w:pgSz w:w="11900" w:h="16838" w:orient="portrait"/>
          <w:cols w:equalWidth="0" w:num="1">
            <w:col w:w="11240"/>
          </w:cols>
          <w:pgMar w:left="320" w:top="1440" w:right="339" w:bottom="1440" w:gutter="0" w:footer="0" w:header="0"/>
        </w:sectPr>
      </w:pPr>
    </w:p>
    <w:bookmarkStart w:id="91" w:name="page92"/>
    <w:bookmarkEnd w:id="91"/>
    <w:p>
      <w:pPr>
        <w:spacing w:after="0" w:line="96"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112" w:lineRule="exact"/>
        <w:rPr>
          <w:sz w:val="20"/>
          <w:szCs w:val="20"/>
          <w:color w:val="auto"/>
        </w:rPr>
      </w:pPr>
    </w:p>
    <w:p>
      <w:pPr>
        <w:jc w:val="both"/>
        <w:spacing w:after="0" w:line="248" w:lineRule="auto"/>
        <w:rPr>
          <w:sz w:val="20"/>
          <w:szCs w:val="20"/>
          <w:color w:val="auto"/>
        </w:rPr>
      </w:pPr>
      <w:r>
        <w:rPr>
          <w:rFonts w:ascii="Arial" w:cs="Arial" w:eastAsia="Arial" w:hAnsi="Arial"/>
          <w:sz w:val="22"/>
          <w:szCs w:val="22"/>
          <w:u w:val="single" w:color="auto"/>
          <w:color w:val="auto"/>
        </w:rPr>
        <w:t>Director Notification Obligation</w:t>
      </w:r>
      <w:r>
        <w:rPr>
          <w:rFonts w:ascii="Arial" w:cs="Arial" w:eastAsia="Arial" w:hAnsi="Arial"/>
          <w:sz w:val="22"/>
          <w:szCs w:val="22"/>
          <w:color w:val="auto"/>
        </w:rPr>
        <w:t>. If Participant is director of a Subsidiary in Malaysia, Participant is subject to certain notification requirements under the Malaysian Companies Act. Among these requirements is an obligation to notify such Malaysian Subsidiary in writing when Participant receives or disposes of an interest (</w:t>
      </w:r>
      <w:r>
        <w:rPr>
          <w:rFonts w:ascii="Arial" w:cs="Arial" w:eastAsia="Arial" w:hAnsi="Arial"/>
          <w:sz w:val="22"/>
          <w:szCs w:val="22"/>
          <w:i w:val="1"/>
          <w:iCs w:val="1"/>
          <w:color w:val="auto"/>
        </w:rPr>
        <w:t>e.g.</w:t>
      </w:r>
      <w:r>
        <w:rPr>
          <w:rFonts w:ascii="Arial" w:cs="Arial" w:eastAsia="Arial" w:hAnsi="Arial"/>
          <w:sz w:val="22"/>
          <w:szCs w:val="22"/>
          <w:color w:val="auto"/>
        </w:rPr>
        <w:t>, Stock Units, Shares) in the Company or any related company. Such notifications must be made within fourteen days of receiving or disposing of any interest in the Company or any related company.</w:t>
      </w: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NETHERLANDS</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color w:val="auto"/>
        </w:rPr>
        <w:t>There are no country-specific provisions.</w:t>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POLAND</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64" w:lineRule="auto"/>
        <w:rPr>
          <w:sz w:val="20"/>
          <w:szCs w:val="20"/>
          <w:color w:val="auto"/>
        </w:rPr>
      </w:pPr>
      <w:r>
        <w:rPr>
          <w:rFonts w:ascii="Arial" w:cs="Arial" w:eastAsia="Arial" w:hAnsi="Arial"/>
          <w:sz w:val="21"/>
          <w:szCs w:val="21"/>
          <w:b w:val="1"/>
          <w:bCs w:val="1"/>
          <w:color w:val="auto"/>
        </w:rPr>
        <w:t>Exchange Control Information</w:t>
      </w:r>
      <w:r>
        <w:rPr>
          <w:rFonts w:ascii="Arial" w:cs="Arial" w:eastAsia="Arial" w:hAnsi="Arial"/>
          <w:sz w:val="21"/>
          <w:szCs w:val="21"/>
          <w:color w:val="auto"/>
        </w:rPr>
        <w:t>. Polish residents holding cash and foreign securities (including Shares) in bank or brokerage</w:t>
      </w:r>
      <w:r>
        <w:rPr>
          <w:rFonts w:ascii="Arial" w:cs="Arial" w:eastAsia="Arial" w:hAnsi="Arial"/>
          <w:sz w:val="21"/>
          <w:szCs w:val="21"/>
          <w:b w:val="1"/>
          <w:bCs w:val="1"/>
          <w:color w:val="auto"/>
        </w:rPr>
        <w:t xml:space="preserve"> </w:t>
      </w:r>
      <w:r>
        <w:rPr>
          <w:rFonts w:ascii="Arial" w:cs="Arial" w:eastAsia="Arial" w:hAnsi="Arial"/>
          <w:sz w:val="21"/>
          <w:szCs w:val="21"/>
          <w:color w:val="auto"/>
        </w:rPr>
        <w:t>accounts outside of Poland must report information to the National Bank of Poland on transactions and balances in such accounts if the value of such cash and securities exceeds PLN 7 million. If required, such reports must be filed on special forms available on the website of the National Bank of Poland. Participant should consult with a personal legal advisor to determine whether Participant will be required to submit reports to the National Bank of Poland.</w:t>
      </w:r>
    </w:p>
    <w:p>
      <w:pPr>
        <w:spacing w:after="0" w:line="203"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Further, any transfer of funds in excess of €15,000 (or if such transfer of funds is connected with business activity of an entrepreneur, a lower threshold) into or out of Poland must be effected through a bank account in Poland. All documents connected with any foreign exchange transactions must be retained for a period of five years from the end of the year in which the transaction occurred.</w:t>
      </w:r>
    </w:p>
    <w:p>
      <w:pPr>
        <w:spacing w:after="0" w:line="200" w:lineRule="exact"/>
        <w:rPr>
          <w:sz w:val="20"/>
          <w:szCs w:val="20"/>
          <w:color w:val="auto"/>
        </w:rPr>
      </w:pPr>
    </w:p>
    <w:p>
      <w:pPr>
        <w:spacing w:after="0" w:line="25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ROMANIA</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jc w:val="both"/>
        <w:spacing w:after="0" w:line="315" w:lineRule="auto"/>
        <w:rPr>
          <w:sz w:val="20"/>
          <w:szCs w:val="20"/>
          <w:color w:val="auto"/>
        </w:rPr>
      </w:pPr>
      <w:r>
        <w:rPr>
          <w:rFonts w:ascii="Arial" w:cs="Arial" w:eastAsia="Arial" w:hAnsi="Arial"/>
          <w:sz w:val="19"/>
          <w:szCs w:val="19"/>
          <w:b w:val="1"/>
          <w:bCs w:val="1"/>
          <w:color w:val="auto"/>
        </w:rPr>
        <w:t xml:space="preserve">Language Consent. </w:t>
      </w:r>
      <w:r>
        <w:rPr>
          <w:rFonts w:ascii="Arial" w:cs="Arial" w:eastAsia="Arial" w:hAnsi="Arial"/>
          <w:sz w:val="19"/>
          <w:szCs w:val="19"/>
          <w:color w:val="auto"/>
        </w:rPr>
        <w:t>By accepting the grant of Stock Units, Participant acknowledges that he or she is proficient in reading and</w:t>
      </w:r>
      <w:r>
        <w:rPr>
          <w:rFonts w:ascii="Arial" w:cs="Arial" w:eastAsia="Arial" w:hAnsi="Arial"/>
          <w:sz w:val="19"/>
          <w:szCs w:val="19"/>
          <w:b w:val="1"/>
          <w:bCs w:val="1"/>
          <w:color w:val="auto"/>
        </w:rPr>
        <w:t xml:space="preserve"> </w:t>
      </w:r>
      <w:r>
        <w:rPr>
          <w:rFonts w:ascii="Arial" w:cs="Arial" w:eastAsia="Arial" w:hAnsi="Arial"/>
          <w:sz w:val="19"/>
          <w:szCs w:val="19"/>
          <w:color w:val="auto"/>
        </w:rPr>
        <w:t>understanding English and fully understands the terms of the documents related to the grant (the Notice of Grant, the Agreement and the Plan), which were provided in the English language. Participant accepts the terms of those documents accordingly.</w:t>
      </w:r>
    </w:p>
    <w:p>
      <w:pPr>
        <w:spacing w:after="0" w:line="131" w:lineRule="exact"/>
        <w:rPr>
          <w:sz w:val="20"/>
          <w:szCs w:val="20"/>
          <w:color w:val="auto"/>
        </w:rPr>
      </w:pPr>
    </w:p>
    <w:p>
      <w:pPr>
        <w:jc w:val="both"/>
        <w:spacing w:after="0" w:line="263" w:lineRule="auto"/>
        <w:rPr>
          <w:sz w:val="20"/>
          <w:szCs w:val="20"/>
          <w:color w:val="auto"/>
        </w:rPr>
      </w:pPr>
      <w:r>
        <w:rPr>
          <w:rFonts w:ascii="Arial" w:cs="Arial" w:eastAsia="Arial" w:hAnsi="Arial"/>
          <w:sz w:val="22"/>
          <w:szCs w:val="22"/>
          <w:b w:val="1"/>
          <w:bCs w:val="1"/>
          <w:i w:val="1"/>
          <w:iCs w:val="1"/>
          <w:color w:val="auto"/>
        </w:rPr>
        <w:t xml:space="preserve">Consimtamant cu privire la limba. </w:t>
      </w:r>
      <w:r>
        <w:rPr>
          <w:rFonts w:ascii="Arial" w:cs="Arial" w:eastAsia="Arial" w:hAnsi="Arial"/>
          <w:sz w:val="22"/>
          <w:szCs w:val="22"/>
          <w:i w:val="1"/>
          <w:iCs w:val="1"/>
          <w:color w:val="auto"/>
        </w:rPr>
        <w:t>Prin acceptarea acordarii de RSU-uri, Participantul confirma ca acesta sau aceasta are un</w:t>
      </w:r>
      <w:r>
        <w:rPr>
          <w:rFonts w:ascii="Arial" w:cs="Arial" w:eastAsia="Arial" w:hAnsi="Arial"/>
          <w:sz w:val="22"/>
          <w:szCs w:val="22"/>
          <w:b w:val="1"/>
          <w:bCs w:val="1"/>
          <w:i w:val="1"/>
          <w:iCs w:val="1"/>
          <w:color w:val="auto"/>
        </w:rPr>
        <w:t xml:space="preserve"> </w:t>
      </w:r>
      <w:r>
        <w:rPr>
          <w:rFonts w:ascii="Arial" w:cs="Arial" w:eastAsia="Arial" w:hAnsi="Arial"/>
          <w:sz w:val="22"/>
          <w:szCs w:val="22"/>
          <w:i w:val="1"/>
          <w:iCs w:val="1"/>
          <w:color w:val="auto"/>
        </w:rPr>
        <w:t>nivel adecvat de cunoastere in ce priveste cititirea si</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21</w:t>
      </w:r>
    </w:p>
    <w:p>
      <w:pPr>
        <w:sectPr>
          <w:pgSz w:w="11900" w:h="16838" w:orient="portrait"/>
          <w:cols w:equalWidth="0" w:num="1">
            <w:col w:w="11240"/>
          </w:cols>
          <w:pgMar w:left="320" w:top="1440" w:right="339" w:bottom="1440" w:gutter="0" w:footer="0" w:header="0"/>
        </w:sectPr>
      </w:pPr>
    </w:p>
    <w:bookmarkStart w:id="92" w:name="page93"/>
    <w:bookmarkEnd w:id="92"/>
    <w:p>
      <w:pPr>
        <w:jc w:val="both"/>
        <w:spacing w:after="0" w:line="343" w:lineRule="auto"/>
        <w:rPr>
          <w:sz w:val="20"/>
          <w:szCs w:val="20"/>
          <w:color w:val="auto"/>
        </w:rPr>
      </w:pPr>
      <w:r>
        <w:rPr>
          <w:rFonts w:ascii="Arial" w:cs="Arial" w:eastAsia="Arial" w:hAnsi="Arial"/>
          <w:sz w:val="19"/>
          <w:szCs w:val="19"/>
          <w:i w:val="1"/>
          <w:iCs w:val="1"/>
          <w:color w:val="auto"/>
        </w:rPr>
        <w:t>intelegerea limbii engleze, a citit si confirma ca a inteles pe deplin termenii documentelor referitoare la acordare (Anuntul, Acordul RSU si Planul), care au fost furnizate in limba engleza. Participantul accepta termenii acestor documente in consecinta.</w:t>
      </w:r>
    </w:p>
    <w:p>
      <w:pPr>
        <w:spacing w:after="0" w:line="104"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14"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 xml:space="preserve">Exchange Control Information. </w:t>
      </w:r>
      <w:r>
        <w:rPr>
          <w:rFonts w:ascii="Arial" w:cs="Arial" w:eastAsia="Arial" w:hAnsi="Arial"/>
          <w:sz w:val="19"/>
          <w:szCs w:val="19"/>
          <w:color w:val="auto"/>
        </w:rPr>
        <w:t>If Participant deposits the proceeds from the sale of Shares acquired under the Plan into a bank</w:t>
      </w:r>
      <w:r>
        <w:rPr>
          <w:rFonts w:ascii="Arial" w:cs="Arial" w:eastAsia="Arial" w:hAnsi="Arial"/>
          <w:sz w:val="19"/>
          <w:szCs w:val="19"/>
          <w:b w:val="1"/>
          <w:bCs w:val="1"/>
          <w:color w:val="auto"/>
        </w:rPr>
        <w:t xml:space="preserve"> </w:t>
      </w:r>
      <w:r>
        <w:rPr>
          <w:rFonts w:ascii="Arial" w:cs="Arial" w:eastAsia="Arial" w:hAnsi="Arial"/>
          <w:sz w:val="19"/>
          <w:szCs w:val="19"/>
          <w:color w:val="auto"/>
        </w:rPr>
        <w:t>account in Romania, Participant may be required to provide the Romanian bank with appropriate documentation explaining the source of the funds. Participant understands that Participant should consult with Participant’s personal legal advisor to determine whether Participant will be required to submit such documentation to the Romanian bank.</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SINGAPORE</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jc w:val="both"/>
        <w:spacing w:after="0" w:line="294" w:lineRule="auto"/>
        <w:rPr>
          <w:sz w:val="20"/>
          <w:szCs w:val="20"/>
          <w:color w:val="auto"/>
        </w:rPr>
      </w:pPr>
      <w:r>
        <w:rPr>
          <w:rFonts w:ascii="Arial" w:cs="Arial" w:eastAsia="Arial" w:hAnsi="Arial"/>
          <w:sz w:val="19"/>
          <w:szCs w:val="19"/>
          <w:b w:val="1"/>
          <w:bCs w:val="1"/>
          <w:color w:val="auto"/>
        </w:rPr>
        <w:t>Sale of Shares</w:t>
      </w:r>
      <w:r>
        <w:rPr>
          <w:rFonts w:ascii="Arial" w:cs="Arial" w:eastAsia="Arial" w:hAnsi="Arial"/>
          <w:sz w:val="19"/>
          <w:szCs w:val="19"/>
          <w:b w:val="1"/>
          <w:bCs w:val="1"/>
          <w:i w:val="1"/>
          <w:iCs w:val="1"/>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Participant hereby agrees that any Shares acquired will not be offered for sale in Singapore prior to the six-month</w:t>
      </w:r>
      <w:r>
        <w:rPr>
          <w:rFonts w:ascii="Arial" w:cs="Arial" w:eastAsia="Arial" w:hAnsi="Arial"/>
          <w:sz w:val="19"/>
          <w:szCs w:val="19"/>
          <w:b w:val="1"/>
          <w:bCs w:val="1"/>
          <w:color w:val="auto"/>
        </w:rPr>
        <w:t xml:space="preserve"> </w:t>
      </w:r>
      <w:r>
        <w:rPr>
          <w:rFonts w:ascii="Arial" w:cs="Arial" w:eastAsia="Arial" w:hAnsi="Arial"/>
          <w:sz w:val="19"/>
          <w:szCs w:val="19"/>
          <w:color w:val="auto"/>
        </w:rPr>
        <w:t>anniversary of the date of grant, unless such sale or offer is made pursuant to exemptions under Part XIII Division 1, Subdivision</w:t>
      </w:r>
    </w:p>
    <w:p>
      <w:pPr>
        <w:spacing w:after="0" w:line="2" w:lineRule="exact"/>
        <w:rPr>
          <w:sz w:val="20"/>
          <w:szCs w:val="20"/>
          <w:color w:val="auto"/>
        </w:rPr>
      </w:pPr>
    </w:p>
    <w:p>
      <w:pPr>
        <w:ind w:firstLine="8"/>
        <w:spacing w:after="0" w:line="246" w:lineRule="auto"/>
        <w:tabs>
          <w:tab w:leader="none" w:pos="312" w:val="left"/>
        </w:tabs>
        <w:numPr>
          <w:ilvl w:val="0"/>
          <w:numId w:val="39"/>
        </w:numPr>
        <w:rPr>
          <w:rFonts w:ascii="Arial" w:cs="Arial" w:eastAsia="Arial" w:hAnsi="Arial"/>
          <w:sz w:val="22"/>
          <w:szCs w:val="22"/>
          <w:color w:val="auto"/>
        </w:rPr>
      </w:pPr>
      <w:r>
        <w:rPr>
          <w:rFonts w:ascii="Arial" w:cs="Arial" w:eastAsia="Arial" w:hAnsi="Arial"/>
          <w:sz w:val="22"/>
          <w:szCs w:val="22"/>
          <w:color w:val="auto"/>
        </w:rPr>
        <w:t>(other than section 280) of the Securities and Futures Act (Chapter 289, 2006 Ed.) (“SFA”) or pursuant to, and in accordance with the conditions of, any other applicable provisions of the SFA.</w:t>
      </w:r>
    </w:p>
    <w:p>
      <w:pPr>
        <w:spacing w:after="0" w:line="219"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Securities Law Information</w:t>
      </w:r>
      <w:r>
        <w:rPr>
          <w:rFonts w:ascii="Arial" w:cs="Arial" w:eastAsia="Arial" w:hAnsi="Arial"/>
          <w:sz w:val="19"/>
          <w:szCs w:val="19"/>
          <w:b w:val="1"/>
          <w:bCs w:val="1"/>
          <w:i w:val="1"/>
          <w:iCs w:val="1"/>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The Award of Stock Units is being made pursuant to the “Qualifying Persons” exemption under</w:t>
      </w:r>
      <w:r>
        <w:rPr>
          <w:rFonts w:ascii="Arial" w:cs="Arial" w:eastAsia="Arial" w:hAnsi="Arial"/>
          <w:sz w:val="19"/>
          <w:szCs w:val="19"/>
          <w:b w:val="1"/>
          <w:bCs w:val="1"/>
          <w:color w:val="auto"/>
        </w:rPr>
        <w:t xml:space="preserve"> </w:t>
      </w:r>
      <w:r>
        <w:rPr>
          <w:rFonts w:ascii="Arial" w:cs="Arial" w:eastAsia="Arial" w:hAnsi="Arial"/>
          <w:sz w:val="19"/>
          <w:szCs w:val="19"/>
          <w:color w:val="auto"/>
        </w:rPr>
        <w:t>section 273(1)(f) of the SFA, on which basis it is exempt from the prospectus and registration requirements under the SFA and is not made to Participant with a view to the Stock Units or Shares being subsequently offered for sale to another party. The Plan has not been and will not be lodged or registered as a prospectus with the Monetary Authority of Singapore.</w:t>
      </w:r>
    </w:p>
    <w:p>
      <w:pPr>
        <w:spacing w:after="0" w:line="135" w:lineRule="exact"/>
        <w:rPr>
          <w:sz w:val="20"/>
          <w:szCs w:val="20"/>
          <w:color w:val="auto"/>
        </w:rPr>
      </w:pPr>
    </w:p>
    <w:p>
      <w:pPr>
        <w:jc w:val="both"/>
        <w:spacing w:after="0" w:line="293" w:lineRule="auto"/>
        <w:rPr>
          <w:sz w:val="20"/>
          <w:szCs w:val="20"/>
          <w:color w:val="auto"/>
        </w:rPr>
      </w:pPr>
      <w:r>
        <w:rPr>
          <w:rFonts w:ascii="Arial" w:cs="Arial" w:eastAsia="Arial" w:hAnsi="Arial"/>
          <w:sz w:val="19"/>
          <w:szCs w:val="19"/>
          <w:b w:val="1"/>
          <w:bCs w:val="1"/>
          <w:color w:val="auto"/>
        </w:rPr>
        <w:t xml:space="preserve">Director Notification Obligation. </w:t>
      </w:r>
      <w:r>
        <w:rPr>
          <w:rFonts w:ascii="Arial" w:cs="Arial" w:eastAsia="Arial" w:hAnsi="Arial"/>
          <w:sz w:val="19"/>
          <w:szCs w:val="19"/>
          <w:color w:val="auto"/>
        </w:rPr>
        <w:t>Directors (including alternate, substitute, associate and shadow directors) of the Company or a</w:t>
      </w:r>
      <w:r>
        <w:rPr>
          <w:rFonts w:ascii="Arial" w:cs="Arial" w:eastAsia="Arial" w:hAnsi="Arial"/>
          <w:sz w:val="19"/>
          <w:szCs w:val="19"/>
          <w:b w:val="1"/>
          <w:bCs w:val="1"/>
          <w:color w:val="auto"/>
        </w:rPr>
        <w:t xml:space="preserve"> </w:t>
      </w:r>
      <w:r>
        <w:rPr>
          <w:rFonts w:ascii="Arial" w:cs="Arial" w:eastAsia="Arial" w:hAnsi="Arial"/>
          <w:sz w:val="19"/>
          <w:szCs w:val="19"/>
          <w:color w:val="auto"/>
        </w:rPr>
        <w:t>Singapore Parent or Subsidiary are subject to certain notification requirements under the Singapore Companies Act. Among these requirements is an obligation to notify the Company or the Singapore Parent or Subsidiary in writing within two business days of any of the following events: (i) the acquisition or disposal of an interest (e.g., an Award, Shares) in the Company or any related companies; (ii) any change in previously-disclosed interests (e.g., sale of Shares), of (iii) becoming a director, an associate director or a shadow director of a Parent or Subsidiary in Singapore, if the individual holds such an interest at that time. These notification requirements apply regardless of whether the director is a resident of or employed in Singapore.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22</w:t>
      </w:r>
    </w:p>
    <w:p>
      <w:pPr>
        <w:sectPr>
          <w:pgSz w:w="11900" w:h="16838" w:orient="portrait"/>
          <w:cols w:equalWidth="0" w:num="1">
            <w:col w:w="11240"/>
          </w:cols>
          <w:pgMar w:left="320" w:top="1428" w:right="339" w:bottom="1440" w:gutter="0" w:footer="0" w:header="0"/>
        </w:sectPr>
      </w:pPr>
    </w:p>
    <w:bookmarkStart w:id="93" w:name="page94"/>
    <w:bookmarkEnd w:id="93"/>
    <w:p>
      <w:pPr>
        <w:spacing w:after="0"/>
        <w:rPr>
          <w:sz w:val="20"/>
          <w:szCs w:val="20"/>
          <w:color w:val="auto"/>
        </w:rPr>
      </w:pPr>
      <w:r>
        <w:rPr>
          <w:rFonts w:ascii="Arial" w:cs="Arial" w:eastAsia="Arial" w:hAnsi="Arial"/>
          <w:sz w:val="22"/>
          <w:szCs w:val="22"/>
          <w:b w:val="1"/>
          <w:bCs w:val="1"/>
          <w:color w:val="auto"/>
        </w:rPr>
        <w:t>SPAIN</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Nature of Grant</w:t>
      </w:r>
      <w:r>
        <w:rPr>
          <w:rFonts w:ascii="Arial" w:cs="Arial" w:eastAsia="Arial" w:hAnsi="Arial"/>
          <w:sz w:val="22"/>
          <w:szCs w:val="22"/>
          <w:color w:val="auto"/>
        </w:rPr>
        <w:t>. The following provision supplements Section 9 of the Stock Unit Agreement:</w:t>
      </w:r>
    </w:p>
    <w:p>
      <w:pPr>
        <w:spacing w:after="0" w:line="253" w:lineRule="exact"/>
        <w:rPr>
          <w:sz w:val="20"/>
          <w:szCs w:val="20"/>
          <w:color w:val="auto"/>
        </w:rPr>
      </w:pPr>
    </w:p>
    <w:p>
      <w:pPr>
        <w:jc w:val="both"/>
        <w:spacing w:after="0" w:line="263" w:lineRule="auto"/>
        <w:rPr>
          <w:sz w:val="20"/>
          <w:szCs w:val="20"/>
          <w:color w:val="auto"/>
        </w:rPr>
      </w:pPr>
      <w:r>
        <w:rPr>
          <w:rFonts w:ascii="Arial" w:cs="Arial" w:eastAsia="Arial" w:hAnsi="Arial"/>
          <w:sz w:val="22"/>
          <w:szCs w:val="22"/>
          <w:color w:val="auto"/>
        </w:rPr>
        <w:t>In accepting the Stock Units, Participant acknowledges that he or she consents to participation in the Plan and has received a copy of the Plan.</w:t>
      </w:r>
    </w:p>
    <w:p>
      <w:pPr>
        <w:spacing w:after="0" w:line="202" w:lineRule="exact"/>
        <w:rPr>
          <w:sz w:val="20"/>
          <w:szCs w:val="20"/>
          <w:color w:val="auto"/>
        </w:rPr>
      </w:pPr>
    </w:p>
    <w:p>
      <w:pPr>
        <w:jc w:val="both"/>
        <w:spacing w:after="0" w:line="288" w:lineRule="auto"/>
        <w:rPr>
          <w:sz w:val="20"/>
          <w:szCs w:val="20"/>
          <w:color w:val="auto"/>
        </w:rPr>
      </w:pPr>
      <w:r>
        <w:rPr>
          <w:rFonts w:ascii="Arial" w:cs="Arial" w:eastAsia="Arial" w:hAnsi="Arial"/>
          <w:sz w:val="19"/>
          <w:szCs w:val="19"/>
          <w:color w:val="auto"/>
        </w:rPr>
        <w:t>Participant understands that the Company has unilaterally, gratuitously, and discretionally decided to grant Stock Units under the Plan to individuals who may be Employees, Consultants or Outside Directors throughout the world. The decision is a limited decision that is entered into upon the express assumption and condition that any grant will not economically or otherwise bind the Company or any Parent or Subsidiary on an ongoing basis. Consequently, Participant understands that the Stock Units are granted on the assumption and condition that the Stock Units or the Shares acquired upon vesting shall not become a part of any employment or service contract (either with the Company or any Parent or Subsidiary) and shall not be considered a mandatory benefit, salary for any purposes (including severance compensation), or any other right whatsoever. In addition, Participant understands that this grant would not be made to Participant but for the assumptions and conditions referred to above; thus, Participant acknowledges and freely accepts that should any or all of the assumptions be mistaken or should any of the conditions not be met for any reason, then any grant of Units shall be null and void.</w:t>
      </w:r>
    </w:p>
    <w:p>
      <w:pPr>
        <w:spacing w:after="0" w:line="186" w:lineRule="exact"/>
        <w:rPr>
          <w:sz w:val="20"/>
          <w:szCs w:val="20"/>
          <w:color w:val="auto"/>
        </w:rPr>
      </w:pPr>
    </w:p>
    <w:p>
      <w:pPr>
        <w:jc w:val="both"/>
        <w:spacing w:after="0" w:line="290" w:lineRule="auto"/>
        <w:rPr>
          <w:sz w:val="20"/>
          <w:szCs w:val="20"/>
          <w:color w:val="auto"/>
        </w:rPr>
      </w:pPr>
      <w:r>
        <w:rPr>
          <w:rFonts w:ascii="Arial" w:cs="Arial" w:eastAsia="Arial" w:hAnsi="Arial"/>
          <w:sz w:val="19"/>
          <w:szCs w:val="19"/>
          <w:color w:val="auto"/>
        </w:rPr>
        <w:t>Further, the vesting of the Stock Units is expressly conditioned on Participant’s continued and active rendering of service, such that if Participant’s Continuous Service terminates for any reason whatsoever, the Stock Units cease vesting immediately effective on the date of Participant’s termination of Continuous Service. This will be the case, for example, even if (1) Participant is considered to be unfairly dismissed without good cause (</w:t>
      </w:r>
      <w:r>
        <w:rPr>
          <w:rFonts w:ascii="Arial" w:cs="Arial" w:eastAsia="Arial" w:hAnsi="Arial"/>
          <w:sz w:val="19"/>
          <w:szCs w:val="19"/>
          <w:i w:val="1"/>
          <w:iCs w:val="1"/>
          <w:color w:val="auto"/>
        </w:rPr>
        <w:t>i.e.</w:t>
      </w:r>
      <w:r>
        <w:rPr>
          <w:rFonts w:ascii="Arial" w:cs="Arial" w:eastAsia="Arial" w:hAnsi="Arial"/>
          <w:sz w:val="19"/>
          <w:szCs w:val="19"/>
          <w:color w:val="auto"/>
        </w:rPr>
        <w:t>, subject to a “</w:t>
      </w:r>
      <w:r>
        <w:rPr>
          <w:rFonts w:ascii="Arial" w:cs="Arial" w:eastAsia="Arial" w:hAnsi="Arial"/>
          <w:sz w:val="19"/>
          <w:szCs w:val="19"/>
          <w:i w:val="1"/>
          <w:iCs w:val="1"/>
          <w:color w:val="auto"/>
        </w:rPr>
        <w:t>despido improcedente</w:t>
      </w:r>
      <w:r>
        <w:rPr>
          <w:rFonts w:ascii="Arial" w:cs="Arial" w:eastAsia="Arial" w:hAnsi="Arial"/>
          <w:sz w:val="19"/>
          <w:szCs w:val="19"/>
          <w:color w:val="auto"/>
        </w:rPr>
        <w:t>”); (2) Participant is dismissed for disciplinary or objective reasons or due to a collective dismissal; (3) Participant terminates Continuous Service due to a change of work location, duties or any other employment or contractual condition; (4) Participant terminates Continuous Service due to a unilateral breach of contract by the Company or any Parent or Subsidiary; or (5) Participant’s Continuous Service terminates for any other reason whatsoever.</w:t>
      </w:r>
    </w:p>
    <w:p>
      <w:pPr>
        <w:spacing w:after="0" w:line="18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304" w:lineRule="auto"/>
        <w:rPr>
          <w:sz w:val="20"/>
          <w:szCs w:val="20"/>
          <w:color w:val="auto"/>
        </w:rPr>
      </w:pPr>
      <w:r>
        <w:rPr>
          <w:rFonts w:ascii="Arial" w:cs="Arial" w:eastAsia="Arial" w:hAnsi="Arial"/>
          <w:sz w:val="19"/>
          <w:szCs w:val="19"/>
          <w:b w:val="1"/>
          <w:bCs w:val="1"/>
          <w:color w:val="auto"/>
        </w:rPr>
        <w:t xml:space="preserve">Securities Law Information. </w:t>
      </w:r>
      <w:r>
        <w:rPr>
          <w:rFonts w:ascii="Arial" w:cs="Arial" w:eastAsia="Arial" w:hAnsi="Arial"/>
          <w:sz w:val="19"/>
          <w:szCs w:val="19"/>
          <w:color w:val="auto"/>
        </w:rPr>
        <w:t>The Stock Units described in the Plan and the Agreement do not qualify under Spanish regulations</w:t>
      </w:r>
      <w:r>
        <w:rPr>
          <w:rFonts w:ascii="Arial" w:cs="Arial" w:eastAsia="Arial" w:hAnsi="Arial"/>
          <w:sz w:val="19"/>
          <w:szCs w:val="19"/>
          <w:b w:val="1"/>
          <w:bCs w:val="1"/>
          <w:color w:val="auto"/>
        </w:rPr>
        <w:t xml:space="preserve"> </w:t>
      </w:r>
      <w:r>
        <w:rPr>
          <w:rFonts w:ascii="Arial" w:cs="Arial" w:eastAsia="Arial" w:hAnsi="Arial"/>
          <w:sz w:val="19"/>
          <w:szCs w:val="19"/>
          <w:color w:val="auto"/>
        </w:rPr>
        <w:t xml:space="preserve">as a security. No “offer of securities to the public,” as defined under Spanish law, has taken place or will take place in the Spanish territory. The Plan and the Agreement have not been nor will they be registered with the </w:t>
      </w:r>
      <w:r>
        <w:rPr>
          <w:rFonts w:ascii="Arial" w:cs="Arial" w:eastAsia="Arial" w:hAnsi="Arial"/>
          <w:sz w:val="19"/>
          <w:szCs w:val="19"/>
          <w:i w:val="1"/>
          <w:iCs w:val="1"/>
          <w:color w:val="auto"/>
        </w:rPr>
        <w:t>Comisión Nacional del Mercado de</w:t>
      </w:r>
      <w:r>
        <w:rPr>
          <w:rFonts w:ascii="Arial" w:cs="Arial" w:eastAsia="Arial" w:hAnsi="Arial"/>
          <w:sz w:val="19"/>
          <w:szCs w:val="19"/>
          <w:color w:val="auto"/>
        </w:rPr>
        <w:t xml:space="preserve"> </w:t>
      </w:r>
      <w:r>
        <w:rPr>
          <w:rFonts w:ascii="Arial" w:cs="Arial" w:eastAsia="Arial" w:hAnsi="Arial"/>
          <w:sz w:val="19"/>
          <w:szCs w:val="19"/>
          <w:i w:val="1"/>
          <w:iCs w:val="1"/>
          <w:color w:val="auto"/>
        </w:rPr>
        <w:t xml:space="preserve">Valores </w:t>
      </w:r>
      <w:r>
        <w:rPr>
          <w:rFonts w:ascii="Arial" w:cs="Arial" w:eastAsia="Arial" w:hAnsi="Arial"/>
          <w:sz w:val="19"/>
          <w:szCs w:val="19"/>
          <w:color w:val="auto"/>
        </w:rPr>
        <w:t>(Spanish Securities Exchange Commission), and they do not constitute a public offering prospectus.</w:t>
      </w:r>
    </w:p>
    <w:p>
      <w:pPr>
        <w:spacing w:after="0" w:line="162" w:lineRule="exact"/>
        <w:rPr>
          <w:sz w:val="20"/>
          <w:szCs w:val="20"/>
          <w:color w:val="auto"/>
        </w:rPr>
      </w:pPr>
    </w:p>
    <w:p>
      <w:pPr>
        <w:jc w:val="both"/>
        <w:spacing w:after="0" w:line="269" w:lineRule="auto"/>
        <w:rPr>
          <w:sz w:val="20"/>
          <w:szCs w:val="20"/>
          <w:color w:val="auto"/>
        </w:rPr>
      </w:pPr>
      <w:r>
        <w:rPr>
          <w:rFonts w:ascii="Arial" w:cs="Arial" w:eastAsia="Arial" w:hAnsi="Arial"/>
          <w:sz w:val="22"/>
          <w:szCs w:val="22"/>
          <w:b w:val="1"/>
          <w:bCs w:val="1"/>
          <w:color w:val="auto"/>
        </w:rPr>
        <w:t>Exchange Control Information</w:t>
      </w:r>
      <w:r>
        <w:rPr>
          <w:rFonts w:ascii="Arial" w:cs="Arial" w:eastAsia="Arial" w:hAnsi="Arial"/>
          <w:sz w:val="22"/>
          <w:szCs w:val="22"/>
          <w:color w:val="auto"/>
        </w:rPr>
        <w:t>. It is Participant’s responsibility to comply with exchange control regulations in Spain.</w:t>
      </w:r>
      <w:r>
        <w:rPr>
          <w:rFonts w:ascii="Arial" w:cs="Arial" w:eastAsia="Arial" w:hAnsi="Arial"/>
          <w:sz w:val="22"/>
          <w:szCs w:val="22"/>
          <w:b w:val="1"/>
          <w:bCs w:val="1"/>
          <w:color w:val="auto"/>
        </w:rPr>
        <w:t xml:space="preserve"> </w:t>
      </w:r>
      <w:r>
        <w:rPr>
          <w:rFonts w:ascii="Arial" w:cs="Arial" w:eastAsia="Arial" w:hAnsi="Arial"/>
          <w:sz w:val="22"/>
          <w:szCs w:val="22"/>
          <w:color w:val="auto"/>
        </w:rPr>
        <w:t>Participant is required to electronically declare to the Bank of Spain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23</w:t>
      </w:r>
    </w:p>
    <w:p>
      <w:pPr>
        <w:sectPr>
          <w:pgSz w:w="11900" w:h="16838" w:orient="portrait"/>
          <w:cols w:equalWidth="0" w:num="1">
            <w:col w:w="11240"/>
          </w:cols>
          <w:pgMar w:left="320" w:top="1422" w:right="339" w:bottom="1440" w:gutter="0" w:footer="0" w:header="0"/>
        </w:sectPr>
      </w:pPr>
    </w:p>
    <w:bookmarkStart w:id="94" w:name="page95"/>
    <w:bookmarkEnd w:id="94"/>
    <w:p>
      <w:pPr>
        <w:jc w:val="both"/>
        <w:spacing w:after="0" w:line="253" w:lineRule="auto"/>
        <w:rPr>
          <w:sz w:val="20"/>
          <w:szCs w:val="20"/>
          <w:color w:val="auto"/>
        </w:rPr>
      </w:pPr>
      <w:r>
        <w:rPr>
          <w:rFonts w:ascii="Arial" w:cs="Arial" w:eastAsia="Arial" w:hAnsi="Arial"/>
          <w:sz w:val="22"/>
          <w:szCs w:val="22"/>
          <w:color w:val="auto"/>
        </w:rPr>
        <w:t>any security accounts (including brokerage accounts held abroad), as well as the securities (including Shares acquired under the Plan) held in such accounts if the value of the transactions for all such accounts during the prior year or the balances of such accounts as of December 31 of the prior year exceeds €1,000,000.</w:t>
      </w:r>
    </w:p>
    <w:p>
      <w:pPr>
        <w:spacing w:after="0" w:line="212" w:lineRule="exact"/>
        <w:rPr>
          <w:sz w:val="20"/>
          <w:szCs w:val="20"/>
          <w:color w:val="auto"/>
        </w:rPr>
      </w:pPr>
    </w:p>
    <w:p>
      <w:pPr>
        <w:jc w:val="both"/>
        <w:spacing w:after="0" w:line="247" w:lineRule="auto"/>
        <w:rPr>
          <w:sz w:val="20"/>
          <w:szCs w:val="20"/>
          <w:color w:val="auto"/>
        </w:rPr>
      </w:pPr>
      <w:r>
        <w:rPr>
          <w:rFonts w:ascii="Arial" w:cs="Arial" w:eastAsia="Arial" w:hAnsi="Arial"/>
          <w:sz w:val="22"/>
          <w:szCs w:val="22"/>
          <w:color w:val="auto"/>
        </w:rPr>
        <w:t>Different thresholds and deadlines to file this declaration apply. However, if neither such transactions during the immediately preceding year nor the balances/positions as of December 31 exceed €1,000,000, no such declaration must be filed unless expressly required by the Bank of Spain. If any of such thresholds were exceeded during the current year, Participant may be required to file the relevant declaration corresponding to the prior year, however, a summarized form of declaration may be available. Participant should consult a personal tax or legal advisor for further information regarding exchange control reporting obligations.</w:t>
      </w:r>
    </w:p>
    <w:p>
      <w:pPr>
        <w:spacing w:after="0" w:line="220" w:lineRule="exact"/>
        <w:rPr>
          <w:sz w:val="20"/>
          <w:szCs w:val="20"/>
          <w:color w:val="auto"/>
        </w:rPr>
      </w:pPr>
    </w:p>
    <w:p>
      <w:pPr>
        <w:jc w:val="both"/>
        <w:spacing w:after="0" w:line="302" w:lineRule="auto"/>
        <w:rPr>
          <w:sz w:val="20"/>
          <w:szCs w:val="20"/>
          <w:color w:val="auto"/>
        </w:rPr>
      </w:pPr>
      <w:r>
        <w:rPr>
          <w:rFonts w:ascii="Arial" w:cs="Arial" w:eastAsia="Arial" w:hAnsi="Arial"/>
          <w:sz w:val="19"/>
          <w:szCs w:val="19"/>
          <w:color w:val="auto"/>
        </w:rPr>
        <w:t xml:space="preserve">Further, Participant is required to declare the acquisition of Shares for statistical purposes to the Spanish </w:t>
      </w:r>
      <w:r>
        <w:rPr>
          <w:rFonts w:ascii="Arial" w:cs="Arial" w:eastAsia="Arial" w:hAnsi="Arial"/>
          <w:sz w:val="19"/>
          <w:szCs w:val="19"/>
          <w:i w:val="1"/>
          <w:iCs w:val="1"/>
          <w:color w:val="auto"/>
        </w:rPr>
        <w:t>Direccion General de</w:t>
      </w:r>
      <w:r>
        <w:rPr>
          <w:rFonts w:ascii="Arial" w:cs="Arial" w:eastAsia="Arial" w:hAnsi="Arial"/>
          <w:sz w:val="19"/>
          <w:szCs w:val="19"/>
          <w:color w:val="auto"/>
        </w:rPr>
        <w:t xml:space="preserve"> </w:t>
      </w:r>
      <w:r>
        <w:rPr>
          <w:rFonts w:ascii="Arial" w:cs="Arial" w:eastAsia="Arial" w:hAnsi="Arial"/>
          <w:sz w:val="19"/>
          <w:szCs w:val="19"/>
          <w:i w:val="1"/>
          <w:iCs w:val="1"/>
          <w:color w:val="auto"/>
        </w:rPr>
        <w:t xml:space="preserve">Comercio e Inversiones </w:t>
      </w:r>
      <w:r>
        <w:rPr>
          <w:rFonts w:ascii="Arial" w:cs="Arial" w:eastAsia="Arial" w:hAnsi="Arial"/>
          <w:sz w:val="19"/>
          <w:szCs w:val="19"/>
          <w:color w:val="auto"/>
        </w:rPr>
        <w:t>(the “DGCI”) of the Ministry of Economy and Competitiveness. Generally, the declaration must be filed</w:t>
      </w:r>
      <w:r>
        <w:rPr>
          <w:rFonts w:ascii="Arial" w:cs="Arial" w:eastAsia="Arial" w:hAnsi="Arial"/>
          <w:sz w:val="19"/>
          <w:szCs w:val="19"/>
          <w:i w:val="1"/>
          <w:iCs w:val="1"/>
          <w:color w:val="auto"/>
        </w:rPr>
        <w:t xml:space="preserve"> </w:t>
      </w:r>
      <w:r>
        <w:rPr>
          <w:rFonts w:ascii="Arial" w:cs="Arial" w:eastAsia="Arial" w:hAnsi="Arial"/>
          <w:sz w:val="19"/>
          <w:szCs w:val="19"/>
          <w:color w:val="auto"/>
        </w:rPr>
        <w:t>on form D-6 in January for Shares owned as of December 31 of each year; however, if the value of the Shares or the sale proceeds exceeds €1,502,530, a declaration must be filed within one month of the acquisition or sale, as applicable.</w:t>
      </w:r>
    </w:p>
    <w:p>
      <w:pPr>
        <w:spacing w:after="0" w:line="163" w:lineRule="exact"/>
        <w:rPr>
          <w:sz w:val="20"/>
          <w:szCs w:val="20"/>
          <w:color w:val="auto"/>
        </w:rPr>
      </w:pPr>
    </w:p>
    <w:p>
      <w:pPr>
        <w:jc w:val="both"/>
        <w:spacing w:after="0" w:line="262" w:lineRule="auto"/>
        <w:rPr>
          <w:sz w:val="20"/>
          <w:szCs w:val="20"/>
          <w:color w:val="auto"/>
        </w:rPr>
      </w:pPr>
      <w:r>
        <w:rPr>
          <w:rFonts w:ascii="Arial" w:cs="Arial" w:eastAsia="Arial" w:hAnsi="Arial"/>
          <w:sz w:val="21"/>
          <w:szCs w:val="21"/>
          <w:b w:val="1"/>
          <w:bCs w:val="1"/>
          <w:color w:val="auto"/>
        </w:rPr>
        <w:t xml:space="preserve">Foreign Asset/Account Reporting Information. </w:t>
      </w:r>
      <w:r>
        <w:rPr>
          <w:rFonts w:ascii="Arial" w:cs="Arial" w:eastAsia="Arial" w:hAnsi="Arial"/>
          <w:sz w:val="21"/>
          <w:szCs w:val="21"/>
          <w:color w:val="auto"/>
        </w:rPr>
        <w:t>To the extent Participant holds Shares or has bank accounts outside of Spain</w:t>
      </w:r>
      <w:r>
        <w:rPr>
          <w:rFonts w:ascii="Arial" w:cs="Arial" w:eastAsia="Arial" w:hAnsi="Arial"/>
          <w:sz w:val="21"/>
          <w:szCs w:val="21"/>
          <w:b w:val="1"/>
          <w:bCs w:val="1"/>
          <w:color w:val="auto"/>
        </w:rPr>
        <w:t xml:space="preserve"> </w:t>
      </w:r>
      <w:r>
        <w:rPr>
          <w:rFonts w:ascii="Arial" w:cs="Arial" w:eastAsia="Arial" w:hAnsi="Arial"/>
          <w:sz w:val="21"/>
          <w:szCs w:val="21"/>
          <w:color w:val="auto"/>
        </w:rPr>
        <w:t>with a value in excess of €50,000 (for each type of asset) as of December 31, Participant must report information on such assets on his or her tax return Form 720 for such year with severe penalties in the event of non-compliance. After such Shares or accounts are initially reported, the reporting obligation will apply for subsequent years only if the value of any previously reported Shares or accounts increases by more than €20,000 as of each subsequent December 31, or if Participant sells Shares or cancels bank accounts that were previously reported.</w:t>
      </w: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SWEDEN</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4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Responsibility for Taxes</w:t>
      </w:r>
      <w:r>
        <w:rPr>
          <w:rFonts w:ascii="Arial" w:cs="Arial" w:eastAsia="Arial" w:hAnsi="Arial"/>
          <w:sz w:val="22"/>
          <w:szCs w:val="22"/>
          <w:color w:val="auto"/>
        </w:rPr>
        <w:t>. The following provision supplements Section 7 of the Stock Unit Agreement:</w:t>
      </w:r>
    </w:p>
    <w:p>
      <w:pPr>
        <w:spacing w:after="0" w:line="253" w:lineRule="exact"/>
        <w:rPr>
          <w:sz w:val="20"/>
          <w:szCs w:val="20"/>
          <w:color w:val="auto"/>
        </w:rPr>
      </w:pPr>
    </w:p>
    <w:p>
      <w:pPr>
        <w:jc w:val="both"/>
        <w:spacing w:after="0" w:line="248" w:lineRule="auto"/>
        <w:rPr>
          <w:sz w:val="20"/>
          <w:szCs w:val="20"/>
          <w:color w:val="auto"/>
        </w:rPr>
      </w:pPr>
      <w:r>
        <w:rPr>
          <w:rFonts w:ascii="Arial" w:cs="Arial" w:eastAsia="Arial" w:hAnsi="Arial"/>
          <w:sz w:val="22"/>
          <w:szCs w:val="22"/>
          <w:color w:val="auto"/>
        </w:rPr>
        <w:t>Without limiting the Company and the Employer’s authority to satisfy their withholding obligations for Tax-Related Items as set forth in Section 7 of the Stock Unit Agreement, in accepting the grant of the Stock Units, Participant authorizes the Company and/or the Employer to withhold Shares or to sell Shares otherwise deliverable to Participant upon vesting and settlement of the Stock Units in order to satisfy Tax-Related Items, regardless of whether the Company and/or the Employer has an obligation to withhold such Tax-Related Items.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24</w:t>
      </w:r>
    </w:p>
    <w:p>
      <w:pPr>
        <w:sectPr>
          <w:pgSz w:w="11900" w:h="16838" w:orient="portrait"/>
          <w:cols w:equalWidth="0" w:num="1">
            <w:col w:w="11240"/>
          </w:cols>
          <w:pgMar w:left="320" w:top="1428" w:right="339" w:bottom="1440" w:gutter="0" w:footer="0" w:header="0"/>
        </w:sectPr>
      </w:pPr>
    </w:p>
    <w:bookmarkStart w:id="95" w:name="page96"/>
    <w:bookmarkEnd w:id="95"/>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SWITZERLAND</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64" w:lineRule="auto"/>
        <w:rPr>
          <w:sz w:val="20"/>
          <w:szCs w:val="20"/>
          <w:color w:val="auto"/>
        </w:rPr>
      </w:pPr>
      <w:r>
        <w:rPr>
          <w:rFonts w:ascii="Arial" w:cs="Arial" w:eastAsia="Arial" w:hAnsi="Arial"/>
          <w:sz w:val="21"/>
          <w:szCs w:val="21"/>
          <w:b w:val="1"/>
          <w:bCs w:val="1"/>
          <w:color w:val="auto"/>
        </w:rPr>
        <w:t xml:space="preserve">Securities Law Information. </w:t>
      </w:r>
      <w:r>
        <w:rPr>
          <w:rFonts w:ascii="Arial" w:cs="Arial" w:eastAsia="Arial" w:hAnsi="Arial"/>
          <w:sz w:val="21"/>
          <w:szCs w:val="21"/>
          <w:color w:val="auto"/>
        </w:rPr>
        <w:t>Neither this document nor any other materials relating to the Stock Units (i) constitutes a</w:t>
      </w:r>
      <w:r>
        <w:rPr>
          <w:rFonts w:ascii="Arial" w:cs="Arial" w:eastAsia="Arial" w:hAnsi="Arial"/>
          <w:sz w:val="21"/>
          <w:szCs w:val="21"/>
          <w:b w:val="1"/>
          <w:bCs w:val="1"/>
          <w:color w:val="auto"/>
        </w:rPr>
        <w:t xml:space="preserve"> </w:t>
      </w:r>
      <w:r>
        <w:rPr>
          <w:rFonts w:ascii="Arial" w:cs="Arial" w:eastAsia="Arial" w:hAnsi="Arial"/>
          <w:sz w:val="21"/>
          <w:szCs w:val="21"/>
          <w:color w:val="auto"/>
        </w:rPr>
        <w:t>prospectus according to articles 35 et seq. of the Swiss Federal Act on Financial Services (“FinSA”) (ii) may be publicly distributed or otherwise made publicly available in Switzerland to any person other than an employee of the Corporation or (iii) has been or will be filed with, approved or supervised by any Swiss reviewing body according to article 51 FinSA or any Swiss regulatory authority, including the Swiss Financial Market Supervisory Authority.</w:t>
      </w:r>
    </w:p>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TAIWAN</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Notifications</w:t>
      </w:r>
    </w:p>
    <w:p>
      <w:pPr>
        <w:spacing w:after="0" w:line="241" w:lineRule="exact"/>
        <w:rPr>
          <w:sz w:val="20"/>
          <w:szCs w:val="20"/>
          <w:color w:val="auto"/>
        </w:rPr>
      </w:pPr>
    </w:p>
    <w:p>
      <w:pPr>
        <w:jc w:val="both"/>
        <w:spacing w:after="0" w:line="256" w:lineRule="auto"/>
        <w:rPr>
          <w:sz w:val="20"/>
          <w:szCs w:val="20"/>
          <w:color w:val="auto"/>
        </w:rPr>
      </w:pPr>
      <w:r>
        <w:rPr>
          <w:rFonts w:ascii="Arial" w:cs="Arial" w:eastAsia="Arial" w:hAnsi="Arial"/>
          <w:sz w:val="22"/>
          <w:szCs w:val="22"/>
          <w:b w:val="1"/>
          <w:bCs w:val="1"/>
          <w:color w:val="auto"/>
        </w:rPr>
        <w:t>Securities Law Information</w:t>
      </w:r>
      <w:r>
        <w:rPr>
          <w:rFonts w:ascii="Arial" w:cs="Arial" w:eastAsia="Arial" w:hAnsi="Arial"/>
          <w:sz w:val="22"/>
          <w:szCs w:val="22"/>
          <w:color w:val="auto"/>
        </w:rPr>
        <w:t>. The grant of Stock Units and any Shares acquired pursuant to the Plan are available only for</w:t>
      </w:r>
      <w:r>
        <w:rPr>
          <w:rFonts w:ascii="Arial" w:cs="Arial" w:eastAsia="Arial" w:hAnsi="Arial"/>
          <w:sz w:val="22"/>
          <w:szCs w:val="22"/>
          <w:b w:val="1"/>
          <w:bCs w:val="1"/>
          <w:color w:val="auto"/>
        </w:rPr>
        <w:t xml:space="preserve"> </w:t>
      </w:r>
      <w:r>
        <w:rPr>
          <w:rFonts w:ascii="Arial" w:cs="Arial" w:eastAsia="Arial" w:hAnsi="Arial"/>
          <w:sz w:val="22"/>
          <w:szCs w:val="22"/>
          <w:color w:val="auto"/>
        </w:rPr>
        <w:t>Employees, Consultants and Outside Directors of the Company or a Parent or Subsidiary. The offer is not a public offer of securities by a Taiwanese company; therefore, it is exempt from registration in Taiwan.</w:t>
      </w:r>
    </w:p>
    <w:p>
      <w:pPr>
        <w:spacing w:after="0" w:line="203" w:lineRule="exact"/>
        <w:rPr>
          <w:sz w:val="20"/>
          <w:szCs w:val="20"/>
          <w:color w:val="auto"/>
        </w:rPr>
      </w:pPr>
    </w:p>
    <w:p>
      <w:pPr>
        <w:jc w:val="both"/>
        <w:ind w:firstLine="8"/>
        <w:spacing w:after="0" w:line="264" w:lineRule="auto"/>
        <w:tabs>
          <w:tab w:leader="none" w:pos="648" w:val="left"/>
        </w:tabs>
        <w:numPr>
          <w:ilvl w:val="0"/>
          <w:numId w:val="40"/>
        </w:numPr>
        <w:rPr>
          <w:rFonts w:ascii="Arial" w:cs="Arial" w:eastAsia="Arial" w:hAnsi="Arial"/>
          <w:sz w:val="21"/>
          <w:szCs w:val="21"/>
          <w:b w:val="1"/>
          <w:bCs w:val="1"/>
          <w:color w:val="auto"/>
        </w:rPr>
      </w:pPr>
      <w:r>
        <w:rPr>
          <w:rFonts w:ascii="Arial" w:cs="Arial" w:eastAsia="Arial" w:hAnsi="Arial"/>
          <w:sz w:val="21"/>
          <w:szCs w:val="21"/>
          <w:b w:val="1"/>
          <w:bCs w:val="1"/>
          <w:color w:val="auto"/>
        </w:rPr>
        <w:t xml:space="preserve">Exchange Control Information. </w:t>
      </w:r>
      <w:r>
        <w:rPr>
          <w:rFonts w:ascii="Arial" w:cs="Arial" w:eastAsia="Arial" w:hAnsi="Arial"/>
          <w:sz w:val="21"/>
          <w:szCs w:val="21"/>
          <w:color w:val="auto"/>
        </w:rPr>
        <w:t>Taiwanese residents may remit and acquire up to US$5,000,000 per year in foreign</w:t>
      </w:r>
      <w:r>
        <w:rPr>
          <w:rFonts w:ascii="Arial" w:cs="Arial" w:eastAsia="Arial" w:hAnsi="Arial"/>
          <w:sz w:val="21"/>
          <w:szCs w:val="21"/>
          <w:b w:val="1"/>
          <w:bCs w:val="1"/>
          <w:color w:val="auto"/>
        </w:rPr>
        <w:t xml:space="preserve"> </w:t>
      </w:r>
      <w:r>
        <w:rPr>
          <w:rFonts w:ascii="Arial" w:cs="Arial" w:eastAsia="Arial" w:hAnsi="Arial"/>
          <w:sz w:val="21"/>
          <w:szCs w:val="21"/>
          <w:color w:val="auto"/>
        </w:rPr>
        <w:t>currency (including proceeds from the sale of Shares or the receipt of any dividends) without justification. If the transaction amount is TWD500,000 or more in a single transaction, a Foreign Exchange Transaction Form must be submitted, along with supporting documentation to the satisfaction of the bank involved in the transaction. Participant should consult with his or her personal advisor to ensure compliance with applicable exchange control laws in Taiwan.</w:t>
      </w:r>
    </w:p>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UNITED KINGDOM</w:t>
      </w:r>
    </w:p>
    <w:p>
      <w:pPr>
        <w:spacing w:after="0" w:line="374" w:lineRule="exact"/>
        <w:rPr>
          <w:sz w:val="20"/>
          <w:szCs w:val="20"/>
          <w:color w:val="auto"/>
        </w:rPr>
      </w:pPr>
    </w:p>
    <w:p>
      <w:pPr>
        <w:ind w:left="660" w:hanging="652"/>
        <w:spacing w:after="0"/>
        <w:tabs>
          <w:tab w:leader="none" w:pos="660" w:val="left"/>
        </w:tabs>
        <w:numPr>
          <w:ilvl w:val="0"/>
          <w:numId w:val="41"/>
        </w:numPr>
        <w:rPr>
          <w:rFonts w:ascii="Arial" w:cs="Arial" w:eastAsia="Arial" w:hAnsi="Arial"/>
          <w:sz w:val="22"/>
          <w:szCs w:val="22"/>
          <w:b w:val="1"/>
          <w:bCs w:val="1"/>
          <w:i w:val="1"/>
          <w:iCs w:val="1"/>
          <w:color w:val="auto"/>
        </w:rPr>
      </w:pPr>
      <w:r>
        <w:rPr>
          <w:rFonts w:ascii="Arial" w:cs="Arial" w:eastAsia="Arial" w:hAnsi="Arial"/>
          <w:sz w:val="22"/>
          <w:szCs w:val="22"/>
          <w:b w:val="1"/>
          <w:bCs w:val="1"/>
          <w:i w:val="1"/>
          <w:iCs w:val="1"/>
          <w:color w:val="auto"/>
        </w:rPr>
        <w:t>Terms and Conditions</w:t>
      </w:r>
    </w:p>
    <w:p>
      <w:pPr>
        <w:spacing w:after="0" w:line="11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Settlement of Stock Units. </w:t>
      </w:r>
      <w:r>
        <w:rPr>
          <w:rFonts w:ascii="Arial" w:cs="Arial" w:eastAsia="Arial" w:hAnsi="Arial"/>
          <w:sz w:val="22"/>
          <w:szCs w:val="22"/>
          <w:color w:val="auto"/>
        </w:rPr>
        <w:t>The following provision supplements Section 2 of the Stock Unit Agreement:</w:t>
      </w:r>
    </w:p>
    <w:p>
      <w:pPr>
        <w:spacing w:after="0" w:line="253" w:lineRule="exact"/>
        <w:rPr>
          <w:sz w:val="20"/>
          <w:szCs w:val="20"/>
          <w:color w:val="auto"/>
        </w:rPr>
      </w:pPr>
    </w:p>
    <w:p>
      <w:pPr>
        <w:ind w:right="20"/>
        <w:spacing w:after="0" w:line="263" w:lineRule="auto"/>
        <w:rPr>
          <w:sz w:val="20"/>
          <w:szCs w:val="20"/>
          <w:color w:val="auto"/>
        </w:rPr>
      </w:pPr>
      <w:r>
        <w:rPr>
          <w:rFonts w:ascii="Arial" w:cs="Arial" w:eastAsia="Arial" w:hAnsi="Arial"/>
          <w:sz w:val="22"/>
          <w:szCs w:val="22"/>
          <w:color w:val="auto"/>
        </w:rPr>
        <w:t>Notwithstanding Section 2 of the Stock Unit Agreement and Section 13(c) of the Plan, the Stock Units will be settled in Shares only, not cash.</w:t>
      </w:r>
    </w:p>
    <w:p>
      <w:pPr>
        <w:spacing w:after="0" w:line="1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Responsibility for Taxes. </w:t>
      </w:r>
      <w:r>
        <w:rPr>
          <w:rFonts w:ascii="Arial" w:cs="Arial" w:eastAsia="Arial" w:hAnsi="Arial"/>
          <w:sz w:val="22"/>
          <w:szCs w:val="22"/>
          <w:color w:val="auto"/>
        </w:rPr>
        <w:t>The following supplements Section 7 of the Stock Unit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25</w:t>
      </w:r>
    </w:p>
    <w:p>
      <w:pPr>
        <w:sectPr>
          <w:pgSz w:w="11900" w:h="16838" w:orient="portrait"/>
          <w:cols w:equalWidth="0" w:num="1">
            <w:col w:w="11240"/>
          </w:cols>
          <w:pgMar w:left="320" w:top="1440" w:right="339" w:bottom="1440" w:gutter="0" w:footer="0" w:header="0"/>
        </w:sectPr>
      </w:pPr>
    </w:p>
    <w:bookmarkStart w:id="96" w:name="page97"/>
    <w:bookmarkEnd w:id="96"/>
    <w:p>
      <w:pPr>
        <w:jc w:val="both"/>
        <w:spacing w:after="0" w:line="297" w:lineRule="auto"/>
        <w:rPr>
          <w:sz w:val="20"/>
          <w:szCs w:val="20"/>
          <w:color w:val="auto"/>
        </w:rPr>
      </w:pPr>
      <w:r>
        <w:rPr>
          <w:rFonts w:ascii="Arial" w:cs="Arial" w:eastAsia="Arial" w:hAnsi="Arial"/>
          <w:sz w:val="19"/>
          <w:szCs w:val="19"/>
          <w:color w:val="auto"/>
        </w:rPr>
        <w:t>Without limitation to any provision of the Agreement, Participant agrees that Participant is liable for all Tax-Related Items, as and when required by the Company or the Employer, as applicable, or by Her Majesty’s Revenue and Customs (“HMRC”) (or any other tax authority or other relevant authority). Participant also agrees to indemnify and keep indemnified the Company and the Employer, as applicable, against any Tax-Related Items that they are required to pay or withhold or have paid or will pay on Participant’s behalf to HMRC (or any other tax authority or other relevant authority).</w:t>
      </w:r>
    </w:p>
    <w:p>
      <w:pPr>
        <w:spacing w:after="0" w:line="174" w:lineRule="exact"/>
        <w:rPr>
          <w:sz w:val="20"/>
          <w:szCs w:val="20"/>
          <w:color w:val="auto"/>
        </w:rPr>
      </w:pPr>
    </w:p>
    <w:p>
      <w:pPr>
        <w:jc w:val="both"/>
        <w:spacing w:after="0" w:line="289" w:lineRule="auto"/>
        <w:rPr>
          <w:sz w:val="20"/>
          <w:szCs w:val="20"/>
          <w:color w:val="auto"/>
        </w:rPr>
      </w:pPr>
      <w:r>
        <w:rPr>
          <w:rFonts w:ascii="Arial" w:cs="Arial" w:eastAsia="Arial" w:hAnsi="Arial"/>
          <w:sz w:val="19"/>
          <w:szCs w:val="19"/>
          <w:color w:val="auto"/>
        </w:rPr>
        <w:t>Notwithstanding the foregoing, if Participant is an executive officer or director (as within the meaning of Section 13(k) of the U.S. Securities and Exchange Act of 1934, as amended), Participant understands that he or she may not be able to indemnify the Company for the amount of any Tax-Related Items not collected from or paid by Participant, in case the indemnification could be considered to be a loan. In this case, any income tax not collected within 90 days of the end of the U.K. tax year in which an event giving rise to the Tax Obligations occurs may constitute a benefit to Participant on which additional income tax and employee National Insurance contributions (“NICs”) may be due. Participant will be responsible for reporting and paying any income tax due on this additional benefit directly to HMRC under the self-assessment regime and for reimbursing the Company or the Employer, as applicable, for the value of any employee NICs due on this additional benefit, which may be recovered from Participant by any of the means referred to in Section 7 of the Stock Unit Agreement.</w:t>
      </w:r>
    </w:p>
    <w:p>
      <w:pPr>
        <w:spacing w:after="0" w:line="178" w:lineRule="exact"/>
        <w:rPr>
          <w:sz w:val="20"/>
          <w:szCs w:val="20"/>
          <w:color w:val="auto"/>
        </w:rPr>
      </w:pPr>
    </w:p>
    <w:p>
      <w:pPr>
        <w:jc w:val="both"/>
        <w:spacing w:after="0" w:line="248" w:lineRule="auto"/>
        <w:rPr>
          <w:sz w:val="20"/>
          <w:szCs w:val="20"/>
          <w:color w:val="auto"/>
        </w:rPr>
      </w:pPr>
      <w:r>
        <w:rPr>
          <w:rFonts w:ascii="Arial" w:cs="Arial" w:eastAsia="Arial" w:hAnsi="Arial"/>
          <w:sz w:val="22"/>
          <w:szCs w:val="22"/>
          <w:b w:val="1"/>
          <w:bCs w:val="1"/>
          <w:color w:val="auto"/>
        </w:rPr>
        <w:t xml:space="preserve">Joint Election. </w:t>
      </w:r>
      <w:r>
        <w:rPr>
          <w:rFonts w:ascii="Arial" w:cs="Arial" w:eastAsia="Arial" w:hAnsi="Arial"/>
          <w:sz w:val="22"/>
          <w:szCs w:val="22"/>
          <w:color w:val="auto"/>
        </w:rPr>
        <w:t>The Company reserves the right to transfer Secondary Class 1 NICs to Participant. As a condition of participating</w:t>
      </w:r>
      <w:r>
        <w:rPr>
          <w:rFonts w:ascii="Arial" w:cs="Arial" w:eastAsia="Arial" w:hAnsi="Arial"/>
          <w:sz w:val="22"/>
          <w:szCs w:val="22"/>
          <w:b w:val="1"/>
          <w:bCs w:val="1"/>
          <w:color w:val="auto"/>
        </w:rPr>
        <w:t xml:space="preserve"> </w:t>
      </w:r>
      <w:r>
        <w:rPr>
          <w:rFonts w:ascii="Arial" w:cs="Arial" w:eastAsia="Arial" w:hAnsi="Arial"/>
          <w:sz w:val="22"/>
          <w:szCs w:val="22"/>
          <w:color w:val="auto"/>
        </w:rPr>
        <w:t>in the Plan, Participant acknowledges and agrees that Participant may be liable for the Secondary Class 1 NICs which may be payable by the Company or the Employer (or by any successor to the Company or the Employer) with respect to the acquisition of Shares pursuant to the Stock Units, the assignment or release of the Stock Units for consideration, or the receipt of any other benefit in connection with the Stock Units and that liability for the Secondary Class 1 NICs payments may be transferred to Participant to the fullest extent permitted by law.</w:t>
      </w:r>
    </w:p>
    <w:p>
      <w:pPr>
        <w:spacing w:after="0" w:line="220" w:lineRule="exact"/>
        <w:rPr>
          <w:sz w:val="20"/>
          <w:szCs w:val="20"/>
          <w:color w:val="auto"/>
        </w:rPr>
      </w:pPr>
    </w:p>
    <w:p>
      <w:pPr>
        <w:jc w:val="both"/>
        <w:spacing w:after="0" w:line="294" w:lineRule="auto"/>
        <w:rPr>
          <w:sz w:val="20"/>
          <w:szCs w:val="20"/>
          <w:color w:val="auto"/>
        </w:rPr>
      </w:pPr>
      <w:r>
        <w:rPr>
          <w:rFonts w:ascii="Arial" w:cs="Arial" w:eastAsia="Arial" w:hAnsi="Arial"/>
          <w:sz w:val="19"/>
          <w:szCs w:val="19"/>
          <w:color w:val="auto"/>
        </w:rPr>
        <w:t>If the Company chooses to transfer the Secondary Class 1 NICs, and without limitation to the above, Participant agrees to make an election, in the form specified and/or approved for such election by HMRC, that the liability for the Secondary Class 1 NICs payments on any such gains shall be transferred to Participant (the “Election”). Participant further agrees to execute such other elections as may be required between Participant and any successor to the Company and/or the Employer. Participant hereby authorizes the Company and the Employer to withhold such Secondary Class 1 NICs by any of the means set forth in Section 7 of the Agreement if and when such Secondary Class 1 NICs are transferred to Participant.</w:t>
      </w:r>
    </w:p>
    <w:p>
      <w:pPr>
        <w:spacing w:after="0" w:line="176" w:lineRule="exact"/>
        <w:rPr>
          <w:sz w:val="20"/>
          <w:szCs w:val="20"/>
          <w:color w:val="auto"/>
        </w:rPr>
      </w:pPr>
    </w:p>
    <w:p>
      <w:pPr>
        <w:jc w:val="both"/>
        <w:spacing w:after="0" w:line="250" w:lineRule="auto"/>
        <w:rPr>
          <w:sz w:val="20"/>
          <w:szCs w:val="20"/>
          <w:color w:val="auto"/>
        </w:rPr>
      </w:pPr>
      <w:r>
        <w:rPr>
          <w:rFonts w:ascii="Arial" w:cs="Arial" w:eastAsia="Arial" w:hAnsi="Arial"/>
          <w:sz w:val="22"/>
          <w:szCs w:val="22"/>
          <w:color w:val="auto"/>
        </w:rPr>
        <w:t>Further, if the Company chooses to transfer the Secondary Class 1 NICs payments and Participant does not make an Election, or the approval of the Election is been withdrawn by HMRC, or the Election is jointly revoked by Participant and the Company or the Employer, as applicable, then these Stock Units shall, at the discretion of the Company, without any liability to the Company or the Employer, cease vesting and become null and void.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26</w:t>
      </w:r>
    </w:p>
    <w:p>
      <w:pPr>
        <w:sectPr>
          <w:pgSz w:w="11900" w:h="16838" w:orient="portrait"/>
          <w:cols w:equalWidth="0" w:num="1">
            <w:col w:w="11240"/>
          </w:cols>
          <w:pgMar w:left="320" w:top="1428" w:right="339" w:bottom="1440" w:gutter="0" w:footer="0" w:header="0"/>
        </w:sectPr>
      </w:pPr>
    </w:p>
    <w:bookmarkStart w:id="97" w:name="page98"/>
    <w:bookmarkEnd w:id="97"/>
    <w:p>
      <w:pPr>
        <w:spacing w:after="0" w:line="22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VIETNAM</w:t>
      </w:r>
    </w:p>
    <w:p>
      <w:pPr>
        <w:spacing w:after="0" w:line="253" w:lineRule="exact"/>
        <w:rPr>
          <w:sz w:val="20"/>
          <w:szCs w:val="20"/>
          <w:color w:val="auto"/>
        </w:rPr>
      </w:pPr>
    </w:p>
    <w:p>
      <w:pPr>
        <w:spacing w:after="0"/>
        <w:rPr>
          <w:sz w:val="20"/>
          <w:szCs w:val="20"/>
          <w:color w:val="auto"/>
        </w:rPr>
      </w:pPr>
      <w:r>
        <w:rPr>
          <w:rFonts w:ascii="Arial" w:cs="Arial" w:eastAsia="Arial" w:hAnsi="Arial"/>
          <w:sz w:val="22"/>
          <w:szCs w:val="22"/>
          <w:b w:val="1"/>
          <w:bCs w:val="1"/>
          <w:i w:val="1"/>
          <w:iCs w:val="1"/>
          <w:color w:val="auto"/>
        </w:rPr>
        <w:t>Terms and Conditions</w:t>
      </w:r>
    </w:p>
    <w:p>
      <w:pPr>
        <w:spacing w:after="0" w:line="220" w:lineRule="exact"/>
        <w:rPr>
          <w:sz w:val="20"/>
          <w:szCs w:val="20"/>
          <w:color w:val="auto"/>
        </w:rPr>
      </w:pPr>
    </w:p>
    <w:p>
      <w:pPr>
        <w:jc w:val="both"/>
        <w:spacing w:after="0" w:line="253" w:lineRule="auto"/>
        <w:rPr>
          <w:sz w:val="20"/>
          <w:szCs w:val="20"/>
          <w:color w:val="auto"/>
        </w:rPr>
      </w:pPr>
      <w:r>
        <w:rPr>
          <w:rFonts w:ascii="Arial" w:cs="Arial" w:eastAsia="Arial" w:hAnsi="Arial"/>
          <w:sz w:val="22"/>
          <w:szCs w:val="22"/>
          <w:b w:val="1"/>
          <w:bCs w:val="1"/>
          <w:i w:val="1"/>
          <w:iCs w:val="1"/>
          <w:color w:val="auto"/>
        </w:rPr>
        <w:t>The following terms and conditions apply if Participant is subject to exchange control restrictions and regulations in Vietnam, including the requirements imposed by the State Bank of Vietnam (“SBV”), as determined by the Administrator in its sole discretion:</w:t>
      </w:r>
    </w:p>
    <w:p>
      <w:pPr>
        <w:spacing w:after="0" w:line="17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 xml:space="preserve">Vesting Schedule. </w:t>
      </w:r>
      <w:r>
        <w:rPr>
          <w:rFonts w:ascii="Arial" w:cs="Arial" w:eastAsia="Arial" w:hAnsi="Arial"/>
          <w:sz w:val="22"/>
          <w:szCs w:val="22"/>
          <w:color w:val="auto"/>
        </w:rPr>
        <w:t>The following provision supplements Section 3 of the Stock Unit Agreement:</w:t>
      </w:r>
    </w:p>
    <w:p>
      <w:pPr>
        <w:spacing w:after="0" w:line="226" w:lineRule="exact"/>
        <w:rPr>
          <w:sz w:val="20"/>
          <w:szCs w:val="20"/>
          <w:color w:val="auto"/>
        </w:rPr>
      </w:pPr>
    </w:p>
    <w:p>
      <w:pPr>
        <w:jc w:val="both"/>
        <w:spacing w:after="0" w:line="292" w:lineRule="auto"/>
        <w:rPr>
          <w:sz w:val="20"/>
          <w:szCs w:val="20"/>
          <w:color w:val="auto"/>
        </w:rPr>
      </w:pPr>
      <w:r>
        <w:rPr>
          <w:rFonts w:ascii="Arial" w:cs="Arial" w:eastAsia="Arial" w:hAnsi="Arial"/>
          <w:sz w:val="19"/>
          <w:szCs w:val="19"/>
          <w:color w:val="auto"/>
        </w:rPr>
        <w:t>In addition to the vesting requirements set forth in the Notice of Grant and the Stock Unit Agreement, vesting and settlement of the Stock Units is also conditioned on the Company securing and maintaining all necessary approvals from the SBV and any other applicable government entities required to permit the operation of the Plan in Vietnam (the “SBV Registration Requirement”). If or to the extent the Company does not complete the registration or maintain the registration, no Shares shall be issued under the Stock Units. In this case, the Company retains the discretion to settle any Stock Units for which the vesting requirements (but not the SBV Registration Requirement) has been met in cash paid through local payroll in an amount equal to the fair market value of the Shares subject to the Stock Units less any withholding obligation for Tax-Related Items.</w:t>
      </w:r>
    </w:p>
    <w:p>
      <w:pPr>
        <w:spacing w:after="0" w:line="118" w:lineRule="exact"/>
        <w:rPr>
          <w:sz w:val="20"/>
          <w:szCs w:val="20"/>
          <w:color w:val="auto"/>
        </w:rPr>
      </w:pPr>
    </w:p>
    <w:p>
      <w:pPr>
        <w:jc w:val="both"/>
        <w:spacing w:after="0" w:line="225" w:lineRule="auto"/>
        <w:rPr>
          <w:sz w:val="20"/>
          <w:szCs w:val="20"/>
          <w:color w:val="auto"/>
        </w:rPr>
      </w:pPr>
      <w:r>
        <w:rPr>
          <w:rFonts w:ascii="Arial" w:cs="Arial" w:eastAsia="Arial" w:hAnsi="Arial"/>
          <w:sz w:val="22"/>
          <w:szCs w:val="22"/>
          <w:b w:val="1"/>
          <w:bCs w:val="1"/>
          <w:color w:val="auto"/>
        </w:rPr>
        <w:t>Shares Must Remain With Company’s Designated Broker</w:t>
      </w:r>
      <w:r>
        <w:rPr>
          <w:rFonts w:ascii="Arial" w:cs="Arial" w:eastAsia="Arial" w:hAnsi="Arial"/>
          <w:sz w:val="22"/>
          <w:szCs w:val="22"/>
          <w:color w:val="auto"/>
        </w:rPr>
        <w:t>. Participant agrees to hold any Shares received upon settlement of</w:t>
      </w:r>
      <w:r>
        <w:rPr>
          <w:rFonts w:ascii="Arial" w:cs="Arial" w:eastAsia="Arial" w:hAnsi="Arial"/>
          <w:sz w:val="22"/>
          <w:szCs w:val="22"/>
          <w:b w:val="1"/>
          <w:bCs w:val="1"/>
          <w:color w:val="auto"/>
        </w:rPr>
        <w:t xml:space="preserve"> </w:t>
      </w:r>
      <w:r>
        <w:rPr>
          <w:rFonts w:ascii="Arial" w:cs="Arial" w:eastAsia="Arial" w:hAnsi="Arial"/>
          <w:sz w:val="22"/>
          <w:szCs w:val="22"/>
          <w:color w:val="auto"/>
        </w:rPr>
        <w:t>the Stock Units with the Designated Broker until the Shares are sold. The limitation shall apply to all Shares issued to Participant under the Plan, whether or not Participant remains in Continuous Service.</w:t>
      </w:r>
    </w:p>
    <w:p>
      <w:pPr>
        <w:spacing w:after="0" w:line="180" w:lineRule="exact"/>
        <w:rPr>
          <w:sz w:val="20"/>
          <w:szCs w:val="20"/>
          <w:color w:val="auto"/>
        </w:rPr>
      </w:pPr>
    </w:p>
    <w:p>
      <w:pPr>
        <w:jc w:val="both"/>
        <w:spacing w:after="0" w:line="243" w:lineRule="auto"/>
        <w:rPr>
          <w:sz w:val="20"/>
          <w:szCs w:val="20"/>
          <w:color w:val="auto"/>
        </w:rPr>
      </w:pPr>
      <w:r>
        <w:rPr>
          <w:rFonts w:ascii="Arial" w:cs="Arial" w:eastAsia="Arial" w:hAnsi="Arial"/>
          <w:sz w:val="19"/>
          <w:szCs w:val="19"/>
          <w:b w:val="1"/>
          <w:bCs w:val="1"/>
          <w:color w:val="auto"/>
        </w:rPr>
        <w:t>Forced Sale of Shares</w:t>
      </w:r>
      <w:r>
        <w:rPr>
          <w:rFonts w:ascii="Arial" w:cs="Arial" w:eastAsia="Arial" w:hAnsi="Arial"/>
          <w:sz w:val="19"/>
          <w:szCs w:val="19"/>
          <w:color w:val="auto"/>
        </w:rPr>
        <w:t>. The Company has the discretion to arrange for the sale of the Shares issued upon settlement of the Stock</w:t>
      </w:r>
      <w:r>
        <w:rPr>
          <w:rFonts w:ascii="Arial" w:cs="Arial" w:eastAsia="Arial" w:hAnsi="Arial"/>
          <w:sz w:val="19"/>
          <w:szCs w:val="19"/>
          <w:b w:val="1"/>
          <w:bCs w:val="1"/>
          <w:color w:val="auto"/>
        </w:rPr>
        <w:t xml:space="preserve"> </w:t>
      </w:r>
      <w:r>
        <w:rPr>
          <w:rFonts w:ascii="Arial" w:cs="Arial" w:eastAsia="Arial" w:hAnsi="Arial"/>
          <w:sz w:val="19"/>
          <w:szCs w:val="19"/>
          <w:color w:val="auto"/>
        </w:rPr>
        <w:t>Units, either immediately upon settlement or at any time thereafter. In any event, if Participant’s Continuous Service is terminated, Participant will be required to sell all Shares acquired upon settlement of the Stock Units within such time period as required by the Company or the SBV. Any Shares remaining in the brokerage account at the end of this period shall be sold by the Designated Broker (on Participant’s behalf and Participant hereby authorizes such sale). Participant agrees to sign any additional agreements, forms and/or consents that reasonably may be requested by the Company (or the Designated Broker) to effectuate the sale of Shares (including, without limitation, as to the transfer of the sale proceeds and other exchange control matters noted below) and shall otherwise cooperate with the Company with respect to such matters. Participant acknowledges that neither the Company nor the Designated Broker is under any obligation to arrange for the sale of Shares at any particular price and that broker’s fees and similar expenses may be incurred in any such sale. In any event, when the Shares are sold, the sale proceeds, less any withholding for Tax-Related Items, any broker’s fees or commissions, and any similar expenses of the sale, will be remitted to Participant in accordance with applicable exchange control laws and regulations.</w:t>
      </w:r>
    </w:p>
    <w:p>
      <w:pPr>
        <w:spacing w:after="0" w:line="207" w:lineRule="exact"/>
        <w:rPr>
          <w:sz w:val="20"/>
          <w:szCs w:val="20"/>
          <w:color w:val="auto"/>
        </w:rPr>
      </w:pPr>
    </w:p>
    <w:p>
      <w:pPr>
        <w:jc w:val="both"/>
        <w:spacing w:after="0" w:line="315" w:lineRule="auto"/>
        <w:rPr>
          <w:sz w:val="20"/>
          <w:szCs w:val="20"/>
          <w:color w:val="auto"/>
        </w:rPr>
      </w:pPr>
      <w:r>
        <w:rPr>
          <w:rFonts w:ascii="Arial" w:cs="Arial" w:eastAsia="Arial" w:hAnsi="Arial"/>
          <w:sz w:val="19"/>
          <w:szCs w:val="19"/>
          <w:b w:val="1"/>
          <w:bCs w:val="1"/>
          <w:color w:val="auto"/>
        </w:rPr>
        <w:t>Exchange Control Restrictions</w:t>
      </w:r>
      <w:r>
        <w:rPr>
          <w:rFonts w:ascii="Arial" w:cs="Arial" w:eastAsia="Arial" w:hAnsi="Arial"/>
          <w:sz w:val="19"/>
          <w:szCs w:val="19"/>
          <w:color w:val="auto"/>
        </w:rPr>
        <w:t>. Participant understands and agree that, pursuant to local exchange control requirements,</w:t>
      </w:r>
      <w:r>
        <w:rPr>
          <w:rFonts w:ascii="Arial" w:cs="Arial" w:eastAsia="Arial" w:hAnsi="Arial"/>
          <w:sz w:val="19"/>
          <w:szCs w:val="19"/>
          <w:b w:val="1"/>
          <w:bCs w:val="1"/>
          <w:color w:val="auto"/>
        </w:rPr>
        <w:t xml:space="preserve"> </w:t>
      </w:r>
      <w:r>
        <w:rPr>
          <w:rFonts w:ascii="Arial" w:cs="Arial" w:eastAsia="Arial" w:hAnsi="Arial"/>
          <w:sz w:val="19"/>
          <w:szCs w:val="19"/>
          <w:color w:val="auto"/>
        </w:rPr>
        <w:t>Participant will be required to repatriate to Vietnam the proceeds from the sale of the Shares acquired under the Plan and any cash dividends paid on the Shares. Participant further understands that such repatriation of proceeds may need to be effected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27</w:t>
      </w:r>
    </w:p>
    <w:p>
      <w:pPr>
        <w:sectPr>
          <w:pgSz w:w="11900" w:h="16838" w:orient="portrait"/>
          <w:cols w:equalWidth="0" w:num="1">
            <w:col w:w="11240"/>
          </w:cols>
          <w:pgMar w:left="320" w:top="1440" w:right="339" w:bottom="1440" w:gutter="0" w:footer="0" w:header="0"/>
        </w:sectPr>
      </w:pPr>
    </w:p>
    <w:bookmarkStart w:id="98" w:name="page99"/>
    <w:bookmarkEnd w:id="98"/>
    <w:p>
      <w:pPr>
        <w:jc w:val="both"/>
        <w:spacing w:after="0" w:line="312" w:lineRule="auto"/>
        <w:rPr>
          <w:sz w:val="20"/>
          <w:szCs w:val="20"/>
          <w:color w:val="auto"/>
        </w:rPr>
      </w:pPr>
      <w:r>
        <w:rPr>
          <w:rFonts w:ascii="Arial" w:cs="Arial" w:eastAsia="Arial" w:hAnsi="Arial"/>
          <w:sz w:val="19"/>
          <w:szCs w:val="19"/>
          <w:color w:val="auto"/>
        </w:rPr>
        <w:t>through a special bank account established by the Company or the Employer, and Participant hereby consents and agrees that any sale proceeds and cash dividends may be transferred to such special account by the Company or the Employer on Participant’s behalf prior to being delivered to Participant and that no interest shall be paid with respect to funds held in such account.</w:t>
      </w:r>
    </w:p>
    <w:p>
      <w:pPr>
        <w:spacing w:after="0" w:line="160" w:lineRule="exact"/>
        <w:rPr>
          <w:sz w:val="20"/>
          <w:szCs w:val="20"/>
          <w:color w:val="auto"/>
        </w:rPr>
      </w:pPr>
    </w:p>
    <w:p>
      <w:pPr>
        <w:jc w:val="both"/>
        <w:spacing w:after="0" w:line="292" w:lineRule="auto"/>
        <w:rPr>
          <w:sz w:val="20"/>
          <w:szCs w:val="20"/>
          <w:color w:val="auto"/>
        </w:rPr>
      </w:pPr>
      <w:r>
        <w:rPr>
          <w:rFonts w:ascii="Arial" w:cs="Arial" w:eastAsia="Arial" w:hAnsi="Arial"/>
          <w:sz w:val="19"/>
          <w:szCs w:val="19"/>
          <w:color w:val="auto"/>
        </w:rPr>
        <w:t>Participant further agrees to comply with any other requirements that may be imposed by the Company in the future in order to facilitate compliance with exchange control requirements in Vietnam. Participant acknowledges that the Company and the Employer are under no obligation to secure any particular exchange conversion rate and that the Company and the Employer may face delays in converting the proceeds to local currency due to exchange control restrictions. Participant agrees to bear any currency fluctuation risk between the time the Shares are sold and the time the net proceeds are converted into local currency and distributed to Participant. Participant further agrees to comply with any other requirements that may be imposed by the Company or the Employer in the future in order to facilitate compliance with exchange control requirements in Vietnam.</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 * * *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spacing w:after="0"/>
        <w:tabs>
          <w:tab w:leader="none" w:pos="3280" w:val="left"/>
        </w:tabs>
        <w:rPr>
          <w:sz w:val="20"/>
          <w:szCs w:val="20"/>
          <w:color w:val="auto"/>
        </w:rPr>
      </w:pPr>
      <w:r>
        <w:rPr>
          <w:rFonts w:ascii="Arial" w:cs="Arial" w:eastAsia="Arial" w:hAnsi="Arial"/>
          <w:sz w:val="22"/>
          <w:szCs w:val="22"/>
          <w:color w:val="auto"/>
        </w:rPr>
        <w:t>6728180-v4\GESDMS – May 2021</w:t>
      </w:r>
      <w:r>
        <w:rPr>
          <w:sz w:val="20"/>
          <w:szCs w:val="20"/>
          <w:color w:val="auto"/>
        </w:rPr>
        <w:tab/>
      </w:r>
      <w:r>
        <w:rPr>
          <w:rFonts w:ascii="Arial" w:cs="Arial" w:eastAsia="Arial" w:hAnsi="Arial"/>
          <w:sz w:val="19"/>
          <w:szCs w:val="19"/>
          <w:color w:val="auto"/>
        </w:rPr>
        <w:t>28</w:t>
      </w:r>
    </w:p>
    <w:p>
      <w:pPr>
        <w:sectPr>
          <w:pgSz w:w="11900" w:h="16838" w:orient="portrait"/>
          <w:cols w:equalWidth="0" w:num="1">
            <w:col w:w="11240"/>
          </w:cols>
          <w:pgMar w:left="320" w:top="1428" w:right="339" w:bottom="1440" w:gutter="0" w:footer="0" w:header="0"/>
        </w:sectPr>
      </w:pPr>
    </w:p>
    <w:bookmarkStart w:id="99" w:name="page100"/>
    <w:bookmarkEnd w:id="9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3940"/>
        <w:spacing w:after="0"/>
        <w:rPr>
          <w:sz w:val="20"/>
          <w:szCs w:val="20"/>
          <w:color w:val="auto"/>
        </w:rPr>
      </w:pPr>
      <w:r>
        <w:rPr>
          <w:rFonts w:ascii="Arial" w:cs="Arial" w:eastAsia="Arial" w:hAnsi="Arial"/>
          <w:sz w:val="18"/>
          <w:szCs w:val="18"/>
          <w:b w:val="1"/>
          <w:bCs w:val="1"/>
          <w:color w:val="auto"/>
        </w:rPr>
        <w:t xml:space="preserve">2000 </w:t>
      </w:r>
      <w:r>
        <w:rPr>
          <w:rFonts w:ascii="Arial" w:cs="Arial" w:eastAsia="Arial" w:hAnsi="Arial"/>
          <w:sz w:val="16"/>
          <w:szCs w:val="16"/>
          <w:b w:val="1"/>
          <w:bCs w:val="1"/>
          <w:color w:val="auto"/>
        </w:rPr>
        <w:t>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 xml:space="preserve">Enrollment Date: </w:t>
      </w:r>
      <w:r>
        <w:rPr>
          <w:rFonts w:ascii="Arial" w:cs="Arial" w:eastAsia="Arial" w:hAnsi="Arial"/>
          <w:sz w:val="14"/>
          <w:szCs w:val="14"/>
          <w:b w:val="1"/>
          <w:bCs w:val="1"/>
          <w:color w:val="auto"/>
        </w:rPr>
        <w:t>_</w:t>
      </w:r>
      <w:r>
        <w:rPr>
          <w:rFonts w:ascii="Arial" w:cs="Arial" w:eastAsia="Arial" w:hAnsi="Arial"/>
          <w:sz w:val="18"/>
          <w:szCs w:val="18"/>
          <w:b w:val="1"/>
          <w:bCs w:val="1"/>
          <w:color w:val="auto"/>
        </w:rPr>
        <w:t>I understand that this Subscription Agreement shall remain in effect throughout successive Offering Periods unless terminated or unless I am required to sign a new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927735</wp:posOffset>
            </wp:positionH>
            <wp:positionV relativeFrom="paragraph">
              <wp:posOffset>-185420</wp:posOffset>
            </wp:positionV>
            <wp:extent cx="25400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3">
                      <a:extLst>
                        <a:ext uri="{28A0092B-C50C-407E-A947-70E740481C1C}"/>
                      </a:extLst>
                    </a:blip>
                    <a:srcRect/>
                    <a:stretch>
                      <a:fillRect/>
                    </a:stretch>
                  </pic:blipFill>
                  <pic:spPr bwMode="auto">
                    <a:xfrm>
                      <a:off x="0" y="0"/>
                      <a:ext cx="254000" cy="8255"/>
                    </a:xfrm>
                    <a:prstGeom prst="rect">
                      <a:avLst/>
                    </a:prstGeom>
                    <a:noFill/>
                  </pic:spPr>
                </pic:pic>
              </a:graphicData>
            </a:graphic>
          </wp:anchor>
        </w:drawing>
      </w:r>
    </w:p>
    <w:p>
      <w:pPr>
        <w:spacing w:after="0" w:line="200" w:lineRule="exact"/>
        <w:rPr>
          <w:sz w:val="20"/>
          <w:szCs w:val="20"/>
          <w:color w:val="auto"/>
        </w:rPr>
      </w:pPr>
    </w:p>
    <w:p>
      <w:pPr>
        <w:spacing w:after="0" w:line="216" w:lineRule="exact"/>
        <w:rPr>
          <w:sz w:val="20"/>
          <w:szCs w:val="20"/>
          <w:color w:val="auto"/>
        </w:rPr>
      </w:pPr>
    </w:p>
    <w:p>
      <w:pPr>
        <w:jc w:val="both"/>
        <w:ind w:left="340" w:hanging="332"/>
        <w:spacing w:after="0" w:line="259" w:lineRule="auto"/>
        <w:tabs>
          <w:tab w:leader="none" w:pos="3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Inc. 2000 Employee Stock Purchase Plan, as may be amended and restated from time to time (the “Stock Purchase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213" w:lineRule="exact"/>
        <w:rPr>
          <w:rFonts w:ascii="Arial" w:cs="Arial" w:eastAsia="Arial" w:hAnsi="Arial"/>
          <w:sz w:val="18"/>
          <w:szCs w:val="18"/>
          <w:color w:val="auto"/>
        </w:rPr>
      </w:pPr>
    </w:p>
    <w:p>
      <w:pPr>
        <w:jc w:val="both"/>
        <w:ind w:left="340" w:hanging="332"/>
        <w:spacing w:after="0" w:line="289" w:lineRule="auto"/>
        <w:tabs>
          <w:tab w:leader="none" w:pos="340" w:val="left"/>
        </w:tabs>
        <w:numPr>
          <w:ilvl w:val="0"/>
          <w:numId w:val="42"/>
        </w:numPr>
        <w:rPr>
          <w:rFonts w:ascii="Arial" w:cs="Arial" w:eastAsia="Arial" w:hAnsi="Arial"/>
          <w:sz w:val="16"/>
          <w:szCs w:val="16"/>
          <w:color w:val="auto"/>
        </w:rPr>
      </w:pPr>
      <w:r>
        <w:rPr>
          <w:rFonts w:ascii="Arial" w:cs="Arial" w:eastAsia="Arial" w:hAnsi="Arial"/>
          <w:sz w:val="16"/>
          <w:szCs w:val="16"/>
          <w:color w:val="auto"/>
        </w:rPr>
        <w:t>I understand that the Stock Purchase Plan is a voluntary plan and I acknowledge that any Payroll deductions I elect to contribute to the Stock Purchase Plan are made on an entirely voluntary basis. I hereby authorize Payroll deductions from each paycheck in the amount of ______% (maximum 15%, in whole percentages only) of my Payroll on each payday during the Offering Period in accordance with the Stock Purchase Plan. (No fractional percentages are permitted.) I acknowledge that a lesser percentage of my Payroll than indicated by me may be contributed if necessary to comply with applicable laws (in particular applicable laws related to minimum salary requirements). Such deductions are to continue for succeeding Offering Periods until I give written instructions for a change in or termination of such deductions or my participation is otherwise terminated in accordance with the Stock Purchase Plan. I agree to execute a separate participation agreement with the Company or, if different, my employer (the “Employer”) or any other agreement or consent that may be required by the Employer or the Company in connection with this authorization, either now or in the future. I understand I will not be able to participate in the Stock Purchase Plan if I fail to execute any such consent or agreement.</w:t>
      </w:r>
    </w:p>
    <w:p>
      <w:pPr>
        <w:spacing w:after="0" w:line="193" w:lineRule="exact"/>
        <w:rPr>
          <w:rFonts w:ascii="Arial" w:cs="Arial" w:eastAsia="Arial" w:hAnsi="Arial"/>
          <w:sz w:val="16"/>
          <w:szCs w:val="16"/>
          <w:color w:val="auto"/>
        </w:rPr>
      </w:pPr>
    </w:p>
    <w:p>
      <w:pPr>
        <w:jc w:val="both"/>
        <w:ind w:left="340" w:hanging="332"/>
        <w:spacing w:after="0" w:line="271" w:lineRule="auto"/>
        <w:tabs>
          <w:tab w:leader="none" w:pos="3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withdraw from the Stock Purchase Plan by giving written notice to the Company for such purpose at least 15 days before the Purchase Date or unless my participation in the Stock Purchase Plan is otherwise terminated.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I understand that the duration of Offering Periods (including the commencement dates thereof) shall be subject to change by the Administrator in accordance with Sections 4 and 18 of the Stock Purchase Plan.</w:t>
      </w:r>
    </w:p>
    <w:p>
      <w:pPr>
        <w:spacing w:after="0" w:line="205" w:lineRule="exact"/>
        <w:rPr>
          <w:rFonts w:ascii="Arial" w:cs="Arial" w:eastAsia="Arial" w:hAnsi="Arial"/>
          <w:sz w:val="17"/>
          <w:szCs w:val="17"/>
          <w:color w:val="auto"/>
        </w:rPr>
      </w:pPr>
    </w:p>
    <w:p>
      <w:pPr>
        <w:ind w:left="340" w:hanging="332"/>
        <w:spacing w:after="0" w:line="308" w:lineRule="auto"/>
        <w:tabs>
          <w:tab w:leader="none" w:pos="3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173" w:lineRule="exact"/>
        <w:rPr>
          <w:rFonts w:ascii="Arial" w:cs="Arial" w:eastAsia="Arial" w:hAnsi="Arial"/>
          <w:sz w:val="17"/>
          <w:szCs w:val="17"/>
          <w:color w:val="auto"/>
        </w:rPr>
      </w:pPr>
    </w:p>
    <w:p>
      <w:pPr>
        <w:jc w:val="both"/>
        <w:ind w:left="340" w:hanging="332"/>
        <w:spacing w:after="0" w:line="257" w:lineRule="auto"/>
        <w:tabs>
          <w:tab w:leader="none" w:pos="3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understand that during subsequent Offering Periods my participation in the Stock Purchase Plan will continue to be governed by this Subscription Agreement, including the Addendum, and the Stock Purchase Plan. Further, I understand that at its discretion and to the extent permitted by the Stock Purchase Plan, the Company may amend the Stock Purchase Plan and/or this Subscription Agreement, and by continuing to participate in the Stock Purchase Plan, and without the need to provide affirmative consent, I agree to the terms and conditions of the amended Stock Purchase Plan and/or Subscription Agreement.</w:t>
      </w:r>
    </w:p>
    <w:p>
      <w:pPr>
        <w:spacing w:after="0" w:line="214" w:lineRule="exact"/>
        <w:rPr>
          <w:rFonts w:ascii="Arial" w:cs="Arial" w:eastAsia="Arial" w:hAnsi="Arial"/>
          <w:sz w:val="18"/>
          <w:szCs w:val="18"/>
          <w:color w:val="auto"/>
        </w:rPr>
      </w:pPr>
    </w:p>
    <w:p>
      <w:pPr>
        <w:jc w:val="both"/>
        <w:ind w:left="340" w:hanging="332"/>
        <w:spacing w:after="0" w:line="273" w:lineRule="auto"/>
        <w:tabs>
          <w:tab w:leader="none" w:pos="340" w:val="left"/>
        </w:tabs>
        <w:numPr>
          <w:ilvl w:val="0"/>
          <w:numId w:val="42"/>
        </w:numPr>
        <w:rPr>
          <w:rFonts w:ascii="Arial" w:cs="Arial" w:eastAsia="Arial" w:hAnsi="Arial"/>
          <w:sz w:val="17"/>
          <w:szCs w:val="17"/>
          <w:color w:val="auto"/>
        </w:rPr>
      </w:pPr>
      <w:r>
        <w:rPr>
          <w:rFonts w:ascii="Arial" w:cs="Arial" w:eastAsia="Arial" w:hAnsi="Arial"/>
          <w:sz w:val="17"/>
          <w:szCs w:val="17"/>
          <w:color w:val="auto"/>
        </w:rPr>
        <w:t>I acknowledge that, regardless of any action taken by the Company or the Employer, the ultimate liability for all income tax, social insurance, payroll tax, fringe benefits tax, payment on account or other tax-related items related to my participation in the Stock Purchase Plan and legally applicable or deemed applicable to me (“Tax-Related Items”) is and remains my responsibility and may exceed the amount, if any, actually withheld by the Company or the Employer. I further acknowledge that the Company and/or the Employer (i)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tabs>
          <w:tab w:leader="none" w:pos="3080" w:val="left"/>
        </w:tabs>
        <w:rPr>
          <w:sz w:val="20"/>
          <w:szCs w:val="20"/>
          <w:color w:val="auto"/>
        </w:rPr>
      </w:pPr>
      <w:r>
        <w:rPr>
          <w:rFonts w:ascii="Arial" w:cs="Arial" w:eastAsia="Arial" w:hAnsi="Arial"/>
          <w:sz w:val="20"/>
          <w:szCs w:val="20"/>
          <w:b w:val="1"/>
          <w:bCs w:val="1"/>
          <w:i w:val="1"/>
          <w:iCs w:val="1"/>
          <w:color w:val="auto"/>
        </w:rPr>
        <w:t>Email to</w:t>
      </w:r>
      <w:r>
        <w:rPr>
          <w:rFonts w:ascii="Arial" w:cs="Arial" w:eastAsia="Arial" w:hAnsi="Arial"/>
          <w:sz w:val="20"/>
          <w:szCs w:val="20"/>
          <w:color w:val="auto"/>
        </w:rPr>
        <w:t>:</w:t>
      </w:r>
      <w:r>
        <w:rPr>
          <w:rFonts w:ascii="Arial" w:cs="Arial" w:eastAsia="Arial" w:hAnsi="Arial"/>
          <w:sz w:val="20"/>
          <w:szCs w:val="20"/>
          <w:b w:val="1"/>
          <w:bCs w:val="1"/>
          <w:i w:val="1"/>
          <w:iCs w:val="1"/>
          <w:color w:val="auto"/>
        </w:rPr>
        <w:t xml:space="preserve"> </w:t>
      </w:r>
      <w:r>
        <w:rPr>
          <w:rFonts w:ascii="Arial" w:cs="Arial" w:eastAsia="Arial" w:hAnsi="Arial"/>
          <w:sz w:val="20"/>
          <w:szCs w:val="20"/>
          <w:u w:val="single" w:color="auto"/>
          <w:color w:val="0000FF"/>
        </w:rPr>
        <w:t>stockadmin@marvell.com</w:t>
      </w:r>
      <w:r>
        <w:rPr>
          <w:sz w:val="20"/>
          <w:szCs w:val="20"/>
          <w:color w:val="auto"/>
        </w:rPr>
        <w:tab/>
      </w:r>
      <w:r>
        <w:rPr>
          <w:rFonts w:ascii="Arial" w:cs="Arial" w:eastAsia="Arial" w:hAnsi="Arial"/>
          <w:sz w:val="18"/>
          <w:szCs w:val="18"/>
          <w:b w:val="1"/>
          <w:bCs w:val="1"/>
          <w:i w:val="1"/>
          <w:iCs w:val="1"/>
          <w:color w:val="auto"/>
        </w:rPr>
        <w:t>Fax to</w:t>
      </w:r>
      <w:r>
        <w:rPr>
          <w:rFonts w:ascii="Arial" w:cs="Arial" w:eastAsia="Arial" w:hAnsi="Arial"/>
          <w:sz w:val="18"/>
          <w:szCs w:val="18"/>
          <w:color w:val="auto"/>
        </w:rPr>
        <w:t>: (408) 222-9300</w:t>
      </w:r>
    </w:p>
    <w:p>
      <w:pPr>
        <w:sectPr>
          <w:pgSz w:w="11900" w:h="16838" w:orient="portrait"/>
          <w:cols w:equalWidth="0" w:num="1">
            <w:col w:w="11240"/>
          </w:cols>
          <w:pgMar w:left="320" w:top="769" w:right="339" w:bottom="1440" w:gutter="0" w:footer="0" w:header="0"/>
        </w:sectPr>
      </w:pPr>
    </w:p>
    <w:bookmarkStart w:id="100" w:name="page101"/>
    <w:bookmarkEnd w:id="100"/>
    <w:p>
      <w:pPr>
        <w:jc w:val="both"/>
        <w:ind w:left="340"/>
        <w:spacing w:after="0" w:line="257" w:lineRule="auto"/>
        <w:rPr>
          <w:sz w:val="20"/>
          <w:szCs w:val="20"/>
          <w:color w:val="auto"/>
        </w:rPr>
      </w:pPr>
      <w:r>
        <w:rPr>
          <w:rFonts w:ascii="Arial" w:cs="Arial" w:eastAsia="Arial" w:hAnsi="Arial"/>
          <w:sz w:val="18"/>
          <w:szCs w:val="18"/>
          <w:color w:val="auto"/>
        </w:rPr>
        <w:t>Purchase Plan, the subsequent sale of shares of Common Stock acquired under the Stock Purchase Plan and the receipt of any dividends; and (ii) do not commit to and are under no obligation to structure the terms of the grant or any aspect of the Purchase Right to reduce or eliminate my liability for Tax-Related Items or achieve any particular tax result. Further, I acknowledges that if I am subject to Tax-Related Items in more than one jurisdiction, the Company and/or the Employer (or former employer, as applicable) may be required to withhold or account for Tax-Related Items in more than one jurisdiction.</w:t>
      </w:r>
    </w:p>
    <w:p>
      <w:pPr>
        <w:spacing w:after="0" w:line="215" w:lineRule="exact"/>
        <w:rPr>
          <w:sz w:val="20"/>
          <w:szCs w:val="20"/>
          <w:color w:val="auto"/>
        </w:rPr>
      </w:pPr>
    </w:p>
    <w:p>
      <w:pPr>
        <w:jc w:val="both"/>
        <w:ind w:left="340" w:hanging="26"/>
        <w:spacing w:after="0" w:line="271" w:lineRule="auto"/>
        <w:rPr>
          <w:sz w:val="20"/>
          <w:szCs w:val="20"/>
          <w:color w:val="auto"/>
        </w:rPr>
      </w:pPr>
      <w:r>
        <w:rPr>
          <w:rFonts w:ascii="Arial" w:cs="Arial" w:eastAsia="Arial" w:hAnsi="Arial"/>
          <w:sz w:val="17"/>
          <w:szCs w:val="17"/>
          <w:color w:val="auto"/>
        </w:rPr>
        <w:t>Prior to any relevant taxable or tax withholding event, as applicable, I will make adequate arrangements satisfactory to the Company and/or the Employer to satisfy all Tax-Related Items. In this regard, I authorize the Company and/or the Employer, or their respective agents, at their discretion, to satisfy their withholding obligations, if any, with regard to all applicable Tax-Related Items by one or a combination of the following: (a) withholding from my wages or other cash compensation payable to me by the Company and/or the Employer; (b) withholding from proceeds of the sale of shares of Common Stock acquired upon exercise of the Purchase Right either through a voluntary sale or through a mandatory sale arranged by the Company (on my behalf pursuant to this authorization); or (c) withholding shares of Common Stock to be issued upon exercise of the Purchase Right, provided, however, that if I am a Section 16 officer of the Company, withholding shares of Common Stock will be subject to approval by the Board to the extent required under applicable law.</w:t>
      </w:r>
    </w:p>
    <w:p>
      <w:pPr>
        <w:spacing w:after="0" w:line="205" w:lineRule="exact"/>
        <w:rPr>
          <w:sz w:val="20"/>
          <w:szCs w:val="20"/>
          <w:color w:val="auto"/>
        </w:rPr>
      </w:pPr>
    </w:p>
    <w:p>
      <w:pPr>
        <w:jc w:val="both"/>
        <w:ind w:left="340" w:hanging="81"/>
        <w:spacing w:after="0" w:line="254" w:lineRule="auto"/>
        <w:rPr>
          <w:sz w:val="20"/>
          <w:szCs w:val="20"/>
          <w:color w:val="auto"/>
        </w:rPr>
      </w:pPr>
      <w:r>
        <w:rPr>
          <w:rFonts w:ascii="Arial" w:cs="Arial" w:eastAsia="Arial" w:hAnsi="Arial"/>
          <w:sz w:val="18"/>
          <w:szCs w:val="18"/>
          <w:color w:val="auto"/>
        </w:rPr>
        <w:t>The Company may withhold or account for Tax-Related Items by considering statutory or other applicable withholding rates, including minimum or maximum rates applicable in my jurisdiction(s). In the event of over-withholding, I may receive a refund of any over-withheld amount in cash with no entitlement to the Common Stock equivalent, or if not refunded, I may be able to seek a refund from the local tax authorities. In the event of under-withholding, I may be required to pay additional Tax-Related Items directly to the applicable tax authority. If the obligation for Tax-Related Items is satisfied by withholding shares of Common Stock, for tax purposes, I will be deemed to have been issued the full number of shares of Common Stock subject to the exercised Purchase Right, notwithstanding that a number of shares of Common Stock is held back solely for the purpose of paying the Tax-Related Items.</w:t>
      </w:r>
    </w:p>
    <w:p>
      <w:pPr>
        <w:spacing w:after="0" w:line="222" w:lineRule="exact"/>
        <w:rPr>
          <w:sz w:val="20"/>
          <w:szCs w:val="20"/>
          <w:color w:val="auto"/>
        </w:rPr>
      </w:pPr>
    </w:p>
    <w:p>
      <w:pPr>
        <w:jc w:val="both"/>
        <w:ind w:left="340" w:hanging="139"/>
        <w:spacing w:after="0" w:line="279" w:lineRule="auto"/>
        <w:rPr>
          <w:sz w:val="20"/>
          <w:szCs w:val="20"/>
          <w:color w:val="auto"/>
        </w:rPr>
      </w:pPr>
      <w:r>
        <w:rPr>
          <w:rFonts w:ascii="Arial" w:cs="Arial" w:eastAsia="Arial" w:hAnsi="Arial"/>
          <w:sz w:val="17"/>
          <w:szCs w:val="17"/>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make satisfactory arrangements to satisfy applicable withholding obligations for Tax-Related Items.</w:t>
      </w:r>
    </w:p>
    <w:p>
      <w:pPr>
        <w:spacing w:after="0" w:line="198" w:lineRule="exact"/>
        <w:rPr>
          <w:sz w:val="20"/>
          <w:szCs w:val="20"/>
          <w:color w:val="auto"/>
        </w:rPr>
      </w:pPr>
    </w:p>
    <w:p>
      <w:pPr>
        <w:jc w:val="both"/>
        <w:ind w:left="340" w:hanging="332"/>
        <w:spacing w:after="0" w:line="283" w:lineRule="auto"/>
        <w:tabs>
          <w:tab w:leader="none" w:pos="340" w:val="left"/>
        </w:tabs>
        <w:numPr>
          <w:ilvl w:val="0"/>
          <w:numId w:val="43"/>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to the extent provided in the Stock Purchase Plan; (b) the grant of the Purchase Right is exceptional, voluntary and occasional and does not create any contractual or other right to receive future Purchase Rights, or benefits in lieu of Purchase Rights, even if Purchase Rights have been granted in the past; (c) all decisions with respect to future grants of Purchase Rights, if any, will be at the sole discretion of the Company; (d) my participation in the Stock Purchase Plan shall not create a right to further employment or be interpreted as forming or amending an employment or service relationship with the Company, the Employer or any other Parent or Subsidiary and shall not interfere with the ability of the Employer to terminate my employment or other service relationship (if any) at any time; (e) I am voluntarily participating in the Stock Purchase Plan; (f) the Purchase Right and the shares of Common Stock subject to the Purchase Right, and the income from and value of same, are not intended to replace any pension rights or compensation;</w:t>
      </w:r>
    </w:p>
    <w:p>
      <w:pPr>
        <w:spacing w:after="0" w:line="5" w:lineRule="exact"/>
        <w:rPr>
          <w:rFonts w:ascii="Arial" w:cs="Arial" w:eastAsia="Arial" w:hAnsi="Arial"/>
          <w:sz w:val="16"/>
          <w:szCs w:val="16"/>
          <w:color w:val="auto"/>
        </w:rPr>
      </w:pPr>
    </w:p>
    <w:p>
      <w:pPr>
        <w:jc w:val="both"/>
        <w:ind w:left="340"/>
        <w:spacing w:after="0" w:line="267" w:lineRule="auto"/>
        <w:rPr>
          <w:rFonts w:ascii="Arial" w:cs="Arial" w:eastAsia="Arial" w:hAnsi="Arial"/>
          <w:sz w:val="16"/>
          <w:szCs w:val="16"/>
          <w:color w:val="auto"/>
        </w:rPr>
      </w:pPr>
      <w:r>
        <w:rPr>
          <w:rFonts w:ascii="Arial" w:cs="Arial" w:eastAsia="Arial" w:hAnsi="Arial"/>
          <w:sz w:val="17"/>
          <w:szCs w:val="17"/>
          <w:color w:val="auto"/>
        </w:rPr>
        <w:t>(g) the Purchase Right and the shares of Common Stock subject to the Purchase Right, and the income from and value of same, are not part of normal or expected compensation or salary for any purpose including, but not limited to, calculating any severance, resignation, termination, redundancy, dismissal, end of service payments, holiday pay, bonuses, long-service awards, leave-related payments, holiday top-up, pension or retirement, or welfare benefits or similar mandatory payments; (h) unless otherwise agreed in writing with the Company, the Purchase Right the shares of Common Stock subject to the Purchase Right, and the income from and value of same, are not granted in consideration for, or in connection with, any service I may provide as a director of any Parent or Subsidiary; (i) the future value of the shares of Common Stock purchased or to be purchased under the Stock Purchase Plan is unknown, indeterminable, and cannot be predicted with certainty; (j) if shares of Common Stock are purchased for me on a Purchase Date, the value of those shares of Common Stock acquired under the Stock Purchase Plan may increase or decrease in value, even below the purchase price; (k) no claim or entitlement to compensation or damages shall arise from forfeiture of the Purchase Right resulting from (i) the application of any recoupment or recovery policy adopted by the Company or otherwise required by law, or (ii) termination of my Continuous Employment (for any reason whatsoever, whether or not later found invalid or in breach of local labor laws in the jurisdiction where I am employed or the terms of my employment contract, if any); (l) in the event of termination of my Continuous Employment (regardless of the reason for the termination and whether or not such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01" w:name="page102"/>
    <w:bookmarkEnd w:id="101"/>
    <w:p>
      <w:pPr>
        <w:jc w:val="both"/>
        <w:ind w:left="340"/>
        <w:spacing w:after="0" w:line="287" w:lineRule="auto"/>
        <w:rPr>
          <w:sz w:val="20"/>
          <w:szCs w:val="20"/>
          <w:color w:val="auto"/>
        </w:rPr>
      </w:pPr>
      <w:r>
        <w:rPr>
          <w:rFonts w:ascii="Arial" w:cs="Arial" w:eastAsia="Arial" w:hAnsi="Arial"/>
          <w:sz w:val="16"/>
          <w:szCs w:val="16"/>
          <w:color w:val="auto"/>
        </w:rPr>
        <w:t>termination is later found to be invalid or in breach of employment laws in the jurisdiction where I am employed or the terms of my employment contract, if any), my right to participate in and to purchase shares of Common Stock under the Stock Purchase Plan, if any, will terminate effective as of the date that I am no longer actively providing services to the Employer, the Company or any other Parent or Subsidiary, and will not be extended by any notice period (e.g., the period of my Continuous Employment would not include any contractual notice period or any period of “garden leave” or similar period mandated under local law or my employment contract, if any); the Administrator shall have the exclusive discretion to determine when I am no longer actively employed for purposes of my participation in the Stock Purchase Plan (including whether I may still be considered to be providing services while on a leave of absence); (m) unless otherwise provided in the Stock Purchase Plan or by the Company in its discretion, the Purchase Right and the benefits under the Stock Purchase Plan, if any, will not automatically transfer to another company in the case of a merger, take-over, or transfer of liability; and (n) neither the Company, the Employer, nor any other Parent or Subsidiary shall be liable for any foreign exchange rate fluctuation between my local currency (if not the United States dollar) and the United States dollar that may affect the value of the Purchase Right or of any amounts due to me pursuant to the purchase of shares or the subsequent sale of any shares purchased under the Stock Purchase Plan.</w:t>
      </w:r>
    </w:p>
    <w:p>
      <w:pPr>
        <w:spacing w:after="0" w:line="199" w:lineRule="exact"/>
        <w:rPr>
          <w:sz w:val="20"/>
          <w:szCs w:val="20"/>
          <w:color w:val="auto"/>
        </w:rPr>
      </w:pPr>
    </w:p>
    <w:p>
      <w:pPr>
        <w:jc w:val="both"/>
        <w:ind w:left="340" w:hanging="332"/>
        <w:spacing w:after="0" w:line="286" w:lineRule="auto"/>
        <w:tabs>
          <w:tab w:leader="none" w:pos="340"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Company is not providing any tax, legal, or financial advice, nor is the Company making any recommendations regarding my participation in the Stock Purchase Plan, or my acquisition or sale of the underlying shares of Common Stock. I should consult with my own personal tax, legal, and financial advisors regarding my participation in the Stock Purchase Plan before taking any action related to the Stock Purchase Plan.</w:t>
      </w:r>
    </w:p>
    <w:p>
      <w:pPr>
        <w:spacing w:after="0" w:line="188" w:lineRule="exact"/>
        <w:rPr>
          <w:rFonts w:ascii="Arial" w:cs="Arial" w:eastAsia="Arial" w:hAnsi="Arial"/>
          <w:sz w:val="17"/>
          <w:szCs w:val="17"/>
          <w:color w:val="auto"/>
        </w:rPr>
      </w:pPr>
    </w:p>
    <w:p>
      <w:pPr>
        <w:jc w:val="both"/>
        <w:ind w:left="340" w:hanging="332"/>
        <w:spacing w:after="0" w:line="274" w:lineRule="auto"/>
        <w:tabs>
          <w:tab w:leader="none" w:pos="340" w:val="left"/>
        </w:tabs>
        <w:numPr>
          <w:ilvl w:val="0"/>
          <w:numId w:val="44"/>
        </w:numPr>
        <w:rPr>
          <w:rFonts w:ascii="Arial" w:cs="Arial" w:eastAsia="Arial" w:hAnsi="Arial"/>
          <w:sz w:val="17"/>
          <w:szCs w:val="17"/>
          <w:color w:val="auto"/>
        </w:rPr>
      </w:pPr>
      <w:r>
        <w:rPr>
          <w:rFonts w:ascii="Arial" w:cs="Arial" w:eastAsia="Arial" w:hAnsi="Arial"/>
          <w:sz w:val="17"/>
          <w:szCs w:val="17"/>
          <w:b w:val="1"/>
          <w:bCs w:val="1"/>
          <w:color w:val="auto"/>
        </w:rPr>
        <w:t>Data Collection and Usage</w:t>
      </w:r>
      <w:r>
        <w:rPr>
          <w:rFonts w:ascii="Arial" w:cs="Arial" w:eastAsia="Arial" w:hAnsi="Arial"/>
          <w:sz w:val="17"/>
          <w:szCs w:val="17"/>
          <w:b w:val="1"/>
          <w:bCs w:val="1"/>
          <w:i w:val="1"/>
          <w:iCs w:val="1"/>
          <w:color w:val="auto"/>
        </w:rPr>
        <w:t>. The Company and the Employer collect, process and use certain personal information about me, including, but not</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limited to, my name, home address, telephone number, email address, date of birth, social insurance number, passport or other identification number, salary, nationality, job title, any shares of Common Stock or directorships held in the Company, details of all Purchase Rights or any other entitlement to shares of Common Stock or equivalent benefits awarded, canceled, exercised, vested, unvested or outstanding in my favor (“Data”), for purposes of implementing, administering and managing the Stock Purchase Plan. The legal basis, where required, for the processing of Data is my consent.</w:t>
      </w:r>
    </w:p>
    <w:p>
      <w:pPr>
        <w:spacing w:after="0" w:line="200" w:lineRule="exact"/>
        <w:rPr>
          <w:sz w:val="20"/>
          <w:szCs w:val="20"/>
          <w:color w:val="auto"/>
        </w:rPr>
      </w:pPr>
    </w:p>
    <w:p>
      <w:pPr>
        <w:jc w:val="both"/>
        <w:ind w:left="340"/>
        <w:spacing w:after="0" w:line="256" w:lineRule="auto"/>
        <w:rPr>
          <w:sz w:val="20"/>
          <w:szCs w:val="20"/>
          <w:color w:val="auto"/>
        </w:rPr>
      </w:pPr>
      <w:r>
        <w:rPr>
          <w:rFonts w:ascii="Arial" w:cs="Arial" w:eastAsia="Arial" w:hAnsi="Arial"/>
          <w:sz w:val="18"/>
          <w:szCs w:val="18"/>
          <w:b w:val="1"/>
          <w:bCs w:val="1"/>
          <w:color w:val="auto"/>
        </w:rPr>
        <w:t>Stock Plan Administration Service Providers</w:t>
      </w:r>
      <w:r>
        <w:rPr>
          <w:rFonts w:ascii="Arial" w:cs="Arial" w:eastAsia="Arial" w:hAnsi="Arial"/>
          <w:sz w:val="18"/>
          <w:szCs w:val="18"/>
          <w:b w:val="1"/>
          <w:bCs w:val="1"/>
          <w:i w:val="1"/>
          <w:iCs w:val="1"/>
          <w:color w:val="auto"/>
        </w:rPr>
        <w:t>. The Company transfers Data to E*TRADE Financial Corporate Services, Inc. and certain of its</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affiliated companies (the “Designated Broker”), an independent service provider based in the United States, which is assisting the Company with the implementation, administration and management of the Stock Purchase Plan. I may be asked to agree on separate terms and data processing practices with the Designated Broker, with such agreement being a condition to the ability to participate in the Stock Purchase Plan. In the future, the Company may select a different service provider or additional service providers and share Data with such other provider(s) serving in a similar manner.</w:t>
      </w:r>
    </w:p>
    <w:p>
      <w:pPr>
        <w:spacing w:after="0" w:line="214" w:lineRule="exact"/>
        <w:rPr>
          <w:sz w:val="20"/>
          <w:szCs w:val="20"/>
          <w:color w:val="auto"/>
        </w:rPr>
      </w:pPr>
    </w:p>
    <w:p>
      <w:pPr>
        <w:jc w:val="both"/>
        <w:ind w:left="340" w:hanging="143"/>
        <w:spacing w:after="0" w:line="271" w:lineRule="auto"/>
        <w:rPr>
          <w:sz w:val="20"/>
          <w:szCs w:val="20"/>
          <w:color w:val="auto"/>
        </w:rPr>
      </w:pPr>
      <w:r>
        <w:rPr>
          <w:rFonts w:ascii="Arial" w:cs="Arial" w:eastAsia="Arial" w:hAnsi="Arial"/>
          <w:sz w:val="17"/>
          <w:szCs w:val="17"/>
          <w:b w:val="1"/>
          <w:bCs w:val="1"/>
          <w:color w:val="auto"/>
        </w:rPr>
        <w:t>International Data Transfers</w:t>
      </w:r>
      <w:r>
        <w:rPr>
          <w:rFonts w:ascii="Arial" w:cs="Arial" w:eastAsia="Arial" w:hAnsi="Arial"/>
          <w:sz w:val="17"/>
          <w:szCs w:val="17"/>
          <w:b w:val="1"/>
          <w:bCs w:val="1"/>
          <w:i w:val="1"/>
          <w:iCs w:val="1"/>
          <w:color w:val="auto"/>
        </w:rPr>
        <w:t>. If I reside, work or am otherwise located outside of the United States, Data will be transferred from my country to the</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United States, where the Company and the Designated Broker, respectively, are based. My country or jurisdiction may have different data privacy laws and protections than the United States. If I am located in the European Union (“EU”) and/or European Economic Area (“EEA”), I understand and acknowledge that the United States are not subject to an unlimited adequacy finding by the European Commission and might not provide a level of protection of personal data equivalent to the level of protection in my country. As a result, in the absence of the implementation of appropriate safeguards such as the Standard Contractual Clauses or binding corporate rules adopted by the EU Commission, the processing of personal data might not be subject to substantive data processing principles or supervision by data protection authorities. In addition, data subjects might have no, or less, enforceable rights regarding the processing of my personal data. The Company’s legal basis for the transfer of Data, where required, is my consent.</w:t>
      </w:r>
    </w:p>
    <w:p>
      <w:pPr>
        <w:spacing w:after="0" w:line="201" w:lineRule="exact"/>
        <w:rPr>
          <w:sz w:val="20"/>
          <w:szCs w:val="20"/>
          <w:color w:val="auto"/>
        </w:rPr>
      </w:pPr>
    </w:p>
    <w:p>
      <w:pPr>
        <w:jc w:val="both"/>
        <w:ind w:left="340" w:hanging="89"/>
        <w:spacing w:after="0" w:line="266" w:lineRule="auto"/>
        <w:rPr>
          <w:sz w:val="20"/>
          <w:szCs w:val="20"/>
          <w:color w:val="auto"/>
        </w:rPr>
      </w:pPr>
      <w:r>
        <w:rPr>
          <w:rFonts w:ascii="Arial" w:cs="Arial" w:eastAsia="Arial" w:hAnsi="Arial"/>
          <w:sz w:val="18"/>
          <w:szCs w:val="18"/>
          <w:b w:val="1"/>
          <w:bCs w:val="1"/>
          <w:color w:val="auto"/>
        </w:rPr>
        <w:t xml:space="preserve">Data Retention. </w:t>
      </w:r>
      <w:r>
        <w:rPr>
          <w:rFonts w:ascii="Arial" w:cs="Arial" w:eastAsia="Arial" w:hAnsi="Arial"/>
          <w:sz w:val="18"/>
          <w:szCs w:val="18"/>
          <w:b w:val="1"/>
          <w:bCs w:val="1"/>
          <w:i w:val="1"/>
          <w:iCs w:val="1"/>
          <w:color w:val="auto"/>
        </w:rPr>
        <w:t>The Company will hold and use Data only as long as is necessary to implement, administer and manage my participation in the</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Stock Purchase Plan, or as required to comply with legal or regulatory obligations, including under tax, securities, exchange control, labor and other laws.</w:t>
      </w:r>
    </w:p>
    <w:p>
      <w:pPr>
        <w:spacing w:after="0" w:line="203" w:lineRule="exact"/>
        <w:rPr>
          <w:sz w:val="20"/>
          <w:szCs w:val="20"/>
          <w:color w:val="auto"/>
        </w:rPr>
      </w:pPr>
    </w:p>
    <w:p>
      <w:pPr>
        <w:ind w:left="200"/>
        <w:spacing w:after="0"/>
        <w:rPr>
          <w:sz w:val="20"/>
          <w:szCs w:val="20"/>
          <w:color w:val="auto"/>
        </w:rPr>
      </w:pPr>
      <w:r>
        <w:rPr>
          <w:rFonts w:ascii="Arial" w:cs="Arial" w:eastAsia="Arial" w:hAnsi="Arial"/>
          <w:sz w:val="16"/>
          <w:szCs w:val="16"/>
          <w:b w:val="1"/>
          <w:bCs w:val="1"/>
          <w:color w:val="auto"/>
        </w:rPr>
        <w:t>Voluntariness and Consequences of Consent Denial or Withdrawal</w:t>
      </w:r>
      <w:r>
        <w:rPr>
          <w:rFonts w:ascii="Arial" w:cs="Arial" w:eastAsia="Arial" w:hAnsi="Arial"/>
          <w:sz w:val="16"/>
          <w:szCs w:val="16"/>
          <w:b w:val="1"/>
          <w:bCs w:val="1"/>
          <w:i w:val="1"/>
          <w:iCs w:val="1"/>
          <w:color w:val="auto"/>
        </w:rPr>
        <w:t>. Participation in the Stock Purchase Plan is voluntary and I am providing the</w:t>
      </w:r>
    </w:p>
    <w:p>
      <w:pPr>
        <w:spacing w:after="0" w:line="77" w:lineRule="exact"/>
        <w:rPr>
          <w:sz w:val="20"/>
          <w:szCs w:val="20"/>
          <w:color w:val="auto"/>
        </w:rPr>
      </w:pPr>
    </w:p>
    <w:p>
      <w:pPr>
        <w:jc w:val="both"/>
        <w:ind w:left="340"/>
        <w:spacing w:after="0" w:line="259" w:lineRule="auto"/>
        <w:rPr>
          <w:sz w:val="20"/>
          <w:szCs w:val="20"/>
          <w:color w:val="auto"/>
        </w:rPr>
      </w:pPr>
      <w:r>
        <w:rPr>
          <w:rFonts w:ascii="Arial" w:cs="Arial" w:eastAsia="Arial" w:hAnsi="Arial"/>
          <w:sz w:val="18"/>
          <w:szCs w:val="18"/>
          <w:b w:val="1"/>
          <w:bCs w:val="1"/>
          <w:i w:val="1"/>
          <w:iCs w:val="1"/>
          <w:color w:val="auto"/>
        </w:rPr>
        <w:t>consents herein on a purely voluntary basis. I may withdraw any such consent at any time with future effect for any or no reason. If I do not consent, or if I later seek to revoke the consent, my salary from or employment with the Employer will not be affected; the only consequence of refusing or withdrawing consent is that the Company would not be able to grant me Purchase Rights under the Stock Purchase Plan or other equity awards 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02" w:name="page103"/>
    <w:bookmarkEnd w:id="102"/>
    <w:p>
      <w:pPr>
        <w:ind w:left="340"/>
        <w:spacing w:after="0" w:line="277" w:lineRule="auto"/>
        <w:rPr>
          <w:sz w:val="20"/>
          <w:szCs w:val="20"/>
          <w:color w:val="auto"/>
        </w:rPr>
      </w:pPr>
      <w:r>
        <w:rPr>
          <w:rFonts w:ascii="Arial" w:cs="Arial" w:eastAsia="Arial" w:hAnsi="Arial"/>
          <w:sz w:val="18"/>
          <w:szCs w:val="18"/>
          <w:b w:val="1"/>
          <w:bCs w:val="1"/>
          <w:i w:val="1"/>
          <w:iCs w:val="1"/>
          <w:color w:val="auto"/>
        </w:rPr>
        <w:t>administer or maintain such awards. For more information on the consequences of refusal to consent or withdrawal of consent, I should contact my local human resources representative.</w:t>
      </w:r>
    </w:p>
    <w:p>
      <w:pPr>
        <w:spacing w:after="0" w:line="193" w:lineRule="exact"/>
        <w:rPr>
          <w:sz w:val="20"/>
          <w:szCs w:val="20"/>
          <w:color w:val="auto"/>
        </w:rPr>
      </w:pPr>
    </w:p>
    <w:p>
      <w:pPr>
        <w:jc w:val="both"/>
        <w:ind w:left="340" w:hanging="116"/>
        <w:spacing w:after="0" w:line="298" w:lineRule="auto"/>
        <w:rPr>
          <w:sz w:val="20"/>
          <w:szCs w:val="20"/>
          <w:color w:val="auto"/>
        </w:rPr>
      </w:pPr>
      <w:r>
        <w:rPr>
          <w:rFonts w:ascii="Arial" w:cs="Arial" w:eastAsia="Arial" w:hAnsi="Arial"/>
          <w:sz w:val="16"/>
          <w:szCs w:val="16"/>
          <w:b w:val="1"/>
          <w:bCs w:val="1"/>
          <w:color w:val="auto"/>
        </w:rPr>
        <w:t>Data Subject Rights</w:t>
      </w:r>
      <w:r>
        <w:rPr>
          <w:rFonts w:ascii="Arial" w:cs="Arial" w:eastAsia="Arial" w:hAnsi="Arial"/>
          <w:sz w:val="16"/>
          <w:szCs w:val="16"/>
          <w:b w:val="1"/>
          <w:bCs w:val="1"/>
          <w:i w:val="1"/>
          <w:iCs w:val="1"/>
          <w:color w:val="auto"/>
        </w:rPr>
        <w:t>. I may have a number of rights under data privacy laws in my jurisdiction. Depending on where I am based, such rights may</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include the right to (i) request access to or copies of Data the Company processes, (ii) rectify or amend incorrect or incomplete Data, (iii) delete Data, (iv) request restrictions on processing of Data, (v) restrict the portability of Data, (vi) lodge complaints with competent authorities in my jurisdiction, and/or (vii) receive a list with the names and addresses of any potential recipients of Data. To receive clarification regarding these rights or to exercise these rights, I can contact my local human resources representative.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143510</wp:posOffset>
            </wp:positionV>
            <wp:extent cx="7140575" cy="60007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4">
                      <a:extLst>
                        <a:ext uri="{28A0092B-C50C-407E-A947-70E740481C1C}"/>
                      </a:extLst>
                    </a:blip>
                    <a:srcRect/>
                    <a:stretch>
                      <a:fillRect/>
                    </a:stretch>
                  </pic:blipFill>
                  <pic:spPr bwMode="auto">
                    <a:xfrm>
                      <a:off x="0" y="0"/>
                      <a:ext cx="7140575" cy="600075"/>
                    </a:xfrm>
                    <a:prstGeom prst="rect">
                      <a:avLst/>
                    </a:prstGeom>
                    <a:noFill/>
                  </pic:spPr>
                </pic:pic>
              </a:graphicData>
            </a:graphic>
          </wp:anchor>
        </w:drawing>
      </w:r>
    </w:p>
    <w:p>
      <w:pPr>
        <w:spacing w:after="0" w:line="228" w:lineRule="exact"/>
        <w:rPr>
          <w:sz w:val="20"/>
          <w:szCs w:val="20"/>
          <w:color w:val="auto"/>
        </w:rPr>
      </w:pPr>
    </w:p>
    <w:p>
      <w:pPr>
        <w:jc w:val="both"/>
        <w:ind w:left="420" w:right="60" w:hanging="103"/>
        <w:spacing w:after="0" w:line="329" w:lineRule="auto"/>
        <w:rPr>
          <w:sz w:val="20"/>
          <w:szCs w:val="20"/>
          <w:color w:val="auto"/>
        </w:rPr>
      </w:pPr>
      <w:r>
        <w:rPr>
          <w:rFonts w:ascii="Arial" w:cs="Arial" w:eastAsia="Arial" w:hAnsi="Arial"/>
          <w:sz w:val="15"/>
          <w:szCs w:val="15"/>
          <w:b w:val="1"/>
          <w:bCs w:val="1"/>
          <w:color w:val="auto"/>
        </w:rPr>
        <w:t xml:space="preserve">Declaration of Consent. </w:t>
      </w:r>
      <w:r>
        <w:rPr>
          <w:rFonts w:ascii="Arial" w:cs="Arial" w:eastAsia="Arial" w:hAnsi="Arial"/>
          <w:sz w:val="15"/>
          <w:szCs w:val="15"/>
          <w:b w:val="1"/>
          <w:bCs w:val="1"/>
          <w:i w:val="1"/>
          <w:iCs w:val="1"/>
          <w:color w:val="auto"/>
        </w:rPr>
        <w:t>By accepting this Subscription Agreement and indicating consent via the Company’s acceptance procedure, I explicitly</w:t>
      </w:r>
      <w:r>
        <w:rPr>
          <w:rFonts w:ascii="Arial" w:cs="Arial" w:eastAsia="Arial" w:hAnsi="Arial"/>
          <w:sz w:val="15"/>
          <w:szCs w:val="15"/>
          <w:b w:val="1"/>
          <w:bCs w:val="1"/>
          <w:color w:val="auto"/>
        </w:rPr>
        <w:t xml:space="preserve"> </w:t>
      </w:r>
      <w:r>
        <w:rPr>
          <w:rFonts w:ascii="Arial" w:cs="Arial" w:eastAsia="Arial" w:hAnsi="Arial"/>
          <w:sz w:val="15"/>
          <w:szCs w:val="15"/>
          <w:b w:val="1"/>
          <w:bCs w:val="1"/>
          <w:i w:val="1"/>
          <w:iCs w:val="1"/>
          <w:color w:val="auto"/>
        </w:rPr>
        <w:t>declare my consent to the data processing practices described in this Section 9, including, without limitation, to the collection, processing and use of Data by the Company and, if applicable, to the transfer of Data to the recipients mentioned above, including the onward transfer of Data by the Company to the Designated Broker, or, as the case may be, a different service provider selected by the Company.</w:t>
      </w:r>
    </w:p>
    <w:p>
      <w:pPr>
        <w:spacing w:after="0" w:line="381" w:lineRule="exact"/>
        <w:rPr>
          <w:sz w:val="20"/>
          <w:szCs w:val="20"/>
          <w:color w:val="auto"/>
        </w:rPr>
      </w:pPr>
    </w:p>
    <w:p>
      <w:pPr>
        <w:jc w:val="both"/>
        <w:ind w:left="340" w:hanging="332"/>
        <w:spacing w:after="0" w:line="257" w:lineRule="auto"/>
        <w:tabs>
          <w:tab w:leader="none" w:pos="335"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exclusively in the courts of Santa Clara County, California, or the federal courts for the United States for the Northern District of California, and no other courts, where this grant is made and/or to be performed.</w:t>
      </w:r>
    </w:p>
    <w:p>
      <w:pPr>
        <w:spacing w:after="0" w:line="214" w:lineRule="exact"/>
        <w:rPr>
          <w:rFonts w:ascii="Arial" w:cs="Arial" w:eastAsia="Arial" w:hAnsi="Arial"/>
          <w:sz w:val="18"/>
          <w:szCs w:val="18"/>
          <w:color w:val="auto"/>
        </w:rPr>
      </w:pPr>
    </w:p>
    <w:p>
      <w:pPr>
        <w:jc w:val="both"/>
        <w:ind w:left="340" w:hanging="332"/>
        <w:spacing w:after="0" w:line="301" w:lineRule="auto"/>
        <w:tabs>
          <w:tab w:leader="none" w:pos="329" w:val="left"/>
        </w:tabs>
        <w:numPr>
          <w:ilvl w:val="0"/>
          <w:numId w:val="45"/>
        </w:numPr>
        <w:rPr>
          <w:rFonts w:ascii="Arial" w:cs="Arial" w:eastAsia="Arial" w:hAnsi="Arial"/>
          <w:sz w:val="16"/>
          <w:szCs w:val="16"/>
          <w:color w:val="auto"/>
        </w:rPr>
      </w:pPr>
      <w:r>
        <w:rPr>
          <w:rFonts w:ascii="Arial" w:cs="Arial" w:eastAsia="Arial" w:hAnsi="Arial"/>
          <w:sz w:val="16"/>
          <w:szCs w:val="16"/>
          <w:color w:val="auto"/>
        </w:rPr>
        <w:t>By participating in the Stock Purchase Plan, I acknowledge that I am proficient in the English language, or have consulted with an advisor who is sufficiently proficient in English, so as to allow me to understand the content of this Subscription Agreement and any other materials related to the Stock Purchase Plan. 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184" w:lineRule="exact"/>
        <w:rPr>
          <w:rFonts w:ascii="Arial" w:cs="Arial" w:eastAsia="Arial" w:hAnsi="Arial"/>
          <w:sz w:val="16"/>
          <w:szCs w:val="16"/>
          <w:color w:val="auto"/>
        </w:rPr>
      </w:pPr>
    </w:p>
    <w:p>
      <w:pPr>
        <w:jc w:val="both"/>
        <w:ind w:left="340" w:hanging="332"/>
        <w:spacing w:after="0" w:line="286" w:lineRule="auto"/>
        <w:tabs>
          <w:tab w:leader="none" w:pos="335"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192" w:lineRule="exact"/>
        <w:rPr>
          <w:rFonts w:ascii="Arial" w:cs="Arial" w:eastAsia="Arial" w:hAnsi="Arial"/>
          <w:sz w:val="17"/>
          <w:szCs w:val="17"/>
          <w:color w:val="auto"/>
        </w:rPr>
      </w:pPr>
    </w:p>
    <w:p>
      <w:pPr>
        <w:ind w:left="340" w:hanging="332"/>
        <w:spacing w:after="0" w:line="277" w:lineRule="auto"/>
        <w:tabs>
          <w:tab w:leader="none" w:pos="335"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pacing w:after="0" w:line="197" w:lineRule="exact"/>
        <w:rPr>
          <w:rFonts w:ascii="Arial" w:cs="Arial" w:eastAsia="Arial" w:hAnsi="Arial"/>
          <w:sz w:val="18"/>
          <w:szCs w:val="18"/>
          <w:color w:val="auto"/>
        </w:rPr>
      </w:pPr>
    </w:p>
    <w:p>
      <w:pPr>
        <w:jc w:val="both"/>
        <w:ind w:left="340" w:hanging="332"/>
        <w:spacing w:after="0" w:line="279" w:lineRule="auto"/>
        <w:tabs>
          <w:tab w:leader="none" w:pos="335" w:val="left"/>
        </w:tabs>
        <w:numPr>
          <w:ilvl w:val="0"/>
          <w:numId w:val="45"/>
        </w:numPr>
        <w:rPr>
          <w:rFonts w:ascii="Arial" w:cs="Arial" w:eastAsia="Arial" w:hAnsi="Arial"/>
          <w:sz w:val="17"/>
          <w:szCs w:val="17"/>
          <w:color w:val="auto"/>
        </w:rPr>
      </w:pPr>
      <w:r>
        <w:rPr>
          <w:rFonts w:ascii="Arial" w:cs="Arial" w:eastAsia="Arial" w:hAnsi="Arial"/>
          <w:sz w:val="17"/>
          <w:szCs w:val="17"/>
          <w:color w:val="auto"/>
        </w:rPr>
        <w:t>Notwithstanding any provisions in this Subscription Agreement, the Purchase Right shall be subject to any additional terms and conditions set forth in the Addendum to this Subscription Agreement. Moreover, if I relocate to one of the countries included in the Addendum, the additional terms and conditions for such country will apply to me, to the extent the Company determines that the application of such terms and conditions is necessary or advisable for legal or administrative reasons. The Addendum constitutes part of this Subscription Agreement.</w:t>
      </w:r>
    </w:p>
    <w:p>
      <w:pPr>
        <w:spacing w:after="0" w:line="198" w:lineRule="exact"/>
        <w:rPr>
          <w:rFonts w:ascii="Arial" w:cs="Arial" w:eastAsia="Arial" w:hAnsi="Arial"/>
          <w:sz w:val="17"/>
          <w:szCs w:val="17"/>
          <w:color w:val="auto"/>
        </w:rPr>
      </w:pPr>
    </w:p>
    <w:p>
      <w:pPr>
        <w:jc w:val="both"/>
        <w:ind w:left="340" w:hanging="332"/>
        <w:spacing w:after="0" w:line="311" w:lineRule="auto"/>
        <w:tabs>
          <w:tab w:leader="none" w:pos="335"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Company reserves the right to impose other requirements on my participation in the Stock Purchase Plan, on the Purchase Right, and on any shares of Common Stock acquired under the Stock Purchase Plan, to the extent the Company determines it is necessary or advisable for legal or administrative reasons, and to require me to sign any additional agreements or undertakings that may be necessary to accomplish the foregoing.</w:t>
      </w:r>
    </w:p>
    <w:p>
      <w:pPr>
        <w:spacing w:after="0" w:line="175" w:lineRule="exact"/>
        <w:rPr>
          <w:rFonts w:ascii="Arial" w:cs="Arial" w:eastAsia="Arial" w:hAnsi="Arial"/>
          <w:sz w:val="16"/>
          <w:szCs w:val="16"/>
          <w:color w:val="auto"/>
        </w:rPr>
      </w:pPr>
    </w:p>
    <w:p>
      <w:pPr>
        <w:jc w:val="both"/>
        <w:ind w:left="340" w:hanging="332"/>
        <w:spacing w:after="0" w:line="272" w:lineRule="auto"/>
        <w:tabs>
          <w:tab w:leader="none" w:pos="335" w:val="left"/>
        </w:tabs>
        <w:numPr>
          <w:ilvl w:val="0"/>
          <w:numId w:val="45"/>
        </w:numPr>
        <w:rPr>
          <w:rFonts w:ascii="Arial" w:cs="Arial" w:eastAsia="Arial" w:hAnsi="Arial"/>
          <w:sz w:val="17"/>
          <w:szCs w:val="17"/>
          <w:color w:val="auto"/>
        </w:rPr>
      </w:pPr>
      <w:r>
        <w:rPr>
          <w:rFonts w:ascii="Arial" w:cs="Arial" w:eastAsia="Arial" w:hAnsi="Arial"/>
          <w:sz w:val="17"/>
          <w:szCs w:val="17"/>
          <w:color w:val="auto"/>
        </w:rPr>
        <w:t>I acknowledge that I may be subject to insider-trading restrictions and/or market-abuse laws in applicable jurisdictions, including the United States and (if different) my country, my broker’s country and/or the country where the Shares are listed, which may affect my ability to accept, acquire, sell or attempt to sell, or otherwise dispose of shares of Common Stock, rights to shares of Common Stock or rights linked to the value of shares of Common Stock, during such times as I am considered to have “inside information” regarding the Company (as defined by the laws or regulations in the applicable jurisdictions, including the United States and, if different, my country). Local insider trading laws and regulations may prohibit the cancellation or amendment of orders I placed before possessing inside information. Furthermore, I may be prohibited from (i) disclosing the inside information to any third party and (ii) “tipping” third parties or causing them to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03" w:name="page104"/>
    <w:bookmarkEnd w:id="103"/>
    <w:p>
      <w:pPr>
        <w:jc w:val="both"/>
        <w:ind w:left="340"/>
        <w:spacing w:after="0" w:line="259" w:lineRule="auto"/>
        <w:rPr>
          <w:sz w:val="20"/>
          <w:szCs w:val="20"/>
          <w:color w:val="auto"/>
        </w:rPr>
      </w:pPr>
      <w:r>
        <w:rPr>
          <w:rFonts w:ascii="Arial" w:cs="Arial" w:eastAsia="Arial" w:hAnsi="Arial"/>
          <w:sz w:val="18"/>
          <w:szCs w:val="18"/>
          <w:color w:val="auto"/>
        </w:rPr>
        <w:t>otherwise buy or sell securities (third parties include fellow employees). Any restrictions under these laws or regulations are separate from and in addition to any restrictions that may be imposed under any applicable Company insider-trading policy. I am responsible for complying with any applicable restrictions, so I should speak to my personal legal advisor for further details regarding any applicable insider-trading and/or market-abuse laws in my country.</w:t>
      </w:r>
    </w:p>
    <w:p>
      <w:pPr>
        <w:spacing w:after="0" w:line="214" w:lineRule="exact"/>
        <w:rPr>
          <w:sz w:val="20"/>
          <w:szCs w:val="20"/>
          <w:color w:val="auto"/>
        </w:rPr>
      </w:pPr>
    </w:p>
    <w:p>
      <w:pPr>
        <w:jc w:val="both"/>
        <w:ind w:left="340" w:hanging="332"/>
        <w:spacing w:after="0" w:line="272" w:lineRule="auto"/>
        <w:tabs>
          <w:tab w:leader="none" w:pos="335" w:val="left"/>
        </w:tabs>
        <w:numPr>
          <w:ilvl w:val="0"/>
          <w:numId w:val="46"/>
        </w:numPr>
        <w:rPr>
          <w:rFonts w:ascii="Arial" w:cs="Arial" w:eastAsia="Arial" w:hAnsi="Arial"/>
          <w:sz w:val="17"/>
          <w:szCs w:val="17"/>
          <w:color w:val="auto"/>
        </w:rPr>
      </w:pPr>
      <w:r>
        <w:rPr>
          <w:rFonts w:ascii="Arial" w:cs="Arial" w:eastAsia="Arial" w:hAnsi="Arial"/>
          <w:sz w:val="17"/>
          <w:szCs w:val="17"/>
          <w:color w:val="auto"/>
        </w:rPr>
        <w:t>I acknowledge that my country may have certain foreign asset and/or account reporting requirements, exchange controls and/or tax reporting requirements which may affect my ability to acquire or hold shares of Common Stock under the Stock Purchase Plan, or cash received from participating in the Stock Purchase Plan, in a brokerage or bank account outside of my country. I understand that I may be required to report such accounts, assets or transactions to the tax or other authorities in my country and/or to pay and/or report applicable taxes due in connection with the Award on my own behalf. I may also be required to repatriate sale proceeds or other funds received as a result of participating in the Stock Purchase Plan to my country of residence through a designated bank or broker within a certain time after receipt. I acknowledge that it is my responsibility to be aware of and compliant with such regulations and that I should speak with my personal advisor on this matter.</w:t>
      </w:r>
    </w:p>
    <w:p>
      <w:pPr>
        <w:spacing w:after="0" w:line="204" w:lineRule="exact"/>
        <w:rPr>
          <w:rFonts w:ascii="Arial" w:cs="Arial" w:eastAsia="Arial" w:hAnsi="Arial"/>
          <w:sz w:val="17"/>
          <w:szCs w:val="17"/>
          <w:color w:val="auto"/>
        </w:rPr>
      </w:pPr>
    </w:p>
    <w:p>
      <w:pPr>
        <w:ind w:left="340" w:hanging="332"/>
        <w:spacing w:after="0" w:line="277" w:lineRule="auto"/>
        <w:tabs>
          <w:tab w:leader="none" w:pos="335"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acknowledge that a waiver by the Company of a breach of any provisions of this Subscription Agreement shall not operate or be construed as a waiver of any other provision of this Subscription Agreement, or of any subsequent breach by me or any other participant.</w:t>
      </w:r>
    </w:p>
    <w:p>
      <w:pPr>
        <w:spacing w:after="0" w:line="197" w:lineRule="exact"/>
        <w:rPr>
          <w:rFonts w:ascii="Arial" w:cs="Arial" w:eastAsia="Arial" w:hAnsi="Arial"/>
          <w:sz w:val="18"/>
          <w:szCs w:val="18"/>
          <w:color w:val="auto"/>
        </w:rPr>
      </w:pPr>
    </w:p>
    <w:p>
      <w:pPr>
        <w:jc w:val="both"/>
        <w:ind w:left="340" w:hanging="332"/>
        <w:spacing w:after="0" w:line="263" w:lineRule="auto"/>
        <w:tabs>
          <w:tab w:leader="none" w:pos="335"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_________________________________</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Signature</w:t>
      </w:r>
    </w:p>
    <w:p>
      <w:pPr>
        <w:sectPr>
          <w:pgSz w:w="11900" w:h="16838" w:orient="portrait"/>
          <w:cols w:equalWidth="0" w:num="1">
            <w:col w:w="11240"/>
          </w:cols>
          <w:pgMar w:left="320" w:top="773" w:right="339" w:bottom="1440" w:gutter="0" w:footer="0" w:header="0"/>
        </w:sectPr>
      </w:pPr>
    </w:p>
    <w:p>
      <w:pPr>
        <w:spacing w:after="0" w:line="200" w:lineRule="exact"/>
        <w:rPr>
          <w:sz w:val="20"/>
          <w:szCs w:val="20"/>
          <w:color w:val="auto"/>
        </w:rPr>
      </w:pPr>
    </w:p>
    <w:p>
      <w:pPr>
        <w:spacing w:after="0" w:line="277" w:lineRule="exact"/>
        <w:rPr>
          <w:sz w:val="20"/>
          <w:szCs w:val="20"/>
          <w:color w:val="auto"/>
        </w:rPr>
      </w:pPr>
    </w:p>
    <w:p>
      <w:pPr>
        <w:spacing w:after="0" w:line="347" w:lineRule="auto"/>
        <w:rPr>
          <w:sz w:val="20"/>
          <w:szCs w:val="20"/>
          <w:color w:val="auto"/>
        </w:rPr>
      </w:pPr>
      <w:r>
        <w:rPr>
          <w:rFonts w:ascii="Arial" w:cs="Arial" w:eastAsia="Arial" w:hAnsi="Arial"/>
          <w:sz w:val="16"/>
          <w:szCs w:val="16"/>
          <w:b w:val="1"/>
          <w:bCs w:val="1"/>
          <w:color w:val="auto"/>
        </w:rPr>
        <w:t>__________________________________ Employee Name (Please Print Full Legal Name)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_____________</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Employee ID # (payroll file number)</w:t>
      </w:r>
    </w:p>
    <w:p>
      <w:pPr>
        <w:spacing w:after="0" w:line="313" w:lineRule="exact"/>
        <w:rPr>
          <w:sz w:val="20"/>
          <w:szCs w:val="20"/>
          <w:color w:val="auto"/>
        </w:rPr>
      </w:pPr>
    </w:p>
    <w:p>
      <w:pPr>
        <w:sectPr>
          <w:pgSz w:w="11900" w:h="16838" w:orient="portrait"/>
          <w:cols w:equalWidth="0" w:num="2">
            <w:col w:w="3680" w:space="220"/>
            <w:col w:w="7340"/>
          </w:cols>
          <w:pgMar w:left="320" w:top="773" w:right="33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3"/>
          <w:szCs w:val="13"/>
          <w:color w:val="auto"/>
        </w:rPr>
        <w:t>6728178-v3\GESDMS</w:t>
      </w:r>
    </w:p>
    <w:p>
      <w:pPr>
        <w:sectPr>
          <w:pgSz w:w="11900" w:h="16838" w:orient="portrait"/>
          <w:cols w:equalWidth="0" w:num="1">
            <w:col w:w="11240"/>
          </w:cols>
          <w:pgMar w:left="320" w:top="773" w:right="339" w:bottom="1440" w:gutter="0" w:footer="0" w:header="0"/>
          <w:type w:val="continuous"/>
        </w:sectPr>
      </w:pPr>
    </w:p>
    <w:bookmarkStart w:id="104" w:name="page105"/>
    <w:bookmarkEnd w:id="104"/>
    <w:p>
      <w:pPr>
        <w:jc w:val="center"/>
        <w:spacing w:after="0"/>
        <w:rPr>
          <w:sz w:val="20"/>
          <w:szCs w:val="20"/>
          <w:color w:val="auto"/>
        </w:rPr>
      </w:pPr>
      <w:r>
        <w:rPr>
          <w:rFonts w:ascii="Arial" w:cs="Arial" w:eastAsia="Arial" w:hAnsi="Arial"/>
          <w:sz w:val="18"/>
          <w:szCs w:val="18"/>
          <w:b w:val="1"/>
          <w:bCs w:val="1"/>
          <w:color w:val="auto"/>
        </w:rPr>
        <w:t>ADDENDUM TO THE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38"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Certain capitalized terms used but not defined in this Addendum have the meanings set forth in the Stock Purchase Plan and/or the Subscription Agreement to which this Addendum is attached.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This Addendum to the Subscription Agreement includes additional terms and conditions that govern the Purchase Right granted to me under the Stock Purchase Plan if I reside and/or work in one of the countries listed herein.</w:t>
      </w:r>
    </w:p>
    <w:p>
      <w:pPr>
        <w:spacing w:after="0" w:line="197"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If I am a citizen or resident of a country other than the one in which I am currently residing and/or working, transfer employment and/or residency to another country after enrolling in the Stock Purchase Plan, or am considered resident of another country for local law purposes, the Company shall, in its sole discretion, determine to what extent the terms and conditions included herein will apply to me.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jc w:val="both"/>
        <w:spacing w:after="0" w:line="296" w:lineRule="auto"/>
        <w:rPr>
          <w:sz w:val="20"/>
          <w:szCs w:val="20"/>
          <w:color w:val="auto"/>
        </w:rPr>
      </w:pPr>
      <w:r>
        <w:rPr>
          <w:rFonts w:ascii="Arial" w:cs="Arial" w:eastAsia="Arial" w:hAnsi="Arial"/>
          <w:sz w:val="16"/>
          <w:szCs w:val="16"/>
          <w:color w:val="auto"/>
        </w:rPr>
        <w:t>This Addendum also includes information regarding exchange controls and certain other issues of which I should be aware with respect to my participation in the Stock Purchase Plan. The information is based on the tax, securities, exchange control, and other laws in effect in the respective countries as of April 2021. Such laws are often complex and change frequently. As a result, the Company strongly recommends that I not rely on the information in this Addendum as the only source of information relating to the consequences of my participation in the Stock Purchase Plan because the information may be out of date at the time the Purchase Right is exercised or I sell shares of Common Stock acquired under the Stock Purchase Plan.</w:t>
      </w:r>
    </w:p>
    <w:p>
      <w:pPr>
        <w:spacing w:after="0" w:line="188"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In addition, the information contained herein is general in nature and may not apply to my particular situation, and the Company is not in a position to assure me of any particular result. Accordingly, I should seek appropriate professional advice as to how the relevant laws in my country may apply to my situation.</w:t>
      </w:r>
    </w:p>
    <w:p>
      <w:pPr>
        <w:spacing w:after="0" w:line="211"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Finally, if I am a citizen or resident of a country other than the one in which I am currently residing and/or working, transfer employment and/or residency to another country after enrolling in the Stock Purchase Plan, or am considered a resident of another country for local law purposes, the information contained herein may not be applicable to me.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69" w:right="339" w:bottom="1440" w:gutter="0" w:footer="0" w:header="0"/>
        </w:sectPr>
      </w:pPr>
    </w:p>
    <w:bookmarkStart w:id="105" w:name="page106"/>
    <w:bookmarkEnd w:id="105"/>
    <w:p>
      <w:pPr>
        <w:spacing w:after="0"/>
        <w:rPr>
          <w:sz w:val="20"/>
          <w:szCs w:val="20"/>
          <w:color w:val="auto"/>
        </w:rPr>
      </w:pPr>
      <w:r>
        <w:rPr>
          <w:rFonts w:ascii="Arial" w:cs="Arial" w:eastAsia="Arial" w:hAnsi="Arial"/>
          <w:sz w:val="18"/>
          <w:szCs w:val="18"/>
          <w:b w:val="1"/>
          <w:bCs w:val="1"/>
          <w:u w:val="single" w:color="auto"/>
          <w:color w:val="auto"/>
        </w:rPr>
        <w:t>Canada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Termination of Relationship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replaces Section 7(l) of the Subscription Agreement:</w:t>
      </w:r>
    </w:p>
    <w:p>
      <w:pPr>
        <w:spacing w:after="0" w:line="238" w:lineRule="exact"/>
        <w:rPr>
          <w:sz w:val="20"/>
          <w:szCs w:val="20"/>
          <w:color w:val="auto"/>
        </w:rPr>
      </w:pPr>
    </w:p>
    <w:p>
      <w:pPr>
        <w:jc w:val="both"/>
        <w:spacing w:after="0" w:line="272" w:lineRule="auto"/>
        <w:rPr>
          <w:sz w:val="20"/>
          <w:szCs w:val="20"/>
          <w:color w:val="auto"/>
        </w:rPr>
      </w:pPr>
      <w:r>
        <w:rPr>
          <w:rFonts w:ascii="Arial" w:cs="Arial" w:eastAsia="Arial" w:hAnsi="Arial"/>
          <w:sz w:val="17"/>
          <w:szCs w:val="17"/>
          <w:color w:val="auto"/>
        </w:rPr>
        <w:t>in the event of termination of my Continuous Employment (regardless of the reason for the termination and whether or not such termination is later found invalid or in breach of local labor laws or the terms of my employment contract, if any), my right to participate in and purchase shares of Common Stock under the Stock Purchase Plan, if any, will terminate effective as of the date that is the earlier of: (1) the date of termination of my Continuous Employment and (2) the date I receive notice of termination of my Continuous Employment . In either case, the date shall exclude any period during which notice, pay in lieu of notice or related payments or damages are provided or required to be provided under local law. For greater certainty, I will not earn or be entitled to any pro-rated Purchase Rights for that portion of time before the date on which my right to participate in the Stock Purchase Plan terminates, nor will I be entitled to any compensation for lost participation or lost Purchase Rights.</w:t>
      </w:r>
    </w:p>
    <w:p>
      <w:pPr>
        <w:spacing w:after="0" w:line="204" w:lineRule="exact"/>
        <w:rPr>
          <w:sz w:val="20"/>
          <w:szCs w:val="20"/>
          <w:color w:val="auto"/>
        </w:rPr>
      </w:pPr>
    </w:p>
    <w:p>
      <w:pPr>
        <w:jc w:val="both"/>
        <w:spacing w:after="0" w:line="257" w:lineRule="auto"/>
        <w:rPr>
          <w:sz w:val="20"/>
          <w:szCs w:val="20"/>
          <w:color w:val="auto"/>
        </w:rPr>
      </w:pPr>
      <w:r>
        <w:rPr>
          <w:rFonts w:ascii="Arial" w:cs="Arial" w:eastAsia="Arial" w:hAnsi="Arial"/>
          <w:sz w:val="18"/>
          <w:szCs w:val="18"/>
          <w:color w:val="auto"/>
        </w:rPr>
        <w:t>Notwithstanding the foregoing, if applicable employment standards legislation explicitly requires continued entitlement to participate in and purchase shares of Common Stock under the Stock Purchase Plan during a statutory notice period, my right to continue participating in and to purchase shares of Common Stock under the Stock Purchase Plan, if any, will terminate effective as of the last day of my minimum statutory notice period, but I will not earn or be entitled to any pro-rated Purchase Rights if a purchase date falls after the end of my statutory notice period, nor will I be entitled to any compensation for lost participation or lost Purchase Rights.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following provisions apply if I reside in Quebec:</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Language Consent</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The parties acknowledge that it is their express wish that the Subscription Agreement, as well as all addenda, documents, notices and legal proceeds entered into, given or instituted pursuant hereto or relating directly or indirectly hereto, be drawn up in English.</w:t>
      </w:r>
    </w:p>
    <w:p>
      <w:pPr>
        <w:spacing w:after="0" w:line="212" w:lineRule="exact"/>
        <w:rPr>
          <w:sz w:val="20"/>
          <w:szCs w:val="20"/>
          <w:color w:val="auto"/>
        </w:rPr>
      </w:pPr>
    </w:p>
    <w:p>
      <w:pPr>
        <w:jc w:val="both"/>
        <w:spacing w:after="0" w:line="277" w:lineRule="auto"/>
        <w:rPr>
          <w:sz w:val="20"/>
          <w:szCs w:val="20"/>
          <w:color w:val="auto"/>
        </w:rPr>
      </w:pPr>
      <w:r>
        <w:rPr>
          <w:rFonts w:ascii="Arial" w:cs="Arial" w:eastAsia="Arial" w:hAnsi="Arial"/>
          <w:sz w:val="18"/>
          <w:szCs w:val="18"/>
          <w:i w:val="1"/>
          <w:iCs w:val="1"/>
          <w:color w:val="auto"/>
        </w:rPr>
        <w:t>Les parties reconnaissent avoir exigé la rédaction en anglais de cette Convention, ainsi que de tous documents exécutés, avis donnés et procédures judiciaires intentées, directement ou indirectement, relativement à ou suite à la présente convention.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Data Privacy Notice and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8 of the Subscription Agreement:</w:t>
      </w:r>
    </w:p>
    <w:p>
      <w:pPr>
        <w:spacing w:after="0" w:line="238"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I hereby authorize the Company and the Company’s representatives to discuss and obtain all relevant information from all personnel, professional or non-professional, involved in the administration of the Stock Purchase Plan. I further authorize the Company, the Employer, and any other Parent or Subsidiary to disclose and discuss such information with their advisors. I also authorize the Company, the Employer and any other Parent or Subsidiary to record such information and to keep such information in my employee file.</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acknowledge that I am permitted to sell shares of Common Stock acquired under the Stock Purchase Plan only through the Designated Broker, if any, provided the sale of the shares acquired under the Stock Purchase Plan takes place outside of Canada through the facilities of a stock exchange on which the shares are listed (</w:t>
      </w:r>
      <w:r>
        <w:rPr>
          <w:rFonts w:ascii="Arial" w:cs="Arial" w:eastAsia="Arial" w:hAnsi="Arial"/>
          <w:sz w:val="18"/>
          <w:szCs w:val="18"/>
          <w:i w:val="1"/>
          <w:iCs w:val="1"/>
          <w:color w:val="auto"/>
        </w:rPr>
        <w:t>i.e.</w:t>
      </w:r>
      <w:r>
        <w:rPr>
          <w:rFonts w:ascii="Arial" w:cs="Arial" w:eastAsia="Arial" w:hAnsi="Arial"/>
          <w:sz w:val="18"/>
          <w:szCs w:val="18"/>
          <w:color w:val="auto"/>
        </w:rPr>
        <w:t>, the Nasdaq Stock Market).</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2" w:lineRule="auto"/>
        <w:rPr>
          <w:sz w:val="20"/>
          <w:szCs w:val="20"/>
          <w:color w:val="auto"/>
        </w:rPr>
      </w:pPr>
      <w:r>
        <w:rPr>
          <w:rFonts w:ascii="Arial" w:cs="Arial" w:eastAsia="Arial" w:hAnsi="Arial"/>
          <w:sz w:val="18"/>
          <w:szCs w:val="18"/>
          <w:color w:val="auto"/>
        </w:rPr>
        <w:t>Specified foreign property, including shares and rights to receive shares (</w:t>
      </w:r>
      <w:r>
        <w:rPr>
          <w:rFonts w:ascii="Arial" w:cs="Arial" w:eastAsia="Arial" w:hAnsi="Arial"/>
          <w:sz w:val="18"/>
          <w:szCs w:val="18"/>
          <w:i w:val="1"/>
          <w:iCs w:val="1"/>
          <w:color w:val="auto"/>
        </w:rPr>
        <w:t>e.g.</w:t>
      </w:r>
      <w:r>
        <w:rPr>
          <w:rFonts w:ascii="Arial" w:cs="Arial" w:eastAsia="Arial" w:hAnsi="Arial"/>
          <w:sz w:val="18"/>
          <w:szCs w:val="18"/>
          <w:color w:val="auto"/>
        </w:rPr>
        <w:t>, stock options, restricted stock units) of a non-Canadian company held by a Canadian resident must generally be reported annually on a Form T1135 (Foreign Income Verification Statement) if the total cost of the foreign specified property exceeds C$100,000 at any time during the year. Thus, the Purchase Rights must be reported (generally at a nil cost) if the C$100,000 cost threshold is exceeded because of other specified foreign property I hold. When shares of Common Stock are acquired, their cost generally is the adjusted cost base (“ACB”) of the shares. The ACB would equal the fair market value of the shares at the time of acquisition, but if I own other shares of Common Stock, this ACB may have to be averaged with the ACB of the other shares. I should consult with a personal advisor to ensure compliance with applicable reporting obligations.</w:t>
      </w:r>
    </w:p>
    <w:p>
      <w:pPr>
        <w:sectPr>
          <w:pgSz w:w="11900" w:h="16838" w:orient="portrait"/>
          <w:cols w:equalWidth="0" w:num="1">
            <w:col w:w="11240"/>
          </w:cols>
          <w:pgMar w:left="320" w:top="769"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3"/>
          <w:szCs w:val="13"/>
          <w:color w:val="auto"/>
        </w:rPr>
        <w:t>6728178-v3\GESDMS</w:t>
      </w:r>
    </w:p>
    <w:p>
      <w:pPr>
        <w:sectPr>
          <w:pgSz w:w="11900" w:h="16838" w:orient="portrait"/>
          <w:cols w:equalWidth="0" w:num="1">
            <w:col w:w="11240"/>
          </w:cols>
          <w:pgMar w:left="320" w:top="769" w:right="339" w:bottom="1440" w:gutter="0" w:footer="0" w:header="0"/>
          <w:type w:val="continuous"/>
        </w:sectPr>
      </w:pPr>
    </w:p>
    <w:bookmarkStart w:id="106" w:name="page107"/>
    <w:bookmarkEnd w:id="106"/>
    <w:p>
      <w:pPr>
        <w:spacing w:after="0"/>
        <w:rPr>
          <w:sz w:val="20"/>
          <w:szCs w:val="20"/>
          <w:color w:val="auto"/>
        </w:rPr>
      </w:pPr>
      <w:r>
        <w:rPr>
          <w:rFonts w:ascii="Arial" w:cs="Arial" w:eastAsia="Arial" w:hAnsi="Arial"/>
          <w:sz w:val="18"/>
          <w:szCs w:val="18"/>
          <w:b w:val="1"/>
          <w:bCs w:val="1"/>
          <w:u w:val="single" w:color="auto"/>
          <w:color w:val="auto"/>
        </w:rPr>
        <w:t>China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jc w:val="both"/>
        <w:spacing w:after="0" w:line="381" w:lineRule="auto"/>
        <w:rPr>
          <w:sz w:val="20"/>
          <w:szCs w:val="20"/>
          <w:color w:val="auto"/>
        </w:rPr>
      </w:pPr>
      <w:r>
        <w:rPr>
          <w:rFonts w:ascii="Arial" w:cs="Arial" w:eastAsia="Arial" w:hAnsi="Arial"/>
          <w:sz w:val="15"/>
          <w:szCs w:val="15"/>
          <w:b w:val="1"/>
          <w:bCs w:val="1"/>
          <w:i w:val="1"/>
          <w:iCs w:val="1"/>
          <w:color w:val="auto"/>
        </w:rPr>
        <w:t>The following Terms and Conditions apply only to me if I am subject to exchange control restrictions and regulations in the People’s Republic of China (“PRC”), including the requirements imposed by the State Administration of Foreign Exchange, as determined by the Company, in its sole discretion.</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Supplemental Rules for PRC Employees</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By enrolling in the Stock Purchase Plan, I acknowledge and agree to be bound by the terms of the Supplemental Rules of Marvell Stock Plans for China Employees.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No Transfer of Shares.</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agree that any shares of Common Stock to be issued to me shall be deposited directly into an account with the Designated Broker. The deposited shares of Common Stock shall not be transferable (either electronically or in certificate form) from the brokerage account. This limitation shall apply both to transfers to different accounts with the Designated Broker and to transfers to other brokerage firms. The limitation shall apply to all Shares issued to me under the Stock Purchase Plan, and whether or not my Continuous Employment terminates.</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Restrictions.</w:t>
      </w:r>
    </w:p>
    <w:p>
      <w:pPr>
        <w:spacing w:after="0" w:line="23" w:lineRule="exact"/>
        <w:rPr>
          <w:sz w:val="20"/>
          <w:szCs w:val="20"/>
          <w:color w:val="auto"/>
        </w:rPr>
      </w:pPr>
    </w:p>
    <w:p>
      <w:pPr>
        <w:jc w:val="both"/>
        <w:spacing w:after="0" w:line="295" w:lineRule="auto"/>
        <w:rPr>
          <w:sz w:val="20"/>
          <w:szCs w:val="20"/>
          <w:color w:val="auto"/>
        </w:rPr>
      </w:pPr>
      <w:r>
        <w:rPr>
          <w:rFonts w:ascii="Arial" w:cs="Arial" w:eastAsia="Arial" w:hAnsi="Arial"/>
          <w:sz w:val="16"/>
          <w:szCs w:val="16"/>
          <w:color w:val="auto"/>
        </w:rPr>
        <w:t>I understand and agree that my participation in and ability to purchase shares of Common Stock under the Stock Purchase Plan is subject to the continued registration and compliance of the Stock Purchase Plan with applicable exchange control regulations in China. I agree that if the registration of the Stock Purchase Plan lapses or the Company determines, in its discretion, that the Purchase Rights cannot vest due to regulatory restrictions, my participation in the Stock Purchase Plan may be suspended, terminated or otherwise modified to ensure compliance with applicable laws and regulations.</w:t>
      </w:r>
    </w:p>
    <w:p>
      <w:pPr>
        <w:spacing w:after="0" w:line="188" w:lineRule="exact"/>
        <w:rPr>
          <w:sz w:val="20"/>
          <w:szCs w:val="20"/>
          <w:color w:val="auto"/>
        </w:rPr>
      </w:pPr>
    </w:p>
    <w:p>
      <w:pPr>
        <w:jc w:val="both"/>
        <w:spacing w:after="0" w:line="269" w:lineRule="auto"/>
        <w:rPr>
          <w:sz w:val="20"/>
          <w:szCs w:val="20"/>
          <w:color w:val="auto"/>
        </w:rPr>
      </w:pPr>
      <w:r>
        <w:rPr>
          <w:rFonts w:ascii="Arial" w:cs="Arial" w:eastAsia="Arial" w:hAnsi="Arial"/>
          <w:sz w:val="17"/>
          <w:szCs w:val="17"/>
          <w:color w:val="auto"/>
        </w:rPr>
        <w:t>I understand and agree that, due to exchange control laws in China, I will be required to immediately repatriate to China any cash proceeds I receive from participating in the Stock Purchase Plan (</w:t>
      </w:r>
      <w:r>
        <w:rPr>
          <w:rFonts w:ascii="Arial" w:cs="Arial" w:eastAsia="Arial" w:hAnsi="Arial"/>
          <w:sz w:val="17"/>
          <w:szCs w:val="17"/>
          <w:i w:val="1"/>
          <w:iCs w:val="1"/>
          <w:color w:val="auto"/>
        </w:rPr>
        <w:t>i.e.</w:t>
      </w:r>
      <w:r>
        <w:rPr>
          <w:rFonts w:ascii="Arial" w:cs="Arial" w:eastAsia="Arial" w:hAnsi="Arial"/>
          <w:sz w:val="17"/>
          <w:szCs w:val="17"/>
          <w:color w:val="auto"/>
        </w:rPr>
        <w:t>, cash proceeds from the sale of shares of Common Stock or the receipt of any dividends on such shares). I further understand that, under local law, such repatriation of the cash proceeds may need to be effected through a special exchange control account established by the Company, the Employer or another Parent or Subsidiary, and I hereby consent and agree that the proceeds will be transferred to such special account prior to being delivered to me. I understand that the proceeds will be delivered to me as soon as possible, but there may be delays in distributing the funds due to exchange control requirements in China. Proceeds may be paid in U.S. dollars or local currency, at the Company’s discretion. If the proceeds are paid in U.S. dollars, I understand that I will be required to set up a U.S. dollar bank account in China so that the proceeds may be deposited into this account. If the proceeds are paid in local currency, the Company is under no obligation to secure any particular exchange conversion rate and there may be delays in converting the proceeds to local currency due to exchange control restrictions. I agree that I bear the risk of any exchange conversion rate fluctuation during that time. I further agree to comply with any other requirements that may be imposed by the Company in the future in order to facilitate compliance with exchange control requirements in China.</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Receipt and Sale of Shares</w:t>
      </w:r>
    </w:p>
    <w:p>
      <w:pPr>
        <w:spacing w:after="0" w:line="23" w:lineRule="exact"/>
        <w:rPr>
          <w:sz w:val="20"/>
          <w:szCs w:val="20"/>
          <w:color w:val="auto"/>
        </w:rPr>
      </w:pPr>
    </w:p>
    <w:p>
      <w:pPr>
        <w:jc w:val="both"/>
        <w:spacing w:after="0" w:line="267" w:lineRule="auto"/>
        <w:rPr>
          <w:sz w:val="20"/>
          <w:szCs w:val="20"/>
          <w:color w:val="auto"/>
        </w:rPr>
      </w:pPr>
      <w:r>
        <w:rPr>
          <w:rFonts w:ascii="Arial" w:cs="Arial" w:eastAsia="Arial" w:hAnsi="Arial"/>
          <w:sz w:val="17"/>
          <w:szCs w:val="17"/>
          <w:color w:val="auto"/>
        </w:rPr>
        <w:t>I agree to maintain any shares of Common Stock I obtain at purchase in an account with the Designated Broker prior to sale. Notwithstanding any provision in the Subscription Agreement to the contrary, to facilitate compliance with exchange control laws in China, the Company may require me to sell shares of Common Stock (i) immediately at purchase, (ii) upon termination of my Continuous Employment, or (iii) within any other timeframe as the Company determines for legal or administrative reasons. If I do not sell the shares within the time required by the Company, I hereby authorize the Company to instruct the Designated Broker to sell the shares of Common Stock on my behalf, and I expressly authorize the Designated Broker to complete the sale of shares of Common Stock. I agree to sign any forms and/or consents required by the Designated Broker to effectuate the sale of shares. I acknowledge that the Designated Broker is under no obligation to arrange for the sale of shares at any particular price. Upon the sale of shares after termination of Continuous Employment, I understand that the Company agrees to pay me the cash proceeds from the sale of the shares, less any brokerage fees or commissions and subject to any obligation to satisfy withholding obligations for Tax-Related Items. I understand that the proceeds from the sale of shares of Common Stock may need to be repatriated to China pursuant to the paragraph above, and I agree to comply with all requirements the Company may impose in order to facilitate compliance with exchange control requirements in China prior to my receipt of the cash proceeds. I acknowledge that I am not aware of any material nonpublic information with respect to the Company or any securities of the Company as of the date of the Subscription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1012" w:right="339" w:bottom="1440" w:gutter="0" w:footer="0" w:header="0"/>
        </w:sectPr>
      </w:pPr>
    </w:p>
    <w:bookmarkStart w:id="107" w:name="page108"/>
    <w:bookmarkEnd w:id="107"/>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7" w:lineRule="auto"/>
        <w:rPr>
          <w:sz w:val="20"/>
          <w:szCs w:val="20"/>
          <w:color w:val="auto"/>
        </w:rPr>
      </w:pPr>
      <w:r>
        <w:rPr>
          <w:rFonts w:ascii="Arial" w:cs="Arial" w:eastAsia="Arial" w:hAnsi="Arial"/>
          <w:sz w:val="17"/>
          <w:szCs w:val="17"/>
          <w:color w:val="auto"/>
        </w:rPr>
        <w:t>I may be required to report to SAFE all details of my foreign financial assets and liabilities, as well as details of any economic transactions conducted with non-PRC residents, either directly or through financial institutions. Shares of Common Stock acquired under the Stock Purchase Plan and Stock Purchase Plan-related transactions may be subject to reporting under these rules. I should consult with my personal legal advisor in this regard.</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Denmark</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Danish Stock Option Act</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By enrolling and participating in the Stock Purchase Plan, I acknowledge that I have received an Employer Statement translated into Danish, which is being provided to me to comply with the Danish Stock Option Act (the “</w:t>
      </w:r>
      <w:r>
        <w:rPr>
          <w:rFonts w:ascii="Arial" w:cs="Arial" w:eastAsia="Arial" w:hAnsi="Arial"/>
          <w:sz w:val="18"/>
          <w:szCs w:val="18"/>
          <w:b w:val="1"/>
          <w:bCs w:val="1"/>
          <w:i w:val="1"/>
          <w:iCs w:val="1"/>
          <w:color w:val="auto"/>
        </w:rPr>
        <w:t>Act</w:t>
      </w:r>
      <w:r>
        <w:rPr>
          <w:rFonts w:ascii="Arial" w:cs="Arial" w:eastAsia="Arial" w:hAnsi="Arial"/>
          <w:sz w:val="18"/>
          <w:szCs w:val="18"/>
          <w:color w:val="auto"/>
        </w:rPr>
        <w:t>”). The Act applies only to “employees” as that term is defined in Section 2 of the Act. If I am a member of the registered management of a Parent or Subsidiary in Denmark or otherwise do not satisfy the definition of employee, I am not subject to the Act and the Employer Statement will not apply to me.</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Foreign bank and brokerage accounts and deposits and shares of Common Stock held in such accounts must be reported on my annual tax return under the section on foreign affairs and income.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Finland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There are no country-specific provisions.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France</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Payroll Deduction Authorization</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Par la présente, j’autorise les Prélèvements sur Salaire, sur chacun de mes salaires, d’un montant de _____% (15 % maximum, pourcentage en nombre</w:t>
      </w:r>
    </w:p>
    <w:p>
      <w:pPr>
        <w:spacing w:after="0" w:line="32" w:lineRule="exact"/>
        <w:rPr>
          <w:sz w:val="20"/>
          <w:szCs w:val="20"/>
          <w:color w:val="auto"/>
        </w:rPr>
      </w:pPr>
    </w:p>
    <w:p>
      <w:pPr>
        <w:jc w:val="both"/>
        <w:spacing w:after="0" w:line="253" w:lineRule="auto"/>
        <w:rPr>
          <w:sz w:val="20"/>
          <w:szCs w:val="20"/>
          <w:color w:val="auto"/>
        </w:rPr>
      </w:pPr>
      <w:r>
        <w:rPr>
          <w:rFonts w:ascii="Arial" w:cs="Arial" w:eastAsia="Arial" w:hAnsi="Arial"/>
          <w:sz w:val="18"/>
          <w:szCs w:val="18"/>
          <w:i w:val="1"/>
          <w:iCs w:val="1"/>
          <w:color w:val="auto"/>
        </w:rPr>
        <w:t>entier uniquement) de mon Salaire lors de chaque jour de paie pendant la Période d’Offre conformément au Plan d’Achat d’Actions (« Stock Purchase Plan »). (Aucun pourcentage décimal n’est admis.) Les prélèvements mentionnés ci-dessus se poursuivront lors des Périodes d’Offres subséquentes jusqu’à ce que je donne une instruction écrite pour modifier ou arrêter ces prélèvements ou jusqu’à ce que ma participation au plan se termine conformément au Plan d’Achat d’Actions.</w:t>
      </w:r>
    </w:p>
    <w:p>
      <w:pPr>
        <w:spacing w:after="0" w:line="220" w:lineRule="exact"/>
        <w:rPr>
          <w:sz w:val="20"/>
          <w:szCs w:val="20"/>
          <w:color w:val="auto"/>
        </w:rPr>
      </w:pPr>
    </w:p>
    <w:p>
      <w:pPr>
        <w:jc w:val="both"/>
        <w:spacing w:after="0" w:line="253" w:lineRule="auto"/>
        <w:rPr>
          <w:sz w:val="20"/>
          <w:szCs w:val="20"/>
          <w:color w:val="auto"/>
        </w:rPr>
      </w:pPr>
      <w:r>
        <w:rPr>
          <w:rFonts w:ascii="Arial" w:cs="Arial" w:eastAsia="Arial" w:hAnsi="Arial"/>
          <w:sz w:val="18"/>
          <w:szCs w:val="18"/>
          <w:i w:val="1"/>
          <w:iCs w:val="1"/>
          <w:color w:val="auto"/>
        </w:rPr>
        <w:t>Je comprends que les Prélèvements sur Salaire mentionnés ci-dessus vont s’accumuler pour permettre l’acquisition des Actions Ordinaires au prix d’acquisition tel que déterminé conformément au Plan d’Achat d’Actions. Je comprends également que, à moins que le Plan d’Achat d’Actions n’en dispose autrement, les actions seront automatiquement acquises pour mon compte à chaque Date d’Acquisition de la Période d’Offre à moins que je ne me retire du Plan d’Achat d’Actions par notification écrite à la Société au moins 15 jours avant la Date d’Acquisition ou que ma participation au Plan d’Achat d’Actions ne se termine d’une autre façon. Je comprends que je peux me retirer du Plan d’Achat d’Actions et me faire rembourser les Prélèvements sur Salaire (sans intérêt) rapidement à tout moment pendant la Période d’Offre dès lors qu’une notification écrite de mon retrait est fournie à l’Administrateur, sous la forme requise, au moins 15 jours avant la Date d’Acquisition. Je comprends que la durée des Périodes d’Offre (en ce compris les premiers jours des Périodes d’Offre applicables) peuvent être modifiées par l’Administrateur conformément aux Sections 4 et 18 du Plan d’Achat d’Actions.</w:t>
      </w: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Language Consent</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By signing and returning or by otherwise accepting the Subscription Agreement, I confirm having read and understood the documents relating to this grant of the right to purchase shares of Common Stock (the Stock Purchase Plan, the Subscription Agreement, and this Addendum) which were provided to me in the English language. I accept the terms of those documents accordingly.</w:t>
      </w:r>
    </w:p>
    <w:p>
      <w:pPr>
        <w:sectPr>
          <w:pgSz w:w="11900" w:h="16838" w:orient="portrait"/>
          <w:cols w:equalWidth="0" w:num="1">
            <w:col w:w="11240"/>
          </w:cols>
          <w:pgMar w:left="320" w:top="773"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3"/>
          <w:szCs w:val="13"/>
          <w:color w:val="auto"/>
        </w:rPr>
        <w:t>6728178-v3\GESDMS</w:t>
      </w:r>
    </w:p>
    <w:p>
      <w:pPr>
        <w:sectPr>
          <w:pgSz w:w="11900" w:h="16838" w:orient="portrait"/>
          <w:cols w:equalWidth="0" w:num="1">
            <w:col w:w="11240"/>
          </w:cols>
          <w:pgMar w:left="320" w:top="773" w:right="339" w:bottom="1440" w:gutter="0" w:footer="0" w:header="0"/>
          <w:type w:val="continuous"/>
        </w:sectPr>
      </w:pPr>
    </w:p>
    <w:bookmarkStart w:id="108" w:name="page109"/>
    <w:bookmarkEnd w:id="108"/>
    <w:p>
      <w:pPr>
        <w:spacing w:after="0"/>
        <w:rPr>
          <w:sz w:val="20"/>
          <w:szCs w:val="20"/>
          <w:color w:val="auto"/>
        </w:rPr>
      </w:pPr>
      <w:r>
        <w:rPr>
          <w:rFonts w:ascii="Arial" w:cs="Arial" w:eastAsia="Arial" w:hAnsi="Arial"/>
          <w:sz w:val="18"/>
          <w:szCs w:val="18"/>
          <w:i w:val="1"/>
          <w:iCs w:val="1"/>
          <w:u w:val="single" w:color="auto"/>
          <w:color w:val="auto"/>
        </w:rPr>
        <w:t>Consentement Relatif à la Langue Utilisée</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i w:val="1"/>
          <w:iCs w:val="1"/>
          <w:color w:val="auto"/>
        </w:rPr>
        <w:t>En signant et renvoyant, ou autrement acceptant, les termes et conditions du Contrat de Souscription, je confirme ainsi avoir lu et compris les documents relatifs à cette attribution du droit d’achat d’Actions Cotées en Bourse (le Plan, le Contrat de Souscription, et la présente Annexe) qui m’ont été fournis dans la langue anglaise. J’accepte les termes de ces documents en connaissance de cause.</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French residents must declare all foreign accounts, whether open, current, or closed, in their income tax returns. I should consult with a personal tax advisor to ensure compliance with applicable reporting obligations.</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Germany</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Cross-border payments in excess of €12,500 must be reported monthly. If I make or receive a payment in excess of this amount, I understand that I am responsible for electronically reporting to German Federal Bank (</w:t>
      </w:r>
      <w:r>
        <w:rPr>
          <w:rFonts w:ascii="Arial" w:cs="Arial" w:eastAsia="Arial" w:hAnsi="Arial"/>
          <w:sz w:val="18"/>
          <w:szCs w:val="18"/>
          <w:i w:val="1"/>
          <w:iCs w:val="1"/>
          <w:color w:val="auto"/>
        </w:rPr>
        <w:t>Bundesbank</w:t>
      </w:r>
      <w:r>
        <w:rPr>
          <w:rFonts w:ascii="Arial" w:cs="Arial" w:eastAsia="Arial" w:hAnsi="Arial"/>
          <w:sz w:val="18"/>
          <w:szCs w:val="18"/>
          <w:color w:val="auto"/>
        </w:rPr>
        <w:t>) by the fifth day of the month following the month in which the payment occurs. The form of report (“</w:t>
      </w:r>
      <w:r>
        <w:rPr>
          <w:rFonts w:ascii="Arial" w:cs="Arial" w:eastAsia="Arial" w:hAnsi="Arial"/>
          <w:sz w:val="18"/>
          <w:szCs w:val="18"/>
          <w:i w:val="1"/>
          <w:iCs w:val="1"/>
          <w:color w:val="auto"/>
        </w:rPr>
        <w:t>Allgemeine Meldeportal Statistik</w:t>
      </w:r>
      <w:r>
        <w:rPr>
          <w:rFonts w:ascii="Arial" w:cs="Arial" w:eastAsia="Arial" w:hAnsi="Arial"/>
          <w:sz w:val="18"/>
          <w:szCs w:val="18"/>
          <w:color w:val="auto"/>
        </w:rPr>
        <w:t>”) can be accessed via German Federal Bank’s website (</w:t>
      </w:r>
      <w:r>
        <w:rPr>
          <w:rFonts w:ascii="Arial" w:cs="Arial" w:eastAsia="Arial" w:hAnsi="Arial"/>
          <w:sz w:val="18"/>
          <w:szCs w:val="18"/>
          <w:u w:val="single" w:color="auto"/>
          <w:color w:val="auto"/>
        </w:rPr>
        <w:t>www.bundesbank.de</w:t>
      </w:r>
      <w:r>
        <w:rPr>
          <w:rFonts w:ascii="Arial" w:cs="Arial" w:eastAsia="Arial" w:hAnsi="Arial"/>
          <w:sz w:val="18"/>
          <w:szCs w:val="18"/>
          <w:color w:val="auto"/>
        </w:rPr>
        <w:t>) and is available in both German and English.</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Hong Kong</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I hereby expressly acknowledge that my authorization to the Employer to deduct a percentage of my Payroll was given voluntarily for purposes of my participation in the Stock Purchase Plan.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68" w:lineRule="auto"/>
        <w:rPr>
          <w:sz w:val="20"/>
          <w:szCs w:val="20"/>
          <w:color w:val="auto"/>
        </w:rPr>
      </w:pPr>
      <w:r>
        <w:rPr>
          <w:rFonts w:ascii="Arial" w:cs="Arial" w:eastAsia="Arial" w:hAnsi="Arial"/>
          <w:sz w:val="17"/>
          <w:szCs w:val="17"/>
          <w:i w:val="1"/>
          <w:iCs w:val="1"/>
          <w:color w:val="auto"/>
        </w:rPr>
        <w:t>WARNING: The contents of this document have not been reviewed by any regulatory authority in Hong Kong. I am advised to exercise caution in relation to the offer. If I am in any doubt about any of the contents of the Subscription Agreement, including this Addendum, the Stock Purchase Plan or the Stock Purchase Plan prospectus, I should obtain independent professional advice. Purchase Rights and any shares of Common Stock subject to the Purchase Rights do not constitute a public offering of securities under Hong Kong law and are available only to employees of the Company, a Parent or a Subsidiary. The Subscription Agreement, including this Addendum, the Stock Purchase Plan and other incidental communication materials have not been prepared in accordance with, and are not intended to constitute a “prospectus” for, a public offering of securities under the applicable securities legislation in Hong Kong. The Purchase Rights and any documentation related thereto are intended solely for the personal use of each employee of the Company, a Parent or a Subsidiary and may not be distributed to any other person.</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India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Exchange control laws and regulations in India require that any proceeds from the sale of shares of Common Stock acquired under the Stock Purchase Plan and any dividends paid on such shares of Common Stock be repatriated to India and converted into local currency within such period of time as prescribed under applicable India exchange control laws and regulations. I must obtain a foreign inward remittance certificate (“FIRC”) from the bank where I deposit the foreign currency. I should maintain the FIRC as evidence of the repatriation of funds in the event the Reserve Bank of India or the Employer requests proof of repatriation.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ectPr>
          <w:pgSz w:w="11900" w:h="16838" w:orient="portrait"/>
          <w:cols w:equalWidth="0" w:num="1">
            <w:col w:w="11240"/>
          </w:cols>
          <w:pgMar w:left="320" w:top="773"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spacing w:after="0"/>
        <w:rPr>
          <w:sz w:val="20"/>
          <w:szCs w:val="20"/>
          <w:color w:val="auto"/>
        </w:rPr>
      </w:pPr>
      <w:r>
        <w:rPr>
          <w:rFonts w:ascii="Arial" w:cs="Arial" w:eastAsia="Arial" w:hAnsi="Arial"/>
          <w:sz w:val="13"/>
          <w:szCs w:val="13"/>
          <w:color w:val="auto"/>
        </w:rPr>
        <w:t>6728178-v3\GESDMS</w:t>
      </w:r>
    </w:p>
    <w:p>
      <w:pPr>
        <w:sectPr>
          <w:pgSz w:w="11900" w:h="16838" w:orient="portrait"/>
          <w:cols w:equalWidth="0" w:num="1">
            <w:col w:w="11240"/>
          </w:cols>
          <w:pgMar w:left="320" w:top="773" w:right="339" w:bottom="1440" w:gutter="0" w:footer="0" w:header="0"/>
          <w:type w:val="continuous"/>
        </w:sectPr>
      </w:pPr>
    </w:p>
    <w:bookmarkStart w:id="109" w:name="page110"/>
    <w:bookmarkEnd w:id="109"/>
    <w:p>
      <w:pPr>
        <w:jc w:val="both"/>
        <w:spacing w:after="0" w:line="308" w:lineRule="auto"/>
        <w:rPr>
          <w:sz w:val="20"/>
          <w:szCs w:val="20"/>
          <w:color w:val="auto"/>
        </w:rPr>
      </w:pPr>
      <w:r>
        <w:rPr>
          <w:rFonts w:ascii="Arial" w:cs="Arial" w:eastAsia="Arial" w:hAnsi="Arial"/>
          <w:sz w:val="17"/>
          <w:szCs w:val="17"/>
          <w:color w:val="auto"/>
        </w:rPr>
        <w:t>Foreign bank accounts and any foreign financial assets (including shares of Common Stock held outside India) must be reported in my annual Indian personal tax return. I am solely responsible for complying with this reporting obligation and should confer with my personal tax advisor in this regard.</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Israel</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23" w:lineRule="exact"/>
        <w:rPr>
          <w:sz w:val="20"/>
          <w:szCs w:val="20"/>
          <w:color w:val="auto"/>
        </w:rPr>
      </w:pPr>
    </w:p>
    <w:p>
      <w:pPr>
        <w:jc w:val="both"/>
        <w:spacing w:after="0" w:line="252" w:lineRule="auto"/>
        <w:rPr>
          <w:sz w:val="20"/>
          <w:szCs w:val="20"/>
          <w:color w:val="auto"/>
        </w:rPr>
      </w:pPr>
      <w:r>
        <w:rPr>
          <w:rFonts w:ascii="Arial" w:cs="Arial" w:eastAsia="Arial" w:hAnsi="Arial"/>
          <w:sz w:val="18"/>
          <w:szCs w:val="18"/>
          <w:color w:val="auto"/>
        </w:rPr>
        <w:t>Notwithstanding Section 5 of the Subscription Agreement, I understand that, subject to the Israeli tax laws, as may be amended from time to time, it is the Employer’s statutory liability to withhold any Tax-Related Items resulting from my participation in the Stock Purchase Plan. I agree that in case the amount of the Tax-Related Items is not withheld from my pay check and/or the Company determines that it is not feasible to withhold from the proceeds from the sale of shares, I will transfer the Tax-Related Item amounts not withheld from my pay check (or otherwise recovered from me) to the Employer no later than five business days after the pay date following the taxable event. I further agree that the shares issued to me pursuant to the Stock Purchase Plan will be deposited with the Company’s designated broker account to assist with any sale of shares or transfer of shares on my behalf and pursuant to this authorization.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Italy</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jc w:val="both"/>
        <w:spacing w:after="0" w:line="257" w:lineRule="auto"/>
        <w:rPr>
          <w:sz w:val="20"/>
          <w:szCs w:val="20"/>
          <w:color w:val="auto"/>
        </w:rPr>
      </w:pPr>
      <w:r>
        <w:rPr>
          <w:rFonts w:ascii="Arial" w:cs="Arial" w:eastAsia="Arial" w:hAnsi="Arial"/>
          <w:sz w:val="18"/>
          <w:szCs w:val="18"/>
          <w:u w:val="single" w:color="auto"/>
          <w:color w:val="auto"/>
        </w:rPr>
        <w:t>Stock Purchase Plan Document Acknowledgment</w:t>
      </w:r>
      <w:r>
        <w:rPr>
          <w:rFonts w:ascii="Arial" w:cs="Arial" w:eastAsia="Arial" w:hAnsi="Arial"/>
          <w:sz w:val="18"/>
          <w:szCs w:val="18"/>
          <w:color w:val="auto"/>
        </w:rPr>
        <w:t>. In participating in the Stock Purchase Plan, I acknowledge that I have received a copy of the Stock Purchase Plan and the Subscription Agreement and have reviewed the Stock Purchase Plan and the Subscription Agreement, including this Addendum, in their entirety and fully understand and accept all provisions of the Stock Purchase Plan and the Subscription Agreement. I further acknowledge that I have read and specifically and expressly approve the following sections of the Subscription Agreement: Section 6, Section 7, Section 9, Section 10, Section 11 and Section 15.</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jc w:val="both"/>
        <w:spacing w:after="0" w:line="259" w:lineRule="auto"/>
        <w:rPr>
          <w:sz w:val="20"/>
          <w:szCs w:val="20"/>
          <w:color w:val="auto"/>
        </w:rPr>
      </w:pPr>
      <w:r>
        <w:rPr>
          <w:rFonts w:ascii="Arial" w:cs="Arial" w:eastAsia="Arial" w:hAnsi="Arial"/>
          <w:sz w:val="18"/>
          <w:szCs w:val="18"/>
          <w:u w:val="single" w:color="auto"/>
          <w:color w:val="auto"/>
        </w:rPr>
        <w:t>Foreign Asset/Account Reporting Notification</w:t>
      </w:r>
      <w:r>
        <w:rPr>
          <w:rFonts w:ascii="Arial" w:cs="Arial" w:eastAsia="Arial" w:hAnsi="Arial"/>
          <w:sz w:val="18"/>
          <w:szCs w:val="18"/>
          <w:color w:val="auto"/>
        </w:rPr>
        <w:t>. If I hold investments abroad or foreign financial assets (</w:t>
      </w:r>
      <w:r>
        <w:rPr>
          <w:rFonts w:ascii="Arial" w:cs="Arial" w:eastAsia="Arial" w:hAnsi="Arial"/>
          <w:sz w:val="18"/>
          <w:szCs w:val="18"/>
          <w:i w:val="1"/>
          <w:iCs w:val="1"/>
          <w:color w:val="auto"/>
        </w:rPr>
        <w:t>e.g.</w:t>
      </w:r>
      <w:r>
        <w:rPr>
          <w:rFonts w:ascii="Arial" w:cs="Arial" w:eastAsia="Arial" w:hAnsi="Arial"/>
          <w:sz w:val="18"/>
          <w:szCs w:val="18"/>
          <w:color w:val="auto"/>
        </w:rPr>
        <w:t>, cash, shares of Common Stock, Purchase Rights) that may generate income taxable in Italy, I must report them on my annual tax return or on a special form if no tax return is due, irrespective of their value. The same reporting duties apply if I am a beneficial owner of the investments, even if I do not directly hold investments abroad or foreign assets.</w:t>
      </w:r>
    </w:p>
    <w:p>
      <w:pPr>
        <w:spacing w:after="0" w:line="79" w:lineRule="exact"/>
        <w:rPr>
          <w:sz w:val="20"/>
          <w:szCs w:val="20"/>
          <w:color w:val="auto"/>
        </w:rPr>
      </w:pPr>
    </w:p>
    <w:p>
      <w:pPr>
        <w:jc w:val="both"/>
        <w:spacing w:after="0" w:line="257" w:lineRule="auto"/>
        <w:rPr>
          <w:sz w:val="20"/>
          <w:szCs w:val="20"/>
          <w:color w:val="auto"/>
        </w:rPr>
      </w:pPr>
      <w:r>
        <w:rPr>
          <w:rFonts w:ascii="Arial" w:cs="Arial" w:eastAsia="Arial" w:hAnsi="Arial"/>
          <w:sz w:val="18"/>
          <w:szCs w:val="18"/>
          <w:u w:val="single" w:color="auto"/>
          <w:color w:val="auto"/>
        </w:rPr>
        <w:t>Foreign Financial Asset Tax Notification</w:t>
      </w:r>
      <w:r>
        <w:rPr>
          <w:rFonts w:ascii="Arial" w:cs="Arial" w:eastAsia="Arial" w:hAnsi="Arial"/>
          <w:sz w:val="18"/>
          <w:szCs w:val="18"/>
          <w:color w:val="auto"/>
        </w:rPr>
        <w:t>. The value of any shares of Common Stock (and certain other foreign assets) an Italian resident holds outside Italy may be subject to a foreign financial assets tax. The taxable amount is equal to the fair market value of the shares of Common Stock on December 31 or on the last day the shares of Common Stock were held (the tax is levied in proportion to the number of days the shares of Common Stock were held over the calendar year). The value of financial assets held abroad must be reported in Form RM of the annual tax return. I should consult a personal tax advisor for additional information about the foreign financial assets tax.</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Japan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If I acquire shares of Common Stock valued at more than ¥100,000,000 in a single transaction, I understand that I must file a Securities Acquisition Report with the Ministry of Finance through the Bank of Japan within 20 days of the acquisition.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Details of any assets held outside of Japan as of December 31, including shares of Common Stock, must be reported to the Tax Office, to the extent such assets have a total net fair market value exceeding ¥50,000,000. The report is due by March 15 each year. I understand that I am responsible for complying with this reporting obligation and should confer with my personal tax advisor in this regard.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10" w:name="page111"/>
    <w:bookmarkEnd w:id="110"/>
    <w:p>
      <w:pPr>
        <w:spacing w:after="0"/>
        <w:rPr>
          <w:sz w:val="20"/>
          <w:szCs w:val="20"/>
          <w:color w:val="auto"/>
        </w:rPr>
      </w:pPr>
      <w:r>
        <w:rPr>
          <w:rFonts w:ascii="Arial" w:cs="Arial" w:eastAsia="Arial" w:hAnsi="Arial"/>
          <w:sz w:val="18"/>
          <w:szCs w:val="18"/>
          <w:b w:val="1"/>
          <w:bCs w:val="1"/>
          <w:u w:val="single" w:color="auto"/>
          <w:color w:val="auto"/>
        </w:rPr>
        <w:t>Korea</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Power of Attorney</w:t>
      </w:r>
    </w:p>
    <w:p>
      <w:pPr>
        <w:spacing w:after="0" w:line="23" w:lineRule="exact"/>
        <w:rPr>
          <w:sz w:val="20"/>
          <w:szCs w:val="20"/>
          <w:color w:val="auto"/>
        </w:rPr>
      </w:pPr>
    </w:p>
    <w:p>
      <w:pPr>
        <w:jc w:val="both"/>
        <w:ind w:right="20"/>
        <w:spacing w:after="0" w:line="255" w:lineRule="auto"/>
        <w:rPr>
          <w:sz w:val="20"/>
          <w:szCs w:val="20"/>
          <w:color w:val="auto"/>
        </w:rPr>
      </w:pPr>
      <w:r>
        <w:rPr>
          <w:rFonts w:ascii="Arial" w:cs="Arial" w:eastAsia="Arial" w:hAnsi="Arial"/>
          <w:sz w:val="18"/>
          <w:szCs w:val="18"/>
          <w:color w:val="auto"/>
        </w:rPr>
        <w:t>I understand that, if requested by the Company or the Employer to effect the transfer of my Payroll deductions outside of Korea for the purchase of shares of Common Stock under the Stock Purchase Plan, I will need to print, sign, and return any Power of Attorney form provided to me by my local human resources representative or Stock Administration in order to participate in the Stock Purchase Plan.</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Korean residents must declare all foreign financial accounts (</w:t>
      </w:r>
      <w:r>
        <w:rPr>
          <w:rFonts w:ascii="Arial" w:cs="Arial" w:eastAsia="Arial" w:hAnsi="Arial"/>
          <w:sz w:val="18"/>
          <w:szCs w:val="18"/>
          <w:i w:val="1"/>
          <w:iCs w:val="1"/>
          <w:color w:val="auto"/>
        </w:rPr>
        <w:t>e.g.</w:t>
      </w:r>
      <w:r>
        <w:rPr>
          <w:rFonts w:ascii="Arial" w:cs="Arial" w:eastAsia="Arial" w:hAnsi="Arial"/>
          <w:sz w:val="18"/>
          <w:szCs w:val="18"/>
          <w:color w:val="auto"/>
        </w:rPr>
        <w:t>, brokerage accounts, bank accounts) to the Korean tax authority and file a report with respect to such accounts if the value of the assets in such accounts exceeds KRW 500 million (or the equivalent amount in a foreign currency) on any month-end date during the calendar year. I am responsible for complying with applicable reporting obligations and should speak to my personal legal advisor on this matter.</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Malaysia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117" w:lineRule="exact"/>
        <w:rPr>
          <w:sz w:val="20"/>
          <w:szCs w:val="20"/>
          <w:color w:val="auto"/>
        </w:rPr>
      </w:pPr>
    </w:p>
    <w:p>
      <w:pPr>
        <w:jc w:val="both"/>
        <w:spacing w:after="0" w:line="259" w:lineRule="auto"/>
        <w:rPr>
          <w:sz w:val="20"/>
          <w:szCs w:val="20"/>
          <w:color w:val="auto"/>
        </w:rPr>
      </w:pPr>
      <w:r>
        <w:rPr>
          <w:rFonts w:ascii="Arial" w:cs="Arial" w:eastAsia="Arial" w:hAnsi="Arial"/>
          <w:sz w:val="18"/>
          <w:szCs w:val="18"/>
          <w:u w:val="single" w:color="auto"/>
          <w:color w:val="auto"/>
        </w:rPr>
        <w:t>Director Notification Obligation</w:t>
      </w:r>
      <w:r>
        <w:rPr>
          <w:rFonts w:ascii="Arial" w:cs="Arial" w:eastAsia="Arial" w:hAnsi="Arial"/>
          <w:sz w:val="18"/>
          <w:szCs w:val="18"/>
          <w:color w:val="auto"/>
        </w:rPr>
        <w:t>. If I am director of a Subsidiary in Malaysia, I am subject to certain notification requirements under the Malaysian Companies Act. Among these requirements is an obligation to notify such Malaysian Subsidiary in writing when I receive or dispose of an interest (</w:t>
      </w:r>
      <w:r>
        <w:rPr>
          <w:rFonts w:ascii="Arial" w:cs="Arial" w:eastAsia="Arial" w:hAnsi="Arial"/>
          <w:sz w:val="18"/>
          <w:szCs w:val="18"/>
          <w:i w:val="1"/>
          <w:iCs w:val="1"/>
          <w:color w:val="auto"/>
        </w:rPr>
        <w:t>e.g.</w:t>
      </w:r>
      <w:r>
        <w:rPr>
          <w:rFonts w:ascii="Arial" w:cs="Arial" w:eastAsia="Arial" w:hAnsi="Arial"/>
          <w:sz w:val="18"/>
          <w:szCs w:val="18"/>
          <w:color w:val="auto"/>
        </w:rPr>
        <w:t>, Purchase Rights, shares of Common Stocks) in the Company or any related company. Such notifications must be made within fourteen days of receiving or disposing of any interest in the Company or any related company.</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Netherlands</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Nature of Grant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38" w:lineRule="exact"/>
        <w:rPr>
          <w:sz w:val="20"/>
          <w:szCs w:val="20"/>
          <w:color w:val="auto"/>
        </w:rPr>
      </w:pPr>
    </w:p>
    <w:p>
      <w:pPr>
        <w:jc w:val="both"/>
        <w:ind w:right="20"/>
        <w:spacing w:after="0" w:line="308" w:lineRule="auto"/>
        <w:rPr>
          <w:sz w:val="20"/>
          <w:szCs w:val="20"/>
          <w:color w:val="auto"/>
        </w:rPr>
      </w:pPr>
      <w:r>
        <w:rPr>
          <w:rFonts w:ascii="Arial" w:cs="Arial" w:eastAsia="Arial" w:hAnsi="Arial"/>
          <w:sz w:val="17"/>
          <w:szCs w:val="17"/>
          <w:color w:val="auto"/>
        </w:rPr>
        <w:t>By participating in the Stock Purchase Plan and authorizing Payroll deductions, I acknowledge that the Purchase Right granted under the Stock Purchase Plan is intended as an incentive for me to remain employed with the Employer and is not intended as remuneration for labor performed.</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168910</wp:posOffset>
            </wp:positionV>
            <wp:extent cx="5854700" cy="42862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5">
                      <a:extLst>
                        <a:ext uri="{28A0092B-C50C-407E-A947-70E740481C1C}"/>
                      </a:extLst>
                    </a:blip>
                    <a:srcRect/>
                    <a:stretch>
                      <a:fillRect/>
                    </a:stretch>
                  </pic:blipFill>
                  <pic:spPr bwMode="auto">
                    <a:xfrm>
                      <a:off x="0" y="0"/>
                      <a:ext cx="5854700"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POLAND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23" w:lineRule="exact"/>
        <w:rPr>
          <w:sz w:val="20"/>
          <w:szCs w:val="20"/>
          <w:color w:val="auto"/>
        </w:rPr>
      </w:pPr>
    </w:p>
    <w:p>
      <w:pPr>
        <w:jc w:val="both"/>
        <w:spacing w:after="0" w:line="292" w:lineRule="auto"/>
        <w:rPr>
          <w:sz w:val="20"/>
          <w:szCs w:val="20"/>
          <w:color w:val="auto"/>
        </w:rPr>
      </w:pPr>
      <w:r>
        <w:rPr>
          <w:rFonts w:ascii="Arial" w:cs="Arial" w:eastAsia="Arial" w:hAnsi="Arial"/>
          <w:sz w:val="16"/>
          <w:szCs w:val="16"/>
          <w:color w:val="auto"/>
        </w:rPr>
        <w:t>I understand that as a condition of my participation in the Stock Purchase Plan, I will be required to execute the attached Consent for Deduction form. I understand that I must print out the form, sign and date the form in the applicable places, and return a copy to my local human resources representative. Further, I agree to execute other agreements or consents that may be required by the Company or the Employer with respect to payroll deductions under the Stock Purchase Plan. I understand that if I fail to execute the Consent for Deduction form or any other form of agreement or consent that is required with respect to payroll deductions under the Stock Purchase Plan, I may not be able to participate in the Stock Purchase Plan.</w:t>
      </w:r>
    </w:p>
    <w:p>
      <w:pPr>
        <w:sectPr>
          <w:pgSz w:w="11900" w:h="16838" w:orient="portrait"/>
          <w:cols w:equalWidth="0" w:num="1">
            <w:col w:w="11240"/>
          </w:cols>
          <w:pgMar w:left="320" w:top="769"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3"/>
          <w:szCs w:val="13"/>
          <w:color w:val="auto"/>
        </w:rPr>
        <w:t>6728178-v3\GESDMS</w:t>
      </w:r>
    </w:p>
    <w:p>
      <w:pPr>
        <w:sectPr>
          <w:pgSz w:w="11900" w:h="16838" w:orient="portrait"/>
          <w:cols w:equalWidth="0" w:num="1">
            <w:col w:w="11240"/>
          </w:cols>
          <w:pgMar w:left="320" w:top="769" w:right="339" w:bottom="1440" w:gutter="0" w:footer="0" w:header="0"/>
          <w:type w:val="continuous"/>
        </w:sectPr>
      </w:pPr>
    </w:p>
    <w:bookmarkStart w:id="111" w:name="page112"/>
    <w:bookmarkEnd w:id="111"/>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3" w:lineRule="auto"/>
        <w:rPr>
          <w:sz w:val="20"/>
          <w:szCs w:val="20"/>
          <w:color w:val="auto"/>
        </w:rPr>
      </w:pPr>
      <w:r>
        <w:rPr>
          <w:rFonts w:ascii="Arial" w:cs="Arial" w:eastAsia="Arial" w:hAnsi="Arial"/>
          <w:sz w:val="17"/>
          <w:szCs w:val="17"/>
          <w:color w:val="auto"/>
        </w:rPr>
        <w:t>Polish residents holding cash and foreign securities (including Shares) in bank or brokerage accounts outside of Poland must report information to the National Bank of Poland on transactions and balances in such accounts if the value of such cash and securities exceeds PLN 7 million. If required, such reports must be filed on special forms available on the website of the National Bank of Poland. Participant should consult with a personal legal advisor to determine whether Participant will be required to submit reports to the National Bank of Poland.</w:t>
      </w:r>
    </w:p>
    <w:p>
      <w:pPr>
        <w:spacing w:after="0" w:line="203"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Further, any transfer of funds in excess of €15,000 (or if such transfer of funds is connected with business activity of an entrepreneur, a lower threshold) into or out of Poland must be effected through a bank account in Poland. All documents connected with any foreign exchange transactions must be retained for a period of five years from the end of the year in which the transaction occurred.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12" w:name="page113"/>
    <w:bookmarkEnd w:id="112"/>
    <w:tbl>
      <w:tblPr>
        <w:tblLayout w:type="fixed"/>
        <w:tblInd w:w="1040" w:type="dxa"/>
        <w:tblCellMar>
          <w:top w:w="0" w:type="dxa"/>
          <w:left w:w="0" w:type="dxa"/>
          <w:bottom w:w="0" w:type="dxa"/>
          <w:right w:w="0" w:type="dxa"/>
        </w:tblCellMar>
      </w:tblPr>
      <w:tr>
        <w:trPr>
          <w:trHeight w:val="234"/>
        </w:trPr>
        <w:tc>
          <w:tcPr>
            <w:tcW w:w="4200" w:type="dxa"/>
            <w:vAlign w:val="bottom"/>
            <w:gridSpan w:val="3"/>
          </w:tcPr>
          <w:p>
            <w:pPr>
              <w:jc w:val="center"/>
              <w:ind w:right="520"/>
              <w:spacing w:after="0"/>
              <w:rPr>
                <w:sz w:val="20"/>
                <w:szCs w:val="20"/>
                <w:color w:val="auto"/>
              </w:rPr>
            </w:pPr>
            <w:r>
              <w:rPr>
                <w:rFonts w:ascii="Arial" w:cs="Arial" w:eastAsia="Arial" w:hAnsi="Arial"/>
                <w:sz w:val="18"/>
                <w:szCs w:val="18"/>
                <w:b w:val="1"/>
                <w:bCs w:val="1"/>
                <w:color w:val="auto"/>
              </w:rPr>
              <w:t>MARVELL TECHNOLOGY, INC.</w:t>
            </w:r>
          </w:p>
        </w:tc>
        <w:tc>
          <w:tcPr>
            <w:tcW w:w="4620" w:type="dxa"/>
            <w:vAlign w:val="bottom"/>
            <w:gridSpan w:val="3"/>
          </w:tcPr>
          <w:p>
            <w:pPr>
              <w:jc w:val="center"/>
              <w:ind w:left="410"/>
              <w:spacing w:after="0"/>
              <w:rPr>
                <w:sz w:val="20"/>
                <w:szCs w:val="20"/>
                <w:color w:val="auto"/>
              </w:rPr>
            </w:pPr>
            <w:r>
              <w:rPr>
                <w:rFonts w:ascii="Arial" w:cs="Arial" w:eastAsia="Arial" w:hAnsi="Arial"/>
                <w:sz w:val="18"/>
                <w:szCs w:val="18"/>
                <w:b w:val="1"/>
                <w:bCs w:val="1"/>
                <w:color w:val="auto"/>
              </w:rPr>
              <w:t>MARVELL TECHNOLOGY, INC.</w:t>
            </w:r>
          </w:p>
        </w:tc>
      </w:tr>
      <w:tr>
        <w:trPr>
          <w:trHeight w:val="459"/>
        </w:trPr>
        <w:tc>
          <w:tcPr>
            <w:tcW w:w="4200" w:type="dxa"/>
            <w:vAlign w:val="bottom"/>
            <w:gridSpan w:val="3"/>
          </w:tcPr>
          <w:p>
            <w:pPr>
              <w:jc w:val="center"/>
              <w:ind w:right="520"/>
              <w:spacing w:after="0"/>
              <w:rPr>
                <w:sz w:val="20"/>
                <w:szCs w:val="20"/>
                <w:color w:val="auto"/>
              </w:rPr>
            </w:pPr>
            <w:r>
              <w:rPr>
                <w:rFonts w:ascii="Arial" w:cs="Arial" w:eastAsia="Arial" w:hAnsi="Arial"/>
                <w:sz w:val="18"/>
                <w:szCs w:val="18"/>
                <w:b w:val="1"/>
                <w:bCs w:val="1"/>
                <w:color w:val="auto"/>
                <w:w w:val="98"/>
              </w:rPr>
              <w:t>2000 EMPLOYEE STOCK PURCHASE PLAN</w:t>
            </w:r>
          </w:p>
        </w:tc>
        <w:tc>
          <w:tcPr>
            <w:tcW w:w="4620" w:type="dxa"/>
            <w:vAlign w:val="bottom"/>
            <w:gridSpan w:val="3"/>
          </w:tcPr>
          <w:p>
            <w:pPr>
              <w:jc w:val="center"/>
              <w:ind w:left="410"/>
              <w:spacing w:after="0"/>
              <w:rPr>
                <w:sz w:val="20"/>
                <w:szCs w:val="20"/>
                <w:color w:val="auto"/>
              </w:rPr>
            </w:pPr>
            <w:r>
              <w:rPr>
                <w:rFonts w:ascii="Arial" w:cs="Arial" w:eastAsia="Arial" w:hAnsi="Arial"/>
                <w:sz w:val="18"/>
                <w:szCs w:val="18"/>
                <w:b w:val="1"/>
                <w:bCs w:val="1"/>
                <w:color w:val="auto"/>
              </w:rPr>
              <w:t>2000 PRACOWNICZY PLAN NABYWANIA AKCJI</w:t>
            </w:r>
          </w:p>
        </w:tc>
      </w:tr>
      <w:tr>
        <w:trPr>
          <w:trHeight w:val="540"/>
        </w:trPr>
        <w:tc>
          <w:tcPr>
            <w:tcW w:w="62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3160" w:type="dxa"/>
            <w:vAlign w:val="bottom"/>
            <w:gridSpan w:val="2"/>
          </w:tcPr>
          <w:p>
            <w:pPr>
              <w:jc w:val="center"/>
              <w:ind w:right="960"/>
              <w:spacing w:after="0"/>
              <w:rPr>
                <w:sz w:val="20"/>
                <w:szCs w:val="20"/>
                <w:color w:val="auto"/>
              </w:rPr>
            </w:pPr>
            <w:r>
              <w:rPr>
                <w:rFonts w:ascii="Arial" w:cs="Arial" w:eastAsia="Arial" w:hAnsi="Arial"/>
                <w:sz w:val="18"/>
                <w:szCs w:val="18"/>
                <w:b w:val="1"/>
                <w:bCs w:val="1"/>
                <w:color w:val="auto"/>
                <w:w w:val="89"/>
              </w:rPr>
              <w:t>Dla Uczestników w Polsce</w:t>
            </w:r>
          </w:p>
        </w:tc>
      </w:tr>
      <w:tr>
        <w:trPr>
          <w:trHeight w:val="243"/>
        </w:trPr>
        <w:tc>
          <w:tcPr>
            <w:tcW w:w="620" w:type="dxa"/>
            <w:vAlign w:val="bottom"/>
          </w:tcPr>
          <w:p>
            <w:pPr>
              <w:spacing w:after="0"/>
              <w:rPr>
                <w:sz w:val="21"/>
                <w:szCs w:val="21"/>
                <w:color w:val="auto"/>
              </w:rPr>
            </w:pPr>
          </w:p>
        </w:tc>
        <w:tc>
          <w:tcPr>
            <w:tcW w:w="3580" w:type="dxa"/>
            <w:vAlign w:val="bottom"/>
            <w:gridSpan w:val="2"/>
          </w:tcPr>
          <w:p>
            <w:pPr>
              <w:jc w:val="center"/>
              <w:ind w:right="1140"/>
              <w:spacing w:after="0"/>
              <w:rPr>
                <w:sz w:val="20"/>
                <w:szCs w:val="20"/>
                <w:color w:val="auto"/>
              </w:rPr>
            </w:pPr>
            <w:r>
              <w:rPr>
                <w:rFonts w:ascii="Arial" w:cs="Arial" w:eastAsia="Arial" w:hAnsi="Arial"/>
                <w:sz w:val="18"/>
                <w:szCs w:val="18"/>
                <w:b w:val="1"/>
                <w:bCs w:val="1"/>
                <w:color w:val="auto"/>
                <w:w w:val="91"/>
              </w:rPr>
              <w:t>For Participants in Poland</w:t>
            </w:r>
          </w:p>
        </w:tc>
        <w:tc>
          <w:tcPr>
            <w:tcW w:w="1460" w:type="dxa"/>
            <w:vAlign w:val="bottom"/>
          </w:tcPr>
          <w:p>
            <w:pPr>
              <w:spacing w:after="0"/>
              <w:rPr>
                <w:sz w:val="21"/>
                <w:szCs w:val="21"/>
                <w:color w:val="auto"/>
              </w:rPr>
            </w:pPr>
          </w:p>
        </w:tc>
        <w:tc>
          <w:tcPr>
            <w:tcW w:w="22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553"/>
        </w:trPr>
        <w:tc>
          <w:tcPr>
            <w:tcW w:w="620" w:type="dxa"/>
            <w:vAlign w:val="bottom"/>
          </w:tcPr>
          <w:p>
            <w:pPr>
              <w:spacing w:after="0"/>
              <w:rPr>
                <w:sz w:val="24"/>
                <w:szCs w:val="24"/>
                <w:color w:val="auto"/>
              </w:rPr>
            </w:pPr>
          </w:p>
        </w:tc>
        <w:tc>
          <w:tcPr>
            <w:tcW w:w="3580" w:type="dxa"/>
            <w:vAlign w:val="bottom"/>
            <w:gridSpan w:val="2"/>
          </w:tcPr>
          <w:p>
            <w:pPr>
              <w:jc w:val="center"/>
              <w:ind w:right="1140"/>
              <w:spacing w:after="0"/>
              <w:rPr>
                <w:sz w:val="20"/>
                <w:szCs w:val="20"/>
                <w:color w:val="auto"/>
              </w:rPr>
            </w:pPr>
            <w:r>
              <w:rPr>
                <w:rFonts w:ascii="Arial" w:cs="Arial" w:eastAsia="Arial" w:hAnsi="Arial"/>
                <w:sz w:val="18"/>
                <w:szCs w:val="18"/>
                <w:b w:val="1"/>
                <w:bCs w:val="1"/>
                <w:color w:val="auto"/>
              </w:rPr>
              <w:t>CONSENT FOR DEDUCTION</w:t>
            </w:r>
          </w:p>
        </w:tc>
        <w:tc>
          <w:tcPr>
            <w:tcW w:w="4620" w:type="dxa"/>
            <w:vAlign w:val="bottom"/>
            <w:gridSpan w:val="3"/>
          </w:tcPr>
          <w:p>
            <w:pPr>
              <w:jc w:val="center"/>
              <w:ind w:left="410"/>
              <w:spacing w:after="0"/>
              <w:rPr>
                <w:sz w:val="20"/>
                <w:szCs w:val="20"/>
                <w:color w:val="auto"/>
              </w:rPr>
            </w:pPr>
            <w:r>
              <w:rPr>
                <w:rFonts w:ascii="Arial" w:cs="Arial" w:eastAsia="Arial" w:hAnsi="Arial"/>
                <w:sz w:val="18"/>
                <w:szCs w:val="18"/>
                <w:b w:val="1"/>
                <w:bCs w:val="1"/>
                <w:color w:val="auto"/>
              </w:rPr>
              <w:t>ZGODA NA POTRĄCENIE</w:t>
            </w:r>
          </w:p>
        </w:tc>
      </w:tr>
      <w:tr>
        <w:trPr>
          <w:trHeight w:val="20"/>
        </w:trPr>
        <w:tc>
          <w:tcPr>
            <w:tcW w:w="620" w:type="dxa"/>
            <w:vAlign w:val="bottom"/>
          </w:tcPr>
          <w:p>
            <w:pPr>
              <w:spacing w:after="0" w:line="20" w:lineRule="exact"/>
              <w:rPr>
                <w:sz w:val="1"/>
                <w:szCs w:val="1"/>
                <w:color w:val="auto"/>
              </w:rPr>
            </w:pPr>
          </w:p>
        </w:tc>
        <w:tc>
          <w:tcPr>
            <w:tcW w:w="244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200" w:type="dxa"/>
            <w:vAlign w:val="bottom"/>
            <w:shd w:val="clear" w:color="auto" w:fill="000000"/>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r>
    </w:tbl>
    <w:p>
      <w:pPr>
        <w:spacing w:after="0" w:line="121" w:lineRule="exact"/>
        <w:rPr>
          <w:sz w:val="20"/>
          <w:szCs w:val="20"/>
          <w:color w:val="auto"/>
        </w:rPr>
      </w:pPr>
    </w:p>
    <w:p>
      <w:pPr>
        <w:sectPr>
          <w:pgSz w:w="11900" w:h="16838" w:orient="portrait"/>
          <w:cols w:equalWidth="0" w:num="1">
            <w:col w:w="10240"/>
          </w:cols>
          <w:pgMar w:left="320" w:top="1282" w:right="1339" w:bottom="1440" w:gutter="0" w:footer="0" w:header="0"/>
        </w:sectPr>
      </w:pPr>
    </w:p>
    <w:p>
      <w:pPr>
        <w:ind w:left="500" w:right="140"/>
        <w:spacing w:after="0" w:line="289" w:lineRule="auto"/>
        <w:rPr>
          <w:sz w:val="20"/>
          <w:szCs w:val="20"/>
          <w:color w:val="auto"/>
        </w:rPr>
      </w:pPr>
      <w:r>
        <w:rPr>
          <w:rFonts w:ascii="Arial" w:cs="Arial" w:eastAsia="Arial" w:hAnsi="Arial"/>
          <w:sz w:val="16"/>
          <w:szCs w:val="16"/>
          <w:color w:val="auto"/>
        </w:rPr>
        <w:t>I, the undersigned, in order to participate in the Marvell Technology, Inc. 2000 Employee Stock Purchase Plan (“Stock Purchase Plan”), authorize my employer to withhold payroll deductions in the amount of ___% of my Payroll, or such other percentage as subsequently selected by me under the Stock Purchase Plan. I understand that this amount must not be more than 15% of my Payroll for any Offering Period with the reservation that the deductions are made in accordance with the applicable provisions of the Polish labor law.</w:t>
      </w:r>
    </w:p>
    <w:p>
      <w:pPr>
        <w:spacing w:after="0" w:line="328" w:lineRule="exact"/>
        <w:rPr>
          <w:sz w:val="20"/>
          <w:szCs w:val="20"/>
          <w:color w:val="auto"/>
        </w:rPr>
      </w:pPr>
    </w:p>
    <w:p>
      <w:pPr>
        <w:ind w:left="500"/>
        <w:spacing w:after="0" w:line="259" w:lineRule="auto"/>
        <w:rPr>
          <w:sz w:val="20"/>
          <w:szCs w:val="20"/>
          <w:color w:val="auto"/>
        </w:rPr>
      </w:pPr>
      <w:r>
        <w:rPr>
          <w:rFonts w:ascii="Arial" w:cs="Arial" w:eastAsia="Arial" w:hAnsi="Arial"/>
          <w:sz w:val="18"/>
          <w:szCs w:val="18"/>
          <w:color w:val="auto"/>
        </w:rPr>
        <w:t>I acknowledge and agree that any past payroll deductions from my Payroll with respect to my participation in the Stock Purchase Plan complied with Polish law and that I authorized all such deductions.</w:t>
      </w:r>
    </w:p>
    <w:p>
      <w:pPr>
        <w:spacing w:after="0" w:line="133" w:lineRule="exact"/>
        <w:rPr>
          <w:sz w:val="20"/>
          <w:szCs w:val="20"/>
          <w:color w:val="auto"/>
        </w:rPr>
      </w:pPr>
    </w:p>
    <w:p>
      <w:pPr>
        <w:ind w:left="500" w:right="260"/>
        <w:spacing w:after="0" w:line="277" w:lineRule="auto"/>
        <w:rPr>
          <w:sz w:val="20"/>
          <w:szCs w:val="20"/>
          <w:color w:val="auto"/>
        </w:rPr>
      </w:pPr>
      <w:r>
        <w:rPr>
          <w:rFonts w:ascii="Arial" w:cs="Arial" w:eastAsia="Arial" w:hAnsi="Arial"/>
          <w:sz w:val="18"/>
          <w:szCs w:val="18"/>
          <w:color w:val="auto"/>
        </w:rPr>
        <w:t>All the terms written in capital letters shall have the meanings given to them in the Stock Purchase Plan.</w:t>
      </w:r>
    </w:p>
    <w:p>
      <w:pPr>
        <w:spacing w:after="0" w:line="62" w:lineRule="exact"/>
        <w:rPr>
          <w:sz w:val="20"/>
          <w:szCs w:val="20"/>
          <w:color w:val="auto"/>
        </w:rPr>
      </w:pPr>
    </w:p>
    <w:p>
      <w:pPr>
        <w:ind w:left="500" w:right="40"/>
        <w:spacing w:after="0" w:line="263" w:lineRule="auto"/>
        <w:rPr>
          <w:sz w:val="20"/>
          <w:szCs w:val="20"/>
          <w:color w:val="auto"/>
        </w:rPr>
      </w:pPr>
      <w:r>
        <w:rPr>
          <w:rFonts w:ascii="Arial" w:cs="Arial" w:eastAsia="Arial" w:hAnsi="Arial"/>
          <w:sz w:val="18"/>
          <w:szCs w:val="18"/>
          <w:color w:val="auto"/>
        </w:rPr>
        <w:t>In case of any discrepancies between the Polish language version of this document and its English language version, the Polish language version shall prevail.</w:t>
      </w:r>
    </w:p>
    <w:p>
      <w:pPr>
        <w:spacing w:after="0" w:line="20" w:lineRule="exact"/>
        <w:rPr>
          <w:sz w:val="20"/>
          <w:szCs w:val="20"/>
          <w:color w:val="auto"/>
        </w:rPr>
      </w:pPr>
      <w:r>
        <w:rPr>
          <w:sz w:val="20"/>
          <w:szCs w:val="20"/>
          <w:color w:val="auto"/>
        </w:rPr>
        <w:br w:type="column"/>
      </w:r>
    </w:p>
    <w:p>
      <w:pPr>
        <w:ind w:right="120"/>
        <w:spacing w:after="0" w:line="269" w:lineRule="auto"/>
        <w:rPr>
          <w:sz w:val="20"/>
          <w:szCs w:val="20"/>
          <w:color w:val="auto"/>
        </w:rPr>
      </w:pPr>
      <w:r>
        <w:rPr>
          <w:rFonts w:ascii="Arial" w:cs="Arial" w:eastAsia="Arial" w:hAnsi="Arial"/>
          <w:sz w:val="17"/>
          <w:szCs w:val="17"/>
          <w:color w:val="auto"/>
        </w:rPr>
        <w:t>Ja niżej podpisany, w celu uczestnictwa w Marvell Technology, Inc. 2000 Pracowniczym Planie Nabywania Akcji (“Plan”), upoważniam mojego pracodawcę do potrącenia kwoty w wysokości ___% z mojego Uprawnionego Wynagrodzenia lub inny procent później wskazany przeze mnie w ramach Planu. Przyjmuję do wiadomości, iż ta kwota nie może być mniejsza niż 1% i większa niż 15% mojego Uprawnionego Wynagrodzenia w każdym Okresie Oferty z zastrzeżeniem, że potrącenia będą dokonywane zgodnie z obowiązującymi przepisami polskiego prawa pracy.</w:t>
      </w:r>
    </w:p>
    <w:p>
      <w:pPr>
        <w:spacing w:after="0" w:line="7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Niniejszym potwierdzam i zgadzam się z tym, że jakiekolwiek przeszłe potrącenia z mojego Uprawnionego Wynagrodzenia dokonane w związku z moim uczestnictwem w Planie były zgodne z polskim prawem i że wyraziłem/am na nie zgodę.</w:t>
      </w:r>
    </w:p>
    <w:p>
      <w:pPr>
        <w:spacing w:after="0" w:line="117"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Wszystkie terminy pisane wielkimi literami mają znaczenie przypisane im w ramach Planu.</w:t>
      </w:r>
    </w:p>
    <w:p>
      <w:pPr>
        <w:spacing w:after="0" w:line="116"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W przypadku jakichkolwiek rozbieżności pomiędzy polską a angielską wersją językową niniejszego dokumentu, wersja polska ma charakter wiążący.</w:t>
      </w:r>
    </w:p>
    <w:p>
      <w:pPr>
        <w:spacing w:after="0" w:line="200" w:lineRule="exact"/>
        <w:rPr>
          <w:sz w:val="20"/>
          <w:szCs w:val="20"/>
          <w:color w:val="auto"/>
        </w:rPr>
      </w:pPr>
    </w:p>
    <w:p>
      <w:pPr>
        <w:sectPr>
          <w:pgSz w:w="11900" w:h="16838" w:orient="portrait"/>
          <w:cols w:equalWidth="0" w:num="2">
            <w:col w:w="5220" w:space="200"/>
            <w:col w:w="4820"/>
          </w:cols>
          <w:pgMar w:left="320" w:top="1282" w:right="1339" w:bottom="1440" w:gutter="0" w:footer="0" w:header="0"/>
          <w:type w:val="continuous"/>
        </w:sectPr>
      </w:pPr>
    </w:p>
    <w:p>
      <w:pPr>
        <w:spacing w:after="0" w:line="254" w:lineRule="exact"/>
        <w:rPr>
          <w:sz w:val="20"/>
          <w:szCs w:val="20"/>
          <w:color w:val="auto"/>
        </w:rPr>
      </w:pPr>
    </w:p>
    <w:p>
      <w:pPr>
        <w:ind w:left="500"/>
        <w:spacing w:after="0"/>
        <w:tabs>
          <w:tab w:leader="none" w:pos="3720" w:val="left"/>
        </w:tabs>
        <w:rPr>
          <w:sz w:val="20"/>
          <w:szCs w:val="20"/>
          <w:color w:val="auto"/>
        </w:rPr>
      </w:pPr>
      <w:r>
        <w:rPr>
          <w:rFonts w:ascii="Arial" w:cs="Arial" w:eastAsia="Arial" w:hAnsi="Arial"/>
          <w:sz w:val="16"/>
          <w:szCs w:val="16"/>
          <w:color w:val="auto"/>
        </w:rPr>
        <w:t>__________________________</w:t>
      </w:r>
      <w:r>
        <w:rPr>
          <w:sz w:val="20"/>
          <w:szCs w:val="20"/>
          <w:color w:val="auto"/>
        </w:rPr>
        <w:tab/>
      </w:r>
      <w:r>
        <w:rPr>
          <w:rFonts w:ascii="Arial" w:cs="Arial" w:eastAsia="Arial" w:hAnsi="Arial"/>
          <w:sz w:val="16"/>
          <w:szCs w:val="16"/>
          <w:color w:val="auto"/>
        </w:rPr>
        <w:t>_________________</w:t>
      </w:r>
    </w:p>
    <w:p>
      <w:pPr>
        <w:spacing w:after="0" w:line="46" w:lineRule="exact"/>
        <w:rPr>
          <w:sz w:val="20"/>
          <w:szCs w:val="20"/>
          <w:color w:val="auto"/>
        </w:rPr>
      </w:pPr>
    </w:p>
    <w:p>
      <w:pPr>
        <w:ind w:left="500"/>
        <w:spacing w:after="0"/>
        <w:tabs>
          <w:tab w:leader="none" w:pos="3100" w:val="left"/>
        </w:tabs>
        <w:rPr>
          <w:sz w:val="20"/>
          <w:szCs w:val="20"/>
          <w:color w:val="auto"/>
        </w:rPr>
      </w:pPr>
      <w:r>
        <w:rPr>
          <w:rFonts w:ascii="Arial" w:cs="Arial" w:eastAsia="Arial" w:hAnsi="Arial"/>
          <w:sz w:val="18"/>
          <w:szCs w:val="18"/>
          <w:color w:val="auto"/>
        </w:rPr>
        <w:t>Employee/Pracownik</w:t>
      </w:r>
      <w:r>
        <w:rPr>
          <w:sz w:val="20"/>
          <w:szCs w:val="20"/>
          <w:color w:val="auto"/>
        </w:rPr>
        <w:tab/>
      </w:r>
      <w:r>
        <w:rPr>
          <w:rFonts w:ascii="Arial" w:cs="Arial" w:eastAsia="Arial" w:hAnsi="Arial"/>
          <w:sz w:val="18"/>
          <w:szCs w:val="18"/>
          <w:color w:val="auto"/>
        </w:rPr>
        <w:t>Date/Data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0240"/>
          </w:cols>
          <w:pgMar w:left="320" w:top="1282" w:right="1339" w:bottom="1440" w:gutter="0" w:footer="0" w:header="0"/>
          <w:type w:val="continuous"/>
        </w:sectPr>
      </w:pPr>
    </w:p>
    <w:bookmarkStart w:id="113" w:name="page114"/>
    <w:bookmarkEnd w:id="113"/>
    <w:p>
      <w:pPr>
        <w:spacing w:after="0"/>
        <w:rPr>
          <w:sz w:val="20"/>
          <w:szCs w:val="20"/>
          <w:color w:val="auto"/>
        </w:rPr>
      </w:pPr>
      <w:r>
        <w:rPr>
          <w:rFonts w:ascii="Arial" w:cs="Arial" w:eastAsia="Arial" w:hAnsi="Arial"/>
          <w:sz w:val="18"/>
          <w:szCs w:val="18"/>
          <w:b w:val="1"/>
          <w:bCs w:val="1"/>
          <w:u w:val="single" w:color="auto"/>
          <w:color w:val="auto"/>
        </w:rPr>
        <w:t>Romania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48" w:lineRule="exact"/>
        <w:rPr>
          <w:sz w:val="20"/>
          <w:szCs w:val="20"/>
          <w:color w:val="auto"/>
        </w:rPr>
      </w:pPr>
    </w:p>
    <w:p>
      <w:pPr>
        <w:jc w:val="both"/>
        <w:ind w:right="20"/>
        <w:spacing w:after="0" w:line="266" w:lineRule="auto"/>
        <w:rPr>
          <w:sz w:val="20"/>
          <w:szCs w:val="20"/>
          <w:color w:val="auto"/>
        </w:rPr>
      </w:pPr>
      <w:r>
        <w:rPr>
          <w:rFonts w:ascii="Arial" w:cs="Arial" w:eastAsia="Arial" w:hAnsi="Arial"/>
          <w:sz w:val="18"/>
          <w:szCs w:val="18"/>
          <w:b w:val="1"/>
          <w:bCs w:val="1"/>
          <w:color w:val="auto"/>
        </w:rPr>
        <w:t>Language Consent</w:t>
      </w:r>
      <w:r>
        <w:rPr>
          <w:rFonts w:ascii="Arial" w:cs="Arial" w:eastAsia="Arial" w:hAnsi="Arial"/>
          <w:sz w:val="18"/>
          <w:szCs w:val="18"/>
          <w:color w:val="auto"/>
        </w:rPr>
        <w:t>. By participating in the Stock Purchase Plan, I acknowledge that I am proficient in reading and understanding English, and fully</w:t>
      </w:r>
      <w:r>
        <w:rPr>
          <w:rFonts w:ascii="Arial" w:cs="Arial" w:eastAsia="Arial" w:hAnsi="Arial"/>
          <w:sz w:val="18"/>
          <w:szCs w:val="18"/>
          <w:b w:val="1"/>
          <w:bCs w:val="1"/>
          <w:color w:val="auto"/>
        </w:rPr>
        <w:t xml:space="preserve"> </w:t>
      </w:r>
      <w:r>
        <w:rPr>
          <w:rFonts w:ascii="Arial" w:cs="Arial" w:eastAsia="Arial" w:hAnsi="Arial"/>
          <w:sz w:val="18"/>
          <w:szCs w:val="18"/>
          <w:color w:val="auto"/>
        </w:rPr>
        <w:t>understand the terms of the documents related to my participation (the Stock Purchase Plan and the Subscription Agreement), which were provided in the English language. I accept the terms of those documents accordingly.</w:t>
      </w:r>
    </w:p>
    <w:p>
      <w:pPr>
        <w:spacing w:after="0" w:line="207" w:lineRule="exact"/>
        <w:rPr>
          <w:sz w:val="20"/>
          <w:szCs w:val="20"/>
          <w:color w:val="auto"/>
        </w:rPr>
      </w:pPr>
    </w:p>
    <w:p>
      <w:pPr>
        <w:jc w:val="both"/>
        <w:spacing w:after="0" w:line="286" w:lineRule="auto"/>
        <w:rPr>
          <w:sz w:val="20"/>
          <w:szCs w:val="20"/>
          <w:color w:val="auto"/>
        </w:rPr>
      </w:pPr>
      <w:r>
        <w:rPr>
          <w:rFonts w:ascii="Arial" w:cs="Arial" w:eastAsia="Arial" w:hAnsi="Arial"/>
          <w:sz w:val="17"/>
          <w:szCs w:val="17"/>
          <w:i w:val="1"/>
          <w:iCs w:val="1"/>
          <w:color w:val="auto"/>
        </w:rPr>
        <w:t>Consimtamant cu privire la limba. Prin participarea la planul, confirm ca am un nivel adecvat de cunoastere in ce priveste citirea si intelegerea limbii engleze, am inteles pe deplin termenii documentelor referitoare la participarea mea (planul si Formularul de aderare/schimbare, inclusiv aceasta Anexa), care au fost furnizate in limba engleza. Accept termenii acestor documente in mod corespunzator.</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48" w:lineRule="exact"/>
        <w:rPr>
          <w:sz w:val="20"/>
          <w:szCs w:val="20"/>
          <w:color w:val="auto"/>
        </w:rPr>
      </w:pPr>
    </w:p>
    <w:p>
      <w:pPr>
        <w:jc w:val="both"/>
        <w:spacing w:after="0" w:line="314" w:lineRule="auto"/>
        <w:rPr>
          <w:sz w:val="20"/>
          <w:szCs w:val="20"/>
          <w:color w:val="auto"/>
        </w:rPr>
      </w:pPr>
      <w:r>
        <w:rPr>
          <w:rFonts w:ascii="Arial" w:cs="Arial" w:eastAsia="Arial" w:hAnsi="Arial"/>
          <w:sz w:val="16"/>
          <w:szCs w:val="16"/>
          <w:b w:val="1"/>
          <w:bCs w:val="1"/>
          <w:color w:val="auto"/>
        </w:rPr>
        <w:t xml:space="preserve">Exchange Control Information. </w:t>
      </w:r>
      <w:r>
        <w:rPr>
          <w:rFonts w:ascii="Arial" w:cs="Arial" w:eastAsia="Arial" w:hAnsi="Arial"/>
          <w:sz w:val="16"/>
          <w:szCs w:val="16"/>
          <w:color w:val="auto"/>
        </w:rPr>
        <w:t>If I deposit the proceeds from the sale of shares of Common Stock acquired under the Stock Purchase Plan into a bank</w:t>
      </w:r>
      <w:r>
        <w:rPr>
          <w:rFonts w:ascii="Arial" w:cs="Arial" w:eastAsia="Arial" w:hAnsi="Arial"/>
          <w:sz w:val="16"/>
          <w:szCs w:val="16"/>
          <w:b w:val="1"/>
          <w:bCs w:val="1"/>
          <w:color w:val="auto"/>
        </w:rPr>
        <w:t xml:space="preserve"> </w:t>
      </w:r>
      <w:r>
        <w:rPr>
          <w:rFonts w:ascii="Arial" w:cs="Arial" w:eastAsia="Arial" w:hAnsi="Arial"/>
          <w:sz w:val="16"/>
          <w:szCs w:val="16"/>
          <w:color w:val="auto"/>
        </w:rPr>
        <w:t>account in Romania, I may be required to provide the Romanian bank with appropriate documentation explaining the source of the funds. I understand that I should consult with my personal legal advisor to determine whether I will be required to submit such documentation to the Romanian bank.</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Singapore</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The grant of the Purchase Right is being made in reliance on Section 273(1)(f) of the Securities and Futures Act (Cap. 289) (“SFA”), the “Qualifying Persons” exemption under the SFA. The Stock Purchase Plan has not been lodged or registered as a prospectus with the Monetary Authority of Singapore and the offerings under the Stock Purchase Plan are not made with a view to the Purchase Rights or shares being subsequently offered for sale to another party. I should not sell, or offer to sell, any shares of Common Stock in Singapore unless such sale or offer is made (i) after six months from the date the Purchase Rights were granted, (ii) pursuant to the exemptions under Part XIII Division 1 Subdivision (4) (other than section 280) of the SFA, or (iii) pursuant to, and in accordance with the conditions of, any other applicable provisions of the SFA.</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Director Notification Obligation</w:t>
      </w:r>
    </w:p>
    <w:p>
      <w:pPr>
        <w:spacing w:after="0" w:line="23"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Directors (including alternate, substitute, associate and shadow directors) of the Company or a Singapore Parent or Subsidiary are subject to certain notification requirements under the Singapore Companies Act. I acknowledge that I must notify the Company or the Singapore Parent or Subsidiary in writing within two business days of any of the following events: (i) the acquisition or disposal of an interest (</w:t>
      </w:r>
      <w:r>
        <w:rPr>
          <w:rFonts w:ascii="Arial" w:cs="Arial" w:eastAsia="Arial" w:hAnsi="Arial"/>
          <w:sz w:val="17"/>
          <w:szCs w:val="17"/>
          <w:i w:val="1"/>
          <w:iCs w:val="1"/>
          <w:color w:val="auto"/>
        </w:rPr>
        <w:t>e.g.</w:t>
      </w:r>
      <w:r>
        <w:rPr>
          <w:rFonts w:ascii="Arial" w:cs="Arial" w:eastAsia="Arial" w:hAnsi="Arial"/>
          <w:sz w:val="17"/>
          <w:szCs w:val="17"/>
          <w:color w:val="auto"/>
        </w:rPr>
        <w:t>, a Purchase Right or shares of Common Stock) in the Company or any related companies; (ii) any change in previously disclosed interests (e.g., sale of shares of Common Stock), or (iii) becoming a director, an associate director or a shadow director of a Parent or Subsidiary in Singapore, if the individual holds such an interest at that time. These notification requirements apply regardless of whether the director is a resident of or employed in Singapore.</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Spain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Nature of Grant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38"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By enrolling in the Stock Purchase Plan, I consent to participation in the Stock Purchase Plan and acknowledge that I have received a copy of the Stock Purchase Plan.</w:t>
      </w:r>
    </w:p>
    <w:p>
      <w:pPr>
        <w:spacing w:after="0" w:line="197"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I understand that the Company has unilaterally, gratuitously, and discretionally decided to offer participation in the Stock Purchase Plan to individuals who may be employees of the Company, a Parent or a Subsidiary throughout the world. The decision is a limited decision that is entered into upon the express assumption and condition that any grant will not economically or otherwise bind the Company or any Parent or Subsidiary on an ongoing basis. Consequently, I understand that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69" w:right="339" w:bottom="1440" w:gutter="0" w:footer="0" w:header="0"/>
        </w:sectPr>
      </w:pPr>
    </w:p>
    <w:bookmarkStart w:id="114" w:name="page115"/>
    <w:bookmarkEnd w:id="114"/>
    <w:p>
      <w:pPr>
        <w:jc w:val="both"/>
        <w:spacing w:after="0" w:line="255" w:lineRule="auto"/>
        <w:rPr>
          <w:sz w:val="20"/>
          <w:szCs w:val="20"/>
          <w:color w:val="auto"/>
        </w:rPr>
      </w:pPr>
      <w:r>
        <w:rPr>
          <w:rFonts w:ascii="Arial" w:cs="Arial" w:eastAsia="Arial" w:hAnsi="Arial"/>
          <w:sz w:val="18"/>
          <w:szCs w:val="18"/>
          <w:color w:val="auto"/>
        </w:rPr>
        <w:t>the offer of participation in the Stock Purchase Plan is grant on the assumption and condition that the Purchase Rights or the shares of Common Stock I purchase shall not become a part of any employment or service contract (either with the Company or with any Parent or Subsidiary) and shall not be considered a mandatory benefit, salary for any purposes (including severance compensation), or any other right whatsoever. In addition, I understand that the offer of participation in the Stock Purchase Plan would not be made to me but for the assumptions and conditions referred to above; thus, I acknowledge and freely accept that should any or all of the assumptions be mistaken or should any of the conditions not be met for any reason, then any offer of participation in the Stock Purchase Plan shall be null and void.</w:t>
      </w:r>
    </w:p>
    <w:p>
      <w:pPr>
        <w:spacing w:after="0" w:line="219" w:lineRule="exact"/>
        <w:rPr>
          <w:sz w:val="20"/>
          <w:szCs w:val="20"/>
          <w:color w:val="auto"/>
        </w:rPr>
      </w:pPr>
    </w:p>
    <w:p>
      <w:pPr>
        <w:jc w:val="both"/>
        <w:spacing w:after="0" w:line="293" w:lineRule="auto"/>
        <w:rPr>
          <w:sz w:val="20"/>
          <w:szCs w:val="20"/>
          <w:color w:val="auto"/>
        </w:rPr>
      </w:pPr>
      <w:r>
        <w:rPr>
          <w:rFonts w:ascii="Arial" w:cs="Arial" w:eastAsia="Arial" w:hAnsi="Arial"/>
          <w:sz w:val="16"/>
          <w:szCs w:val="16"/>
          <w:color w:val="auto"/>
        </w:rPr>
        <w:t>Further, my participation in the Stock Purchase Plan is expressly conditioned on my continued and active rendering of service, such that if my Continuous Employment terminates for any reason whatsoever, my participation in the Stock Purchase Plan shall cease immediately effective on the date of my termination of Continuous Employment. This will be the case, for example, even if (1) I am considered to be unfairly dismissed without good cause (</w:t>
      </w:r>
      <w:r>
        <w:rPr>
          <w:rFonts w:ascii="Arial" w:cs="Arial" w:eastAsia="Arial" w:hAnsi="Arial"/>
          <w:sz w:val="16"/>
          <w:szCs w:val="16"/>
          <w:i w:val="1"/>
          <w:iCs w:val="1"/>
          <w:color w:val="auto"/>
        </w:rPr>
        <w:t>i.e.</w:t>
      </w:r>
      <w:r>
        <w:rPr>
          <w:rFonts w:ascii="Arial" w:cs="Arial" w:eastAsia="Arial" w:hAnsi="Arial"/>
          <w:sz w:val="16"/>
          <w:szCs w:val="16"/>
          <w:color w:val="auto"/>
        </w:rPr>
        <w:t>, subject to a “</w:t>
      </w:r>
      <w:r>
        <w:rPr>
          <w:rFonts w:ascii="Arial" w:cs="Arial" w:eastAsia="Arial" w:hAnsi="Arial"/>
          <w:sz w:val="16"/>
          <w:szCs w:val="16"/>
          <w:i w:val="1"/>
          <w:iCs w:val="1"/>
          <w:color w:val="auto"/>
        </w:rPr>
        <w:t>despido improcedente</w:t>
      </w:r>
      <w:r>
        <w:rPr>
          <w:rFonts w:ascii="Arial" w:cs="Arial" w:eastAsia="Arial" w:hAnsi="Arial"/>
          <w:sz w:val="16"/>
          <w:szCs w:val="16"/>
          <w:color w:val="auto"/>
        </w:rPr>
        <w:t>”); (2) I am dismissed for disciplinary or objective reasons or due to a collective dismissal; (3) I terminate Continuous Employment due to a change of work location, duties or any other employment or contractual condition; (4) I terminate Continuous Employment due to a unilateral breach of contract by the Company or any Parent or Subsidiary; or (5) my Continuous Employment terminates for any other reason whatsoever.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73" w:lineRule="auto"/>
        <w:rPr>
          <w:sz w:val="20"/>
          <w:szCs w:val="20"/>
          <w:color w:val="auto"/>
        </w:rPr>
      </w:pPr>
      <w:r>
        <w:rPr>
          <w:rFonts w:ascii="Arial" w:cs="Arial" w:eastAsia="Arial" w:hAnsi="Arial"/>
          <w:sz w:val="17"/>
          <w:szCs w:val="17"/>
          <w:color w:val="auto"/>
        </w:rPr>
        <w:t xml:space="preserve">The Purchase Rights and shares of Common Stock described in the Stock Purchase Plan and the Subscription Agreement do not qualify under Spanish regulations as a security. No “offer of securities to the public,” as defined under Spanish law, has taken place or will take place in the Spanish territory. The Stock Purchase Plan and the Subscription Agreement, including the Addendum, have not been nor will they be registered with the </w:t>
      </w:r>
      <w:r>
        <w:rPr>
          <w:rFonts w:ascii="Arial" w:cs="Arial" w:eastAsia="Arial" w:hAnsi="Arial"/>
          <w:sz w:val="17"/>
          <w:szCs w:val="17"/>
          <w:i w:val="1"/>
          <w:iCs w:val="1"/>
          <w:color w:val="auto"/>
        </w:rPr>
        <w:t>Comisión Nacional del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Mercado de Valores </w:t>
      </w:r>
      <w:r>
        <w:rPr>
          <w:rFonts w:ascii="Arial" w:cs="Arial" w:eastAsia="Arial" w:hAnsi="Arial"/>
          <w:sz w:val="17"/>
          <w:szCs w:val="17"/>
          <w:color w:val="auto"/>
        </w:rPr>
        <w:t>(Spanish Securities Exchange Commission), and they do not constitute a public offering prospectus.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understand that it is my responsibility to comply with exchange control regulations in Spain. I am required to electronically declare to the Bank of Spain any security accounts (including brokerage accounts held abroad), as well as the securities (including shares of Common Stock acquired under the Stock Purchase Plan) held in such accounts if the value of the transactions for all such accounts during the prior year or the balances of such accounts as of December 31 of the prior year exceeds €1,000,000.</w:t>
      </w:r>
    </w:p>
    <w:p>
      <w:pPr>
        <w:spacing w:after="0" w:line="220" w:lineRule="exact"/>
        <w:rPr>
          <w:sz w:val="20"/>
          <w:szCs w:val="20"/>
          <w:color w:val="auto"/>
        </w:rPr>
      </w:pPr>
    </w:p>
    <w:p>
      <w:pPr>
        <w:jc w:val="both"/>
        <w:spacing w:after="0" w:line="257" w:lineRule="auto"/>
        <w:rPr>
          <w:sz w:val="20"/>
          <w:szCs w:val="20"/>
          <w:color w:val="auto"/>
        </w:rPr>
      </w:pPr>
      <w:r>
        <w:rPr>
          <w:rFonts w:ascii="Arial" w:cs="Arial" w:eastAsia="Arial" w:hAnsi="Arial"/>
          <w:sz w:val="18"/>
          <w:szCs w:val="18"/>
          <w:color w:val="auto"/>
        </w:rPr>
        <w:t>Different thresholds and deadlines to file this declaration apply. However, if neither such transactions during the immediately preceding year nor the balances/positions as of December 31 exceed €1,000,000, no such declaration must be filed unless expressly required by the Bank of Spain. I understand that if any of such thresholds were exceeded during the current year, may be required to file the relevant declaration corresponding to the prior year, however, a summarized form of declaration may be available. I should consult with a personal tax or legal advisor for further information regarding exchange control reporting obligations.</w:t>
      </w:r>
    </w:p>
    <w:p>
      <w:pPr>
        <w:spacing w:after="0" w:line="215"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 xml:space="preserve">Further, I understand that I am required to declare the acquisition of shares of Common Stock for statistical purposes to the Spanish </w:t>
      </w:r>
      <w:r>
        <w:rPr>
          <w:rFonts w:ascii="Arial" w:cs="Arial" w:eastAsia="Arial" w:hAnsi="Arial"/>
          <w:sz w:val="17"/>
          <w:szCs w:val="17"/>
          <w:i w:val="1"/>
          <w:iCs w:val="1"/>
          <w:color w:val="auto"/>
        </w:rPr>
        <w:t>Direccion General de</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Comercio e Inversiones </w:t>
      </w:r>
      <w:r>
        <w:rPr>
          <w:rFonts w:ascii="Arial" w:cs="Arial" w:eastAsia="Arial" w:hAnsi="Arial"/>
          <w:sz w:val="17"/>
          <w:szCs w:val="17"/>
          <w:color w:val="auto"/>
        </w:rPr>
        <w:t>(the “DGCI”) of the Ministry of Economy and Competitiveness. Generally, the declaration must be filed on form D-6 in January</w:t>
      </w:r>
      <w:r>
        <w:rPr>
          <w:rFonts w:ascii="Arial" w:cs="Arial" w:eastAsia="Arial" w:hAnsi="Arial"/>
          <w:sz w:val="17"/>
          <w:szCs w:val="17"/>
          <w:i w:val="1"/>
          <w:iCs w:val="1"/>
          <w:color w:val="auto"/>
        </w:rPr>
        <w:t xml:space="preserve"> </w:t>
      </w:r>
      <w:r>
        <w:rPr>
          <w:rFonts w:ascii="Arial" w:cs="Arial" w:eastAsia="Arial" w:hAnsi="Arial"/>
          <w:sz w:val="17"/>
          <w:szCs w:val="17"/>
          <w:color w:val="auto"/>
        </w:rPr>
        <w:t>for shares of Common Stock owned as of December 31 of each year; however, if the value of the shares of Common Stock or the sale proceeds exceed €1,502,530, a declaration must be filed within one month of the acquisition or sale, as applicable.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understand that to the extent I hold shares of Common Stock or have bank accounts outside of Spain with a value in excess of €50,000 (for each type of asset) as of December 31, I must report information on such assets on my tax return Form 720 for such year with severe penalties in the event of non-compliance. After such shares of Common Stock or accounts are initially reported, the reporting obligation will apply for subsequent years only if the value of any previously reported shares of Common Stock or accounts increases by more than €20,000 as of each subsequent December 31, or if I sell shares of Common Stock or cancel bank accounts that were previously reported.</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Sweden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15" w:name="page116"/>
    <w:bookmarkEnd w:id="115"/>
    <w:p>
      <w:pPr>
        <w:spacing w:after="0"/>
        <w:rPr>
          <w:sz w:val="20"/>
          <w:szCs w:val="20"/>
          <w:color w:val="auto"/>
        </w:rPr>
      </w:pPr>
      <w:r>
        <w:rPr>
          <w:rFonts w:ascii="Arial" w:cs="Arial" w:eastAsia="Arial" w:hAnsi="Arial"/>
          <w:sz w:val="18"/>
          <w:szCs w:val="18"/>
          <w:u w:val="single" w:color="auto"/>
          <w:color w:val="auto"/>
        </w:rPr>
        <w:t>Responsibility for Taxes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38" w:lineRule="exact"/>
        <w:rPr>
          <w:sz w:val="20"/>
          <w:szCs w:val="20"/>
          <w:color w:val="auto"/>
        </w:rPr>
      </w:pPr>
    </w:p>
    <w:p>
      <w:pPr>
        <w:jc w:val="both"/>
        <w:spacing w:after="0" w:line="301" w:lineRule="auto"/>
        <w:rPr>
          <w:sz w:val="20"/>
          <w:szCs w:val="20"/>
          <w:color w:val="auto"/>
        </w:rPr>
      </w:pPr>
      <w:r>
        <w:rPr>
          <w:rFonts w:ascii="Arial" w:cs="Arial" w:eastAsia="Arial" w:hAnsi="Arial"/>
          <w:sz w:val="16"/>
          <w:szCs w:val="16"/>
          <w:color w:val="auto"/>
        </w:rPr>
        <w:t>Without limiting the Company and the Employer’s authority to satisfy their withholding obligations for Tax-Related Items as set forth in Section 6 of the Subscription Agreement, by participating in the Stock Purchase Plan, I authorize the Company and/or the Employer to withhold shares of Common Stock or to sell shares of Common Stock otherwise deliverable to me upon the purchase of shares of Common Stock under the Stock Purchase Plan in order to satisfy Tax-Related Items, regardless of whether the Company and/or the Employer has an obligation to withhold such Tax-Related Items.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Switzerland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Neither this document nor any other materials relating to the shares of Common Stock (i) constitutes a prospectus according to articles 35 et seq. of the Swiss Federal Act on Financial Services (“FinSA”) (ii) may be publicly distributed or otherwise made available in Switzerland to any person other than an employee of the Company or (iii) has been filed with, approved or supervised by any Swiss reviewing body according to article 51 FinSA or any Swiss regulatory authority, including the Swiss Financial Market Supervisory Authority.</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Taiwan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understand that the offer of the Stock Purchase Right and the shares of Common Stock to be issued pursuant to the Stock Purchase Plan are available only for employees of the Company and a Parent or Subsidiary. The offer is not a public offer of securities by a Taiwanese company; therefore, it is exempt from registration in Taiwan.</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7" w:lineRule="auto"/>
        <w:rPr>
          <w:sz w:val="20"/>
          <w:szCs w:val="20"/>
          <w:color w:val="auto"/>
        </w:rPr>
      </w:pPr>
      <w:r>
        <w:rPr>
          <w:rFonts w:ascii="Arial" w:cs="Arial" w:eastAsia="Arial" w:hAnsi="Arial"/>
          <w:sz w:val="17"/>
          <w:szCs w:val="17"/>
          <w:color w:val="auto"/>
        </w:rPr>
        <w:t>Taiwanese residents may acquire foreign currency and remit the same (including proceeds from the sale of shares of Common Stock or the receipt of dividends) out of Taiwan, up to US$5 million per year without justification. If the transaction amount is TWD$500,000 or more in a single transaction, a Foreign Exchange Transaction Form must be submitted, along with supporting documentation to the satisfaction of the remitting bank.</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United Kingdom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11"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Without limitation to any provision of the Subscription Agreement, I agree that I am liable for all Tax-Related Items, as and when required by the Company or the Employer, as applicable, or by Her Majesty’s Revenue and Customs (“HMRC”) (or any other tax authority or other relevant authority). I also agree to indemnify and keep indemnified the Company and the Employer, as applicable, against any Tax-Related Items that they are required to pay or withhold or have paid or will pay on my behalf to HMRC (or any other tax authority or other relevant authority).</w:t>
      </w:r>
    </w:p>
    <w:p>
      <w:pPr>
        <w:spacing w:after="0" w:line="198" w:lineRule="exact"/>
        <w:rPr>
          <w:sz w:val="20"/>
          <w:szCs w:val="20"/>
          <w:color w:val="auto"/>
        </w:rPr>
      </w:pPr>
    </w:p>
    <w:p>
      <w:pPr>
        <w:jc w:val="both"/>
        <w:spacing w:after="0" w:line="291" w:lineRule="auto"/>
        <w:rPr>
          <w:sz w:val="20"/>
          <w:szCs w:val="20"/>
          <w:color w:val="auto"/>
        </w:rPr>
      </w:pPr>
      <w:r>
        <w:rPr>
          <w:rFonts w:ascii="Arial" w:cs="Arial" w:eastAsia="Arial" w:hAnsi="Arial"/>
          <w:sz w:val="16"/>
          <w:szCs w:val="16"/>
          <w:color w:val="auto"/>
        </w:rPr>
        <w:t>Notwithstanding the foregoing, if I am a director or executive officer of the Company (within the meaning of Section 13(k) of the U.S. Securities and Exchange Act of 1934, as amended), I understand that I may not be able to indemnify the Company for the amount of any Tax-Related Items not collected from or paid by me, in case the indemnification could be considered to be a loan. In this case, any income tax not collected within 90 days of the end of the U.K. tax year in which an event giving rise to the Tax-Related Items occurs may constitute a benefit to me on which additional income tax and employee National Insurance contributions (“NICs”) may be due. I will be responsible for reporting and paying any income tax due on this additional benefit directly to HMRC under the self-assessment regime and for reimbursing the Company or Employer, as applicable, for the amount of any employee NICs due on this additional benefit, which may be recovered from me by any of the means referred to in Section 5 of the Subscription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Arial" w:cs="Arial" w:eastAsia="Arial" w:hAnsi="Arial"/>
          <w:sz w:val="14"/>
          <w:szCs w:val="14"/>
          <w:color w:val="auto"/>
        </w:rPr>
        <w:t>6728178-v3\GESDMS</w:t>
      </w:r>
    </w:p>
    <w:p>
      <w:pPr>
        <w:sectPr>
          <w:pgSz w:w="11900" w:h="16838" w:orient="portrait"/>
          <w:cols w:equalWidth="0" w:num="1">
            <w:col w:w="11240"/>
          </w:cols>
          <w:pgMar w:left="320" w:top="773" w:right="3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31.1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4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4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4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4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4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50"/>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31750</wp:posOffset>
            </wp:positionV>
            <wp:extent cx="3411855"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6">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80"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91" w:right="3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31.2</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5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5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5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5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5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54"/>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31750</wp:posOffset>
            </wp:positionV>
            <wp:extent cx="3411855"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7">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80"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91" w:right="33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60" w:hanging="327"/>
        <w:spacing w:after="0" w:line="308" w:lineRule="auto"/>
        <w:tabs>
          <w:tab w:leader="none" w:pos="554"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31,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58"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w:t>
      </w:r>
      <w:r>
        <w:rPr>
          <w:rFonts w:ascii="Arial" w:cs="Arial" w:eastAsia="Arial" w:hAnsi="Arial"/>
          <w:sz w:val="16"/>
          <w:szCs w:val="16"/>
          <w:b w:val="1"/>
          <w:bCs w:val="1"/>
          <w:color w:val="auto"/>
        </w:rPr>
        <w:t>/</w:t>
      </w:r>
      <w:r>
        <w:rPr>
          <w:rFonts w:ascii="Arial" w:cs="Arial" w:eastAsia="Arial" w:hAnsi="Arial"/>
          <w:sz w:val="16"/>
          <w:szCs w:val="16"/>
          <w:color w:val="auto"/>
        </w:rPr>
        <w:t xml:space="preserve">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34290</wp:posOffset>
            </wp:positionV>
            <wp:extent cx="3411855" cy="825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8">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97"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60" w:hanging="327"/>
        <w:spacing w:after="0" w:line="308" w:lineRule="auto"/>
        <w:tabs>
          <w:tab w:leader="none" w:pos="554"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31,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August 27,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31750</wp:posOffset>
            </wp:positionV>
            <wp:extent cx="3411855" cy="825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9">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93"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836C40E"/>
    <w:multiLevelType w:val="hybridMultilevel"/>
    <w:lvl w:ilvl="0">
      <w:lvlJc w:val="left"/>
      <w:lvlText w:val="☒"/>
      <w:numFmt w:val="bullet"/>
      <w:start w:val="1"/>
    </w:lvl>
  </w:abstractNum>
  <w:abstractNum w:abstractNumId="1">
    <w:nsid w:val="2901D82"/>
    <w:multiLevelType w:val="hybridMultilevel"/>
    <w:lvl w:ilvl="0">
      <w:lvlJc w:val="left"/>
      <w:lvlText w:val="☐"/>
      <w:numFmt w:val="bullet"/>
      <w:start w:val="1"/>
    </w:lvl>
  </w:abstractNum>
  <w:abstractNum w:abstractNumId="2">
    <w:nsid w:val="3A95F874"/>
    <w:multiLevelType w:val="hybridMultilevel"/>
    <w:lvl w:ilvl="0">
      <w:lvlJc w:val="left"/>
      <w:lvlText w:val="(%1)"/>
      <w:numFmt w:val="decimal"/>
      <w:start w:val="1"/>
    </w:lvl>
  </w:abstractNum>
  <w:abstractNum w:abstractNumId="3">
    <w:nsid w:val="8138641"/>
    <w:multiLevelType w:val="hybridMultilevel"/>
    <w:lvl w:ilvl="0">
      <w:lvlJc w:val="left"/>
      <w:lvlText w:val="(%1)"/>
      <w:numFmt w:val="lowerRoman"/>
      <w:start w:val="2"/>
    </w:lvl>
  </w:abstractNum>
  <w:abstractNum w:abstractNumId="4">
    <w:nsid w:val="1E7FF521"/>
    <w:multiLevelType w:val="hybridMultilevel"/>
    <w:lvl w:ilvl="0">
      <w:lvlJc w:val="left"/>
      <w:lvlText w:val="(%1)"/>
      <w:numFmt w:val="decimal"/>
      <w:start w:val="1"/>
    </w:lvl>
  </w:abstractNum>
  <w:abstractNum w:abstractNumId="5">
    <w:nsid w:val="7C3DBD3D"/>
    <w:multiLevelType w:val="hybridMultilevel"/>
    <w:lvl w:ilvl="0">
      <w:lvlJc w:val="left"/>
      <w:lvlText w:val="•"/>
      <w:numFmt w:val="bullet"/>
      <w:start w:val="1"/>
    </w:lvl>
  </w:abstractNum>
  <w:abstractNum w:abstractNumId="6">
    <w:nsid w:val="737B8DDC"/>
    <w:multiLevelType w:val="hybridMultilevel"/>
    <w:lvl w:ilvl="0">
      <w:lvlJc w:val="left"/>
      <w:lvlText w:val="(%1)"/>
      <w:numFmt w:val="decimal"/>
      <w:start w:val="1"/>
    </w:lvl>
  </w:abstractNum>
  <w:abstractNum w:abstractNumId="7">
    <w:nsid w:val="6CEAF087"/>
    <w:multiLevelType w:val="hybridMultilevel"/>
    <w:lvl w:ilvl="0">
      <w:lvlJc w:val="left"/>
      <w:lvlText w:val="•"/>
      <w:numFmt w:val="bullet"/>
      <w:start w:val="1"/>
    </w:lvl>
  </w:abstractNum>
  <w:abstractNum w:abstractNumId="8">
    <w:nsid w:val="22221A70"/>
    <w:multiLevelType w:val="hybridMultilevel"/>
    <w:lvl w:ilvl="0">
      <w:lvlJc w:val="left"/>
      <w:lvlText w:val="•"/>
      <w:numFmt w:val="bullet"/>
      <w:start w:val="1"/>
    </w:lvl>
  </w:abstractNum>
  <w:abstractNum w:abstractNumId="9">
    <w:nsid w:val="4516DDE9"/>
    <w:multiLevelType w:val="hybridMultilevel"/>
    <w:lvl w:ilvl="0">
      <w:lvlJc w:val="left"/>
      <w:lvlText w:val="•"/>
      <w:numFmt w:val="bullet"/>
      <w:start w:val="1"/>
    </w:lvl>
  </w:abstractNum>
  <w:abstractNum w:abstractNumId="10">
    <w:nsid w:val="3006C83E"/>
    <w:multiLevelType w:val="hybridMultilevel"/>
    <w:lvl w:ilvl="0">
      <w:lvlJc w:val="left"/>
      <w:lvlText w:val="•"/>
      <w:numFmt w:val="bullet"/>
      <w:start w:val="1"/>
    </w:lvl>
  </w:abstractNum>
  <w:abstractNum w:abstractNumId="11">
    <w:nsid w:val="614FD4A1"/>
    <w:multiLevelType w:val="hybridMultilevel"/>
    <w:lvl w:ilvl="0">
      <w:lvlJc w:val="left"/>
      <w:lvlText w:val="•"/>
      <w:numFmt w:val="bullet"/>
      <w:start w:val="1"/>
    </w:lvl>
  </w:abstractNum>
  <w:abstractNum w:abstractNumId="12">
    <w:nsid w:val="419AC241"/>
    <w:multiLevelType w:val="hybridMultilevel"/>
    <w:lvl w:ilvl="0">
      <w:lvlJc w:val="left"/>
      <w:lvlText w:val="•"/>
      <w:numFmt w:val="bullet"/>
      <w:start w:val="1"/>
    </w:lvl>
  </w:abstractNum>
  <w:abstractNum w:abstractNumId="13">
    <w:nsid w:val="5577F8E1"/>
    <w:multiLevelType w:val="hybridMultilevel"/>
    <w:lvl w:ilvl="0">
      <w:lvlJc w:val="left"/>
      <w:lvlText w:val="•"/>
      <w:numFmt w:val="bullet"/>
      <w:start w:val="1"/>
    </w:lvl>
  </w:abstractNum>
  <w:abstractNum w:abstractNumId="14">
    <w:nsid w:val="440BADFC"/>
    <w:multiLevelType w:val="hybridMultilevel"/>
    <w:lvl w:ilvl="0">
      <w:lvlJc w:val="left"/>
      <w:lvlText w:val="•"/>
      <w:numFmt w:val="bullet"/>
      <w:start w:val="1"/>
    </w:lvl>
  </w:abstractNum>
  <w:abstractNum w:abstractNumId="15">
    <w:nsid w:val="5072367"/>
    <w:multiLevelType w:val="hybridMultilevel"/>
    <w:lvl w:ilvl="0">
      <w:lvlJc w:val="left"/>
      <w:lvlText w:val="•"/>
      <w:numFmt w:val="bullet"/>
      <w:start w:val="1"/>
    </w:lvl>
  </w:abstractNum>
  <w:abstractNum w:abstractNumId="16">
    <w:nsid w:val="3804823E"/>
    <w:multiLevelType w:val="hybridMultilevel"/>
    <w:lvl w:ilvl="0">
      <w:lvlJc w:val="left"/>
      <w:lvlText w:val="•"/>
      <w:numFmt w:val="bullet"/>
      <w:start w:val="1"/>
    </w:lvl>
  </w:abstractNum>
  <w:abstractNum w:abstractNumId="17">
    <w:nsid w:val="77465F01"/>
    <w:multiLevelType w:val="hybridMultilevel"/>
    <w:lvl w:ilvl="0">
      <w:lvlJc w:val="left"/>
      <w:lvlText w:val="•"/>
      <w:numFmt w:val="bullet"/>
      <w:start w:val="1"/>
    </w:lvl>
  </w:abstractNum>
  <w:abstractNum w:abstractNumId="18">
    <w:nsid w:val="7724C67E"/>
    <w:multiLevelType w:val="hybridMultilevel"/>
    <w:lvl w:ilvl="0">
      <w:lvlJc w:val="left"/>
      <w:lvlText w:val="•"/>
      <w:numFmt w:val="bullet"/>
      <w:start w:val="1"/>
    </w:lvl>
  </w:abstractNum>
  <w:abstractNum w:abstractNumId="19">
    <w:nsid w:val="5C482A97"/>
    <w:multiLevelType w:val="hybridMultilevel"/>
    <w:lvl w:ilvl="0">
      <w:lvlJc w:val="left"/>
      <w:lvlText w:val="•"/>
      <w:numFmt w:val="bullet"/>
      <w:start w:val="1"/>
    </w:lvl>
  </w:abstractNum>
  <w:abstractNum w:abstractNumId="20">
    <w:nsid w:val="2463B9EA"/>
    <w:multiLevelType w:val="hybridMultilevel"/>
    <w:lvl w:ilvl="0">
      <w:lvlJc w:val="left"/>
      <w:lvlText w:val="#"/>
      <w:numFmt w:val="bullet"/>
      <w:start w:val="1"/>
    </w:lvl>
  </w:abstractNum>
  <w:abstractNum w:abstractNumId="21">
    <w:nsid w:val="5E884ADC"/>
    <w:multiLevelType w:val="hybridMultilevel"/>
    <w:lvl w:ilvl="0">
      <w:lvlJc w:val="left"/>
      <w:lvlText w:val="*"/>
      <w:numFmt w:val="bullet"/>
      <w:start w:val="1"/>
    </w:lvl>
  </w:abstractNum>
  <w:abstractNum w:abstractNumId="22">
    <w:nsid w:val="51EAD36B"/>
    <w:multiLevelType w:val="hybridMultilevel"/>
    <w:lvl w:ilvl="0">
      <w:lvlJc w:val="left"/>
      <w:lvlText w:val="**"/>
      <w:numFmt w:val="bullet"/>
      <w:start w:val="1"/>
    </w:lvl>
  </w:abstractNum>
  <w:abstractNum w:abstractNumId="23">
    <w:nsid w:val="2D517796"/>
    <w:multiLevelType w:val="hybridMultilevel"/>
    <w:lvl w:ilvl="0">
      <w:lvlJc w:val="left"/>
      <w:lvlText w:val="%1."/>
      <w:numFmt w:val="decimal"/>
      <w:start w:val="1"/>
    </w:lvl>
  </w:abstractNum>
  <w:abstractNum w:abstractNumId="24">
    <w:nsid w:val="580BD78F"/>
    <w:multiLevelType w:val="hybridMultilevel"/>
    <w:lvl w:ilvl="0">
      <w:lvlJc w:val="left"/>
      <w:lvlText w:val="%1."/>
      <w:numFmt w:val="decimal"/>
      <w:start w:val="5"/>
    </w:lvl>
  </w:abstractNum>
  <w:abstractNum w:abstractNumId="25">
    <w:nsid w:val="153EA438"/>
    <w:multiLevelType w:val="hybridMultilevel"/>
    <w:lvl w:ilvl="0">
      <w:lvlJc w:val="left"/>
      <w:lvlText w:val="%1."/>
      <w:numFmt w:val="decimal"/>
      <w:start w:val="7"/>
    </w:lvl>
  </w:abstractNum>
  <w:abstractNum w:abstractNumId="26">
    <w:nsid w:val="3855585C"/>
    <w:multiLevelType w:val="hybridMultilevel"/>
    <w:lvl w:ilvl="0">
      <w:lvlJc w:val="left"/>
      <w:lvlText w:val="(%1)"/>
      <w:numFmt w:val="lowerRoman"/>
      <w:start w:val="1"/>
    </w:lvl>
  </w:abstractNum>
  <w:abstractNum w:abstractNumId="27">
    <w:nsid w:val="70A64E2A"/>
    <w:multiLevelType w:val="hybridMultilevel"/>
    <w:lvl w:ilvl="0">
      <w:lvlJc w:val="left"/>
      <w:lvlText w:val="(%1)"/>
      <w:numFmt w:val="lowerRoman"/>
      <w:start w:val="5"/>
    </w:lvl>
  </w:abstractNum>
  <w:abstractNum w:abstractNumId="28">
    <w:nsid w:val="6A2342EC"/>
    <w:multiLevelType w:val="hybridMultilevel"/>
    <w:lvl w:ilvl="0">
      <w:lvlJc w:val="left"/>
      <w:lvlText w:val="%1."/>
      <w:numFmt w:val="decimal"/>
      <w:start w:val="8"/>
    </w:lvl>
    <w:lvl w:ilvl="1">
      <w:lvlJc w:val="left"/>
      <w:lvlText w:val="(%2)"/>
      <w:numFmt w:val="lowerLetter"/>
      <w:start w:val="1"/>
    </w:lvl>
  </w:abstractNum>
  <w:abstractNum w:abstractNumId="29">
    <w:nsid w:val="2A487CB0"/>
    <w:multiLevelType w:val="hybridMultilevel"/>
    <w:lvl w:ilvl="0">
      <w:lvlJc w:val="left"/>
      <w:lvlText w:val="(%1)"/>
      <w:numFmt w:val="lowerLetter"/>
      <w:start w:val="4"/>
    </w:lvl>
  </w:abstractNum>
  <w:abstractNum w:abstractNumId="30">
    <w:nsid w:val="1D4ED43B"/>
    <w:multiLevelType w:val="hybridMultilevel"/>
    <w:lvl w:ilvl="0">
      <w:lvlJc w:val="left"/>
      <w:lvlText w:val="%1."/>
      <w:numFmt w:val="decimal"/>
      <w:start w:val="10"/>
    </w:lvl>
    <w:lvl w:ilvl="1">
      <w:lvlJc w:val="left"/>
      <w:lvlText w:val="(%2)"/>
      <w:numFmt w:val="lowerLetter"/>
      <w:start w:val="1"/>
    </w:lvl>
  </w:abstractNum>
  <w:abstractNum w:abstractNumId="31">
    <w:nsid w:val="725A06FB"/>
    <w:multiLevelType w:val="hybridMultilevel"/>
    <w:lvl w:ilvl="0">
      <w:lvlJc w:val="left"/>
      <w:lvlText w:val="(%1)"/>
      <w:numFmt w:val="lowerLetter"/>
      <w:start w:val="5"/>
    </w:lvl>
  </w:abstractNum>
  <w:abstractNum w:abstractNumId="32">
    <w:nsid w:val="2CD89A32"/>
    <w:multiLevelType w:val="hybridMultilevel"/>
    <w:lvl w:ilvl="0">
      <w:lvlJc w:val="left"/>
      <w:lvlText w:val="%1."/>
      <w:numFmt w:val="decimal"/>
      <w:start w:val="11"/>
    </w:lvl>
  </w:abstractNum>
  <w:abstractNum w:abstractNumId="33">
    <w:nsid w:val="57E4CCAF"/>
    <w:multiLevelType w:val="hybridMultilevel"/>
    <w:lvl w:ilvl="0">
      <w:lvlJc w:val="left"/>
      <w:lvlText w:val="%1."/>
      <w:numFmt w:val="decimal"/>
      <w:start w:val="12"/>
    </w:lvl>
  </w:abstractNum>
  <w:abstractNum w:abstractNumId="34">
    <w:nsid w:val="7A6D8D3C"/>
    <w:multiLevelType w:val="hybridMultilevel"/>
    <w:lvl w:ilvl="0">
      <w:lvlJc w:val="left"/>
      <w:lvlText w:val="%1."/>
      <w:numFmt w:val="decimal"/>
      <w:start w:val="18"/>
    </w:lvl>
  </w:abstractNum>
  <w:abstractNum w:abstractNumId="35">
    <w:nsid w:val="4B588F54"/>
    <w:multiLevelType w:val="hybridMultilevel"/>
    <w:lvl w:ilvl="0">
      <w:lvlJc w:val="left"/>
      <w:lvlText w:val="%1."/>
      <w:numFmt w:val="decimal"/>
      <w:start w:val="25"/>
    </w:lvl>
    <w:lvl w:ilvl="1">
      <w:lvlJc w:val="left"/>
      <w:lvlText w:val="%2."/>
      <w:numFmt w:val="decimal"/>
      <w:start w:val="28"/>
    </w:lvl>
  </w:abstractNum>
  <w:abstractNum w:abstractNumId="36">
    <w:nsid w:val="542289EC"/>
    <w:multiLevelType w:val="hybridMultilevel"/>
    <w:lvl w:ilvl="0">
      <w:lvlJc w:val="left"/>
      <w:lvlText w:val="%1."/>
      <w:numFmt w:val="decimal"/>
      <w:start w:val="29"/>
    </w:lvl>
  </w:abstractNum>
  <w:abstractNum w:abstractNumId="37">
    <w:nsid w:val="6DE91B18"/>
    <w:multiLevelType w:val="hybridMultilevel"/>
    <w:lvl w:ilvl="0">
      <w:lvlJc w:val="left"/>
      <w:lvlText w:val="%1."/>
      <w:numFmt w:val="decimal"/>
      <w:start w:val="1"/>
    </w:lvl>
  </w:abstractNum>
  <w:abstractNum w:abstractNumId="38">
    <w:nsid w:val="38437FDB"/>
    <w:multiLevelType w:val="hybridMultilevel"/>
    <w:lvl w:ilvl="0">
      <w:lvlJc w:val="left"/>
      <w:lvlText w:val="(%1)"/>
      <w:numFmt w:val="decimal"/>
      <w:start w:val="4"/>
    </w:lvl>
  </w:abstractNum>
  <w:abstractNum w:abstractNumId="39">
    <w:nsid w:val="7644A45C"/>
    <w:multiLevelType w:val="hybridMultilevel"/>
    <w:lvl w:ilvl="0">
      <w:lvlJc w:val="left"/>
      <w:lvlText w:val="%1."/>
      <w:numFmt w:val="decimal"/>
      <w:start w:val="3"/>
    </w:lvl>
  </w:abstractNum>
  <w:abstractNum w:abstractNumId="40">
    <w:nsid w:val="32FFF902"/>
    <w:multiLevelType w:val="hybridMultilevel"/>
    <w:lvl w:ilvl="0">
      <w:lvlJc w:val="left"/>
      <w:lvlText w:val="%1."/>
      <w:numFmt w:val="decimal"/>
      <w:start w:val="4"/>
    </w:lvl>
  </w:abstractNum>
  <w:abstractNum w:abstractNumId="41">
    <w:nsid w:val="684A481A"/>
    <w:multiLevelType w:val="hybridMultilevel"/>
    <w:lvl w:ilvl="0">
      <w:lvlJc w:val="left"/>
      <w:lvlText w:val="%1."/>
      <w:numFmt w:val="decimal"/>
      <w:start w:val="1"/>
    </w:lvl>
  </w:abstractNum>
  <w:abstractNum w:abstractNumId="42">
    <w:nsid w:val="579478FE"/>
    <w:multiLevelType w:val="hybridMultilevel"/>
    <w:lvl w:ilvl="0">
      <w:lvlJc w:val="left"/>
      <w:lvlText w:val="%1."/>
      <w:numFmt w:val="decimal"/>
      <w:start w:val="7"/>
    </w:lvl>
  </w:abstractNum>
  <w:abstractNum w:abstractNumId="43">
    <w:nsid w:val="749ABB43"/>
    <w:multiLevelType w:val="hybridMultilevel"/>
    <w:lvl w:ilvl="0">
      <w:lvlJc w:val="left"/>
      <w:lvlText w:val="%1."/>
      <w:numFmt w:val="decimal"/>
      <w:start w:val="8"/>
    </w:lvl>
  </w:abstractNum>
  <w:abstractNum w:abstractNumId="44">
    <w:nsid w:val="3DC240FB"/>
    <w:multiLevelType w:val="hybridMultilevel"/>
    <w:lvl w:ilvl="0">
      <w:lvlJc w:val="left"/>
      <w:lvlText w:val="%1."/>
      <w:numFmt w:val="decimal"/>
      <w:start w:val="10"/>
    </w:lvl>
  </w:abstractNum>
  <w:abstractNum w:abstractNumId="45">
    <w:nsid w:val="1BA026FA"/>
    <w:multiLevelType w:val="hybridMultilevel"/>
    <w:lvl w:ilvl="0">
      <w:lvlJc w:val="left"/>
      <w:lvlText w:val="%1."/>
      <w:numFmt w:val="decimal"/>
      <w:start w:val="17"/>
    </w:lvl>
  </w:abstractNum>
  <w:abstractNum w:abstractNumId="46">
    <w:nsid w:val="79A1DEAA"/>
    <w:multiLevelType w:val="hybridMultilevel"/>
    <w:lvl w:ilvl="0">
      <w:lvlJc w:val="left"/>
      <w:lvlText w:val="%1."/>
      <w:numFmt w:val="decimal"/>
      <w:start w:val="1"/>
    </w:lvl>
  </w:abstractNum>
  <w:abstractNum w:abstractNumId="47">
    <w:nsid w:val="75C6C33A"/>
    <w:multiLevelType w:val="hybridMultilevel"/>
    <w:lvl w:ilvl="0">
      <w:lvlJc w:val="left"/>
      <w:lvlText w:val="%1)"/>
      <w:numFmt w:val="lowerLetter"/>
      <w:start w:val="1"/>
    </w:lvl>
  </w:abstractNum>
  <w:abstractNum w:abstractNumId="48">
    <w:nsid w:val="12E685FB"/>
    <w:multiLevelType w:val="hybridMultilevel"/>
    <w:lvl w:ilvl="0">
      <w:lvlJc w:val="left"/>
      <w:lvlText w:val="%1."/>
      <w:numFmt w:val="decimal"/>
      <w:start w:val="5"/>
    </w:lvl>
  </w:abstractNum>
  <w:abstractNum w:abstractNumId="49">
    <w:nsid w:val="70C6A529"/>
    <w:multiLevelType w:val="hybridMultilevel"/>
    <w:lvl w:ilvl="0">
      <w:lvlJc w:val="left"/>
      <w:lvlText w:val="%1)"/>
      <w:numFmt w:val="lowerLetter"/>
      <w:start w:val="1"/>
    </w:lvl>
  </w:abstractNum>
  <w:abstractNum w:abstractNumId="50">
    <w:nsid w:val="520EEDD1"/>
    <w:multiLevelType w:val="hybridMultilevel"/>
    <w:lvl w:ilvl="0">
      <w:lvlJc w:val="left"/>
      <w:lvlText w:val="%1."/>
      <w:numFmt w:val="decimal"/>
      <w:start w:val="1"/>
    </w:lvl>
  </w:abstractNum>
  <w:abstractNum w:abstractNumId="51">
    <w:nsid w:val="374A3FE6"/>
    <w:multiLevelType w:val="hybridMultilevel"/>
    <w:lvl w:ilvl="0">
      <w:lvlJc w:val="left"/>
      <w:lvlText w:val="%1)"/>
      <w:numFmt w:val="lowerLetter"/>
      <w:start w:val="1"/>
    </w:lvl>
  </w:abstractNum>
  <w:abstractNum w:abstractNumId="52">
    <w:nsid w:val="4F4EF005"/>
    <w:multiLevelType w:val="hybridMultilevel"/>
    <w:lvl w:ilvl="0">
      <w:lvlJc w:val="left"/>
      <w:lvlText w:val="%1."/>
      <w:numFmt w:val="decimal"/>
      <w:start w:val="5"/>
    </w:lvl>
  </w:abstractNum>
  <w:abstractNum w:abstractNumId="53">
    <w:nsid w:val="23F9C13C"/>
    <w:multiLevelType w:val="hybridMultilevel"/>
    <w:lvl w:ilvl="0">
      <w:lvlJc w:val="left"/>
      <w:lvlText w:val="%1)"/>
      <w:numFmt w:val="lowerLetter"/>
      <w:start w:val="1"/>
    </w:lvl>
  </w:abstractNum>
  <w:abstractNum w:abstractNumId="54">
    <w:nsid w:val="649BB77C"/>
    <w:multiLevelType w:val="hybridMultilevel"/>
    <w:lvl w:ilvl="0">
      <w:lvlJc w:val="left"/>
      <w:lvlText w:val="(%1)"/>
      <w:numFmt w:val="lowerRoman"/>
      <w:start w:val="1"/>
    </w:lvl>
  </w:abstractNum>
  <w:abstractNum w:abstractNumId="55">
    <w:nsid w:val="275AC79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102" Type="http://schemas.openxmlformats.org/officeDocument/2006/relationships/image" Target="media/image83.png"/><Relationship Id="rId119" Type="http://schemas.openxmlformats.org/officeDocument/2006/relationships/image" Target="media/image84.png"/><Relationship Id="rId120" Type="http://schemas.openxmlformats.org/officeDocument/2006/relationships/image" Target="media/image85.png"/><Relationship Id="rId121" Type="http://schemas.openxmlformats.org/officeDocument/2006/relationships/image" Target="media/image86.png"/><Relationship Id="rId122" Type="http://schemas.openxmlformats.org/officeDocument/2006/relationships/image" Target="media/image87.png"/><Relationship Id="rId123" Type="http://schemas.openxmlformats.org/officeDocument/2006/relationships/image" Target="media/image88.png"/><Relationship Id="rId124" Type="http://schemas.openxmlformats.org/officeDocument/2006/relationships/image" Target="media/image89.png"/><Relationship Id="rId125" Type="http://schemas.openxmlformats.org/officeDocument/2006/relationships/image" Target="media/image90.jpeg"/><Relationship Id="rId126" Type="http://schemas.openxmlformats.org/officeDocument/2006/relationships/image" Target="media/image91.png"/><Relationship Id="rId127" Type="http://schemas.openxmlformats.org/officeDocument/2006/relationships/image" Target="media/image92.png"/><Relationship Id="rId128" Type="http://schemas.openxmlformats.org/officeDocument/2006/relationships/image" Target="media/image93.png"/><Relationship Id="rId129" Type="http://schemas.openxmlformats.org/officeDocument/2006/relationships/image" Target="media/image94.png"/><Relationship Id="rId90" Type="http://schemas.openxmlformats.org/officeDocument/2006/relationships/hyperlink" Target="http://www.sec.gov/Archives/edgar/data/0001058057/000119312520282762/d42915dex21.htm" TargetMode="External"/><Relationship Id="rId91" Type="http://schemas.openxmlformats.org/officeDocument/2006/relationships/hyperlink" Target="http://www.sec.gov/Archives/edgar/data/0001058057/000119312521122807/d156000dex31.htm" TargetMode="External"/><Relationship Id="rId92" Type="http://schemas.openxmlformats.org/officeDocument/2006/relationships/hyperlink" Target="https://www.sec.gov/Archives/edgar/data/1835632/000119312521122938/d136815dex32.htm" TargetMode="External"/><Relationship Id="rId93" Type="http://schemas.openxmlformats.org/officeDocument/2006/relationships/hyperlink" Target="http://www.sec.gov/Archives/edgar/data/0001835632/000119312521123305/d282209dex41.htm" TargetMode="External"/><Relationship Id="rId94" Type="http://schemas.openxmlformats.org/officeDocument/2006/relationships/hyperlink" Target="http://www.sec.gov/Archives/edgar/data/0001835632/000119312521123305/d282209dex42.htm" TargetMode="External"/><Relationship Id="rId95" Type="http://schemas.openxmlformats.org/officeDocument/2006/relationships/hyperlink" Target="http://www.sec.gov/Archives/edgar/data/0001058057/000119312521113298/d124916dex41.htm" TargetMode="External"/><Relationship Id="rId96" Type="http://schemas.openxmlformats.org/officeDocument/2006/relationships/hyperlink" Target="http://www.sec.gov/Archives/edgar/data/0001058057/000119312521113298/d124916dex42.htm" TargetMode="External"/><Relationship Id="rId97" Type="http://schemas.openxmlformats.org/officeDocument/2006/relationships/hyperlink" Target="http://www.sec.gov/Archives/edgar/data/0001835632/000119312521150119/d168758dex42.htm" TargetMode="External"/><Relationship Id="rId98" Type="http://schemas.openxmlformats.org/officeDocument/2006/relationships/hyperlink" Target="http://www.sec.gov/Archives/edgar/data/0001058057/000119312521120469/d107622dex41.htm" TargetMode="External"/><Relationship Id="rId99" Type="http://schemas.openxmlformats.org/officeDocument/2006/relationships/hyperlink" Target="http://www.sec.gov/Archives/edgar/data/0001835632/000119312521123305/d282209dex101.htm" TargetMode="External"/><Relationship Id="rId100" Type="http://schemas.openxmlformats.org/officeDocument/2006/relationships/hyperlink" Target="http://www.sec.gov/Archives/edgar/data/0001058057/000119312520312706/d84972dex101.htm" TargetMode="External"/><Relationship Id="rId101" Type="http://schemas.openxmlformats.org/officeDocument/2006/relationships/hyperlink" Target="http://www.sec.gov/Archives/edgar/data/0001058057/000119312520312706/d84972dex102.htm" TargetMode="External"/><Relationship Id="rId103" Type="http://schemas.openxmlformats.org/officeDocument/2006/relationships/hyperlink" Target="http://www.sec.gov/Archives/edgar/data/0001058057/000119312520312706/d84972dex103.htm" TargetMode="External"/><Relationship Id="rId104" Type="http://schemas.openxmlformats.org/officeDocument/2006/relationships/hyperlink" Target="http://www.sec.gov/Archives/edgar/data/0001058057/000119312521113298/d124916dex101.htm" TargetMode="External"/><Relationship Id="rId105" Type="http://schemas.openxmlformats.org/officeDocument/2006/relationships/hyperlink" Target="http://www.sec.gov/Archives/edgar/data/0001835632/000119312521123014/d141152dex41.htm" TargetMode="External"/><Relationship Id="rId106" Type="http://schemas.openxmlformats.org/officeDocument/2006/relationships/hyperlink" Target="http://www.sec.gov/Archives/edgar/data/0001835632/000119312521123014/d141152dex42.htm" TargetMode="External"/><Relationship Id="rId107" Type="http://schemas.openxmlformats.org/officeDocument/2006/relationships/hyperlink" Target="http://www.sec.gov/Archives/edgar/data/0001835632/000119312521123014/d141152dex43.htm" TargetMode="External"/><Relationship Id="rId108" Type="http://schemas.openxmlformats.org/officeDocument/2006/relationships/hyperlink" Target="http://www.sec.gov/Archives/edgar/data/0001058057/000105805719000032/q32010q11022019exhibit101.htm" TargetMode="External"/><Relationship Id="rId109" Type="http://schemas.openxmlformats.org/officeDocument/2006/relationships/hyperlink" Target="http://www.sec.gov/Archives/edgar/data/0001058057/000105805719000032/q32010q11022019exhibit102.htm" TargetMode="External"/><Relationship Id="rId110" Type="http://schemas.openxmlformats.org/officeDocument/2006/relationships/hyperlink" Target="http://www.sec.gov/Archives/edgar/data/0001058057/000105805719000032/q32010q11022019exhibit103.htm" TargetMode="External"/><Relationship Id="rId111" Type="http://schemas.openxmlformats.org/officeDocument/2006/relationships/hyperlink" Target="http://www.sec.gov/Archives/edgar/data/0001058057/000105805719000032/q32010q11022019exhibit106.htm" TargetMode="External"/><Relationship Id="rId112" Type="http://schemas.openxmlformats.org/officeDocument/2006/relationships/hyperlink" Target="http://www.sec.gov/Archives/edgar/data/0001058057/000105805719000032/q32010q11022019exhibit105.htm" TargetMode="External"/><Relationship Id="rId113" Type="http://schemas.openxmlformats.org/officeDocument/2006/relationships/hyperlink" Target="http://www.sec.gov/Archives/edgar/data/0001058057/000105805719000032/q32010q11022019exhibit104.htm" TargetMode="External"/><Relationship Id="rId114" Type="http://schemas.openxmlformats.org/officeDocument/2006/relationships/hyperlink" Target="http://www.sec.gov/Archives/edgar/data/1160958/000143774920017155/ex_196563.htm" TargetMode="External"/><Relationship Id="rId115" Type="http://schemas.openxmlformats.org/officeDocument/2006/relationships/hyperlink" Target="https://www.sec.gov/Archives/edgar/data/1835632/000183563221000010/mrvl-512021exhibit1017.htm" TargetMode="External"/><Relationship Id="rId116" Type="http://schemas.openxmlformats.org/officeDocument/2006/relationships/hyperlink" Target="https://www.sec.gov/Archives/edgar/data/1835632/000183563221000010/mrvl-512021exhibit1018.htm" TargetMode="External"/><Relationship Id="rId117" Type="http://schemas.openxmlformats.org/officeDocument/2006/relationships/hyperlink" Target="http://www.sec.gov/Archives/edgar/data/1058057/000119312516705222/d240868dex104.htm" TargetMode="External"/><Relationship Id="rId118" Type="http://schemas.openxmlformats.org/officeDocument/2006/relationships/hyperlink" Target="https://www.sec.gov/Archives/edgar/data/1835632/000183563221000010/mrvl-512021exhibit1020.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2021-08-27T17:14:02Z</dcterms:created>
  <dcterms:modified xsi:type="dcterms:W3CDTF">2021-08-27T17:14:02Z</dcterms:modified>
</cp:coreProperties>
</file>