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Report: October 5,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60" w:space="720"/>
            <w:col w:w="2880" w:space="720"/>
            <w:col w:w="2140"/>
          </w:cols>
          <w:pgMar w:left="440" w:top="368" w:right="43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140"/>
        <w:spacing w:after="0"/>
        <w:rPr>
          <w:sz w:val="20"/>
          <w:szCs w:val="20"/>
          <w:color w:val="auto"/>
        </w:rPr>
      </w:pPr>
      <w:r>
        <w:rPr>
          <w:rFonts w:ascii="Arial" w:cs="Arial" w:eastAsia="Arial" w:hAnsi="Arial"/>
          <w:sz w:val="14"/>
          <w:szCs w:val="14"/>
          <w:b w:val="1"/>
          <w:bCs w:val="1"/>
          <w:color w:val="auto"/>
        </w:rPr>
        <w:t>(IRS Employer</w:t>
      </w:r>
    </w:p>
    <w:p>
      <w:pPr>
        <w:jc w:val="center"/>
        <w:ind w:right="114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40" w:space="720"/>
            <w:col w:w="2760" w:space="720"/>
            <w:col w:w="228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822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16"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jc w:val="both"/>
        <w:ind w:firstLine="440"/>
        <w:spacing w:after="0" w:line="286" w:lineRule="auto"/>
        <w:rPr>
          <w:sz w:val="20"/>
          <w:szCs w:val="20"/>
          <w:color w:val="auto"/>
        </w:rPr>
      </w:pPr>
      <w:r>
        <w:rPr>
          <w:rFonts w:ascii="Arial" w:cs="Arial" w:eastAsia="Arial" w:hAnsi="Arial"/>
          <w:sz w:val="17"/>
          <w:szCs w:val="17"/>
          <w:color w:val="auto"/>
        </w:rPr>
        <w:t>On October 5, 2021, Marvell Technology, Inc. (“Marvell”) issued a press release announcing that the company has completed its acquisition of Innovium, Inc. Under the terms of the definitive agreement, Innovium stockholders received consideration consisting of shares of Marvell Common Stock issued in exchange for all outstanding equity of Innovium. A copy of the press release is filed herewith as Exhibit 99.1.</w:t>
      </w:r>
    </w:p>
    <w:p>
      <w:pPr>
        <w:spacing w:after="0" w:line="310"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spacing w:after="0"/>
        <w:tabs>
          <w:tab w:leader="none" w:pos="64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EE"/>
          </w:rPr>
          <w:t>Press Release dated October 5, 2021</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740"/>
          </w:cols>
          <w:pgMar w:left="440" w:top="297" w:right="71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October 5,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14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1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0" w:lineRule="exact"/>
        <w:rPr>
          <w:sz w:val="20"/>
          <w:szCs w:val="20"/>
          <w:color w:val="auto"/>
        </w:rPr>
      </w:pPr>
    </w:p>
    <w:p>
      <w:pPr>
        <w:spacing w:after="0" w:line="241"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Marvell Completes Acquisition of Innovium</w:t>
      </w:r>
    </w:p>
    <w:p>
      <w:pPr>
        <w:spacing w:after="0" w:line="256" w:lineRule="exact"/>
        <w:rPr>
          <w:sz w:val="20"/>
          <w:szCs w:val="20"/>
          <w:color w:val="auto"/>
        </w:rPr>
      </w:pPr>
    </w:p>
    <w:p>
      <w:pPr>
        <w:spacing w:after="0"/>
        <w:tabs>
          <w:tab w:leader="none" w:pos="20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6"/>
          <w:szCs w:val="16"/>
          <w:color w:val="auto"/>
        </w:rPr>
        <w:t>Broadens Marvell’s portfolio of silicon solutions targeting cloud data centers</w:t>
      </w:r>
    </w:p>
    <w:p>
      <w:pPr>
        <w:spacing w:after="0" w:line="221" w:lineRule="exact"/>
        <w:rPr>
          <w:sz w:val="20"/>
          <w:szCs w:val="20"/>
          <w:color w:val="auto"/>
        </w:rPr>
      </w:pPr>
    </w:p>
    <w:p>
      <w:pPr>
        <w:ind w:right="660"/>
        <w:spacing w:after="0" w:line="347" w:lineRule="auto"/>
        <w:rPr>
          <w:sz w:val="20"/>
          <w:szCs w:val="20"/>
          <w:color w:val="auto"/>
        </w:rPr>
      </w:pPr>
      <w:r>
        <w:rPr>
          <w:rFonts w:ascii="Arial" w:cs="Arial" w:eastAsia="Arial" w:hAnsi="Arial"/>
          <w:sz w:val="16"/>
          <w:szCs w:val="16"/>
          <w:b w:val="1"/>
          <w:bCs w:val="1"/>
          <w:color w:val="auto"/>
        </w:rPr>
        <w:t xml:space="preserve">Santa Clara, Calif., October 5, 2021 </w:t>
      </w:r>
      <w:r>
        <w:rPr>
          <w:rFonts w:ascii="Arial" w:cs="Arial" w:eastAsia="Arial" w:hAnsi="Arial"/>
          <w:sz w:val="16"/>
          <w:szCs w:val="16"/>
          <w:color w:val="auto"/>
        </w:rPr>
        <w:t>- Marvell Technology, Inc. (NASDAQ: MRVL), a leader in infrastructure semiconductor solutions, today</w:t>
      </w:r>
      <w:r>
        <w:rPr>
          <w:rFonts w:ascii="Arial" w:cs="Arial" w:eastAsia="Arial" w:hAnsi="Arial"/>
          <w:sz w:val="16"/>
          <w:szCs w:val="16"/>
          <w:b w:val="1"/>
          <w:bCs w:val="1"/>
          <w:color w:val="auto"/>
        </w:rPr>
        <w:t xml:space="preserve"> </w:t>
      </w:r>
      <w:r>
        <w:rPr>
          <w:rFonts w:ascii="Arial" w:cs="Arial" w:eastAsia="Arial" w:hAnsi="Arial"/>
          <w:sz w:val="16"/>
          <w:szCs w:val="16"/>
          <w:color w:val="auto"/>
        </w:rPr>
        <w:t>announced that it has completed its acquisition of Innovium, Inc., a leading provider of networking solutions for cloud and edge data centers.</w:t>
      </w:r>
    </w:p>
    <w:p>
      <w:pPr>
        <w:spacing w:after="0" w:line="120" w:lineRule="exact"/>
        <w:rPr>
          <w:sz w:val="20"/>
          <w:szCs w:val="20"/>
          <w:color w:val="auto"/>
        </w:rPr>
      </w:pPr>
    </w:p>
    <w:p>
      <w:pPr>
        <w:ind w:right="440"/>
        <w:spacing w:after="0" w:line="277" w:lineRule="auto"/>
        <w:rPr>
          <w:sz w:val="20"/>
          <w:szCs w:val="20"/>
          <w:color w:val="auto"/>
        </w:rPr>
      </w:pPr>
      <w:r>
        <w:rPr>
          <w:rFonts w:ascii="Arial" w:cs="Arial" w:eastAsia="Arial" w:hAnsi="Arial"/>
          <w:sz w:val="18"/>
          <w:szCs w:val="18"/>
          <w:color w:val="auto"/>
        </w:rPr>
        <w:t>The acquisition of Innovium and its complementary offerings further extends Marvell’s leadership in the cloud, and allows Marvell to immediately participate in the fastest growing segment of the switch market with a cloud-optimized solution.</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2021-10-05T08:23:51Z</dcterms:created>
  <dcterms:modified xsi:type="dcterms:W3CDTF">2021-10-05T08:23:51Z</dcterms:modified>
</cp:coreProperties>
</file>