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jc w:val="center"/>
        <w:ind w:right="-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1000 N. West Street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Suite 1200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jc w:val="center"/>
        <w:ind w:right="-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Wilmington, DE 19801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November 12, 2021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u w:val="single" w:color="auto"/>
          <w:color w:val="auto"/>
        </w:rPr>
        <w:t>VIA EDGAR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Division of Corporation Finance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U.S. Securities and Exchange Commission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100 F Street, N.E.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Washington, D.C. 20549</w:t>
      </w:r>
    </w:p>
    <w:p>
      <w:pPr>
        <w:spacing w:after="0" w:line="234" w:lineRule="exact"/>
        <w:rPr>
          <w:sz w:val="24"/>
          <w:szCs w:val="24"/>
          <w:color w:val="auto"/>
        </w:rPr>
      </w:pPr>
    </w:p>
    <w:p>
      <w:pPr>
        <w:ind w:left="424"/>
        <w:spacing w:after="0"/>
        <w:tabs>
          <w:tab w:leader="none" w:pos="944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Re: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Marvell Technology, Inc.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Registration Statement on Form S-4 (File No. 333-260832)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96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Request for Acceleration of Effective Date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Ladies and Gentlemen:</w:t>
      </w:r>
    </w:p>
    <w:p>
      <w:pPr>
        <w:spacing w:after="0" w:line="117" w:lineRule="exact"/>
        <w:rPr>
          <w:sz w:val="24"/>
          <w:szCs w:val="24"/>
          <w:color w:val="auto"/>
        </w:rPr>
      </w:pPr>
    </w:p>
    <w:p>
      <w:pPr>
        <w:ind w:left="4" w:firstLine="44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Pursuant to Rule 461 of the General Rules and Regulations under the Securities Act of 1933, as amended, Marvell Technology, Inc., a Delaware corporation, hereby requests that the Securities and Exchange Commission accelerate the effective date of the above-referenced Registration Statement on Form S-4 (File No. 333-260832) and declare the Registration Statement effective as of Tuesday, November 16, 2021, at 4:00 p.m., Eastern time, or as soon as practicable thereafter.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ind w:left="4" w:right="140" w:firstLine="440"/>
        <w:spacing w:after="0" w:line="27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Please contact the undersigned at (302) 295-4840, or Tiffany Posil of Hogan Lovells US LLP at (202) 637-3663 with any questions. Also, please notify Ms. Posil when this request for acceleration has been granted.</w:t>
      </w:r>
    </w:p>
    <w:p>
      <w:pPr>
        <w:spacing w:after="0" w:line="197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Very truly yours,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MARVELL TECHNOLOGY, INC.</w:t>
      </w: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66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By: /s/ Mitchel Gaynor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4431665</wp:posOffset>
            </wp:positionH>
            <wp:positionV relativeFrom="paragraph">
              <wp:posOffset>14605</wp:posOffset>
            </wp:positionV>
            <wp:extent cx="2562860" cy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ind w:left="698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Name: Mitchel Gaynor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98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Title: Chief Administration and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742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Legal Officer and Secretary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424" w:hanging="424"/>
        <w:spacing w:after="0"/>
        <w:tabs>
          <w:tab w:leader="none" w:pos="424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 xml:space="preserve">Tiffany Posil, </w:t>
      </w:r>
      <w:r>
        <w:rPr>
          <w:rFonts w:ascii="Arial" w:cs="Arial" w:eastAsia="Arial" w:hAnsi="Arial"/>
          <w:sz w:val="18"/>
          <w:szCs w:val="18"/>
          <w:i w:val="1"/>
          <w:iCs w:val="1"/>
          <w:color w:val="auto"/>
        </w:rPr>
        <w:t>Hogan Lovells US LLP</w:t>
      </w:r>
    </w:p>
    <w:sectPr>
      <w:pgSz w:w="11900" w:h="16838" w:orient="portrait"/>
      <w:cols w:equalWidth="0" w:num="1">
        <w:col w:w="11004"/>
      </w:cols>
      <w:pgMar w:left="436" w:top="233" w:right="45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:"/>
      <w:numFmt w:val="lowerLetter"/>
      <w:start w:val="29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2021-12-15T23:06:06Z</dcterms:created>
  <dcterms:modified xsi:type="dcterms:W3CDTF">2021-12-15T23:06:06Z</dcterms:modified>
</cp:coreProperties>
</file>