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Pursuant to Section 13 or 15(d)</w:t>
      </w:r>
    </w:p>
    <w:p>
      <w:pPr>
        <w:jc w:val="center"/>
        <w:ind w:right="-3"/>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Date of Report: December 17, 2021</w:t>
      </w:r>
    </w:p>
    <w:p>
      <w:pPr>
        <w:spacing w:after="0" w:line="14"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218440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ind w:right="-3"/>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236220</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4"/>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0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504" w:space="720"/>
            <w:col w:w="2880" w:space="720"/>
            <w:col w:w="2200"/>
          </w:cols>
          <w:pgMar w:left="436" w:top="368" w:right="439" w:bottom="1440" w:gutter="0" w:footer="0" w:header="0"/>
          <w:type w:val="continuous"/>
        </w:sectPr>
      </w:pPr>
    </w:p>
    <w:p>
      <w:pPr>
        <w:spacing w:after="0" w:line="12" w:lineRule="exact"/>
        <w:rPr>
          <w:sz w:val="24"/>
          <w:szCs w:val="24"/>
          <w:color w:val="auto"/>
        </w:rPr>
      </w:pPr>
    </w:p>
    <w:p>
      <w:pPr>
        <w:jc w:val="center"/>
        <w:ind w:right="756"/>
        <w:spacing w:after="0"/>
        <w:rPr>
          <w:sz w:val="20"/>
          <w:szCs w:val="20"/>
          <w:color w:val="auto"/>
        </w:rPr>
      </w:pPr>
      <w:r>
        <w:rPr>
          <w:rFonts w:ascii="Arial" w:cs="Arial" w:eastAsia="Arial" w:hAnsi="Arial"/>
          <w:sz w:val="13"/>
          <w:szCs w:val="13"/>
          <w:b w:val="1"/>
          <w:bCs w:val="1"/>
          <w:color w:val="auto"/>
        </w:rPr>
        <w:t>(State or other jurisdiction</w:t>
      </w:r>
    </w:p>
    <w:p>
      <w:pPr>
        <w:jc w:val="center"/>
        <w:ind w:right="756"/>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03" w:lineRule="exact"/>
        <w:rPr>
          <w:sz w:val="24"/>
          <w:szCs w:val="24"/>
          <w:color w:val="auto"/>
        </w:rPr>
      </w:pPr>
    </w:p>
    <w:p>
      <w:pPr>
        <w:sectPr>
          <w:pgSz w:w="11900" w:h="16838" w:orient="portrait"/>
          <w:cols w:equalWidth="0" w:num="3">
            <w:col w:w="4484" w:space="720"/>
            <w:col w:w="2760" w:space="720"/>
            <w:col w:w="2340"/>
          </w:cols>
          <w:pgMar w:left="436" w:top="368" w:right="439" w:bottom="1440" w:gutter="0" w:footer="0" w:header="0"/>
          <w:type w:val="continuous"/>
        </w:sectPr>
      </w:pPr>
    </w:p>
    <w:p>
      <w:pPr>
        <w:jc w:val="center"/>
        <w:ind w:right="16"/>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16"/>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(302) 295-4840</w:t>
      </w:r>
    </w:p>
    <w:p>
      <w:pPr>
        <w:spacing w:after="0" w:line="21" w:lineRule="exact"/>
        <w:rPr>
          <w:sz w:val="24"/>
          <w:szCs w:val="24"/>
          <w:color w:val="auto"/>
        </w:rPr>
      </w:pPr>
    </w:p>
    <w:p>
      <w:pPr>
        <w:jc w:val="center"/>
        <w:ind w:right="16"/>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227965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p>
      <w:pPr>
        <w:spacing w:after="0" w:line="200" w:lineRule="exact"/>
        <w:rPr>
          <w:sz w:val="24"/>
          <w:szCs w:val="24"/>
          <w:color w:val="auto"/>
        </w:rPr>
      </w:pPr>
    </w:p>
    <w:p>
      <w:pPr>
        <w:spacing w:after="0" w:line="374" w:lineRule="exact"/>
        <w:rPr>
          <w:sz w:val="24"/>
          <w:szCs w:val="24"/>
          <w:color w:val="auto"/>
        </w:rPr>
      </w:pPr>
    </w:p>
    <w:p>
      <w:pPr>
        <w:ind w:left="4"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ind w:left="4"/>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4"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left="4"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82" w:lineRule="exact"/>
        <w:rPr>
          <w:sz w:val="24"/>
          <w:szCs w:val="24"/>
          <w:color w:val="auto"/>
        </w:rPr>
      </w:pPr>
    </w:p>
    <w:p>
      <w:pPr>
        <w:ind w:left="4"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 Other Events.</w:t>
      </w:r>
    </w:p>
    <w:p>
      <w:pPr>
        <w:spacing w:after="0" w:line="121" w:lineRule="exact"/>
        <w:rPr>
          <w:sz w:val="20"/>
          <w:szCs w:val="20"/>
          <w:color w:val="auto"/>
        </w:rPr>
      </w:pPr>
    </w:p>
    <w:p>
      <w:pPr>
        <w:spacing w:after="0" w:line="275" w:lineRule="auto"/>
        <w:rPr>
          <w:sz w:val="20"/>
          <w:szCs w:val="20"/>
          <w:color w:val="auto"/>
        </w:rPr>
      </w:pPr>
      <w:r>
        <w:rPr>
          <w:rFonts w:ascii="Arial" w:cs="Arial" w:eastAsia="Arial" w:hAnsi="Arial"/>
          <w:sz w:val="17"/>
          <w:szCs w:val="17"/>
          <w:color w:val="auto"/>
        </w:rPr>
        <w:t>On December 17, 2021, Marvell Technology, Inc. (the “Company”) announced that its Board of Directors had declared the payment of its quarterly dividend of $0.06 per share to be paid on January 26, 2022 to all stockholders of record as of January 7, 2022. A copy of the press release is furnished herewith as Exhibit 99.1 and is incorporated by reference herein. The payment of future quarterly cash dividends is subject to, among other things, the best interests of the Company and its shareholders, its results of operations, cash balances and future cash requirements, financial condition, statutory requirements of Delaware law, and other factors that the Board of Directors may deem relevant.</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spacing w:after="0"/>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6"/>
            <w:szCs w:val="16"/>
            <w:u w:val="single" w:color="auto"/>
            <w:color w:val="0000EE"/>
          </w:rPr>
          <w:t>Press Release dated December 17, 2021, titled “Marvell Technology, Inc. Declares Quarterly Dividend Payment”</w:t>
        </w:r>
      </w:hyperlink>
    </w:p>
    <w:p>
      <w:pPr>
        <w:spacing w:after="0" w:line="117"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0820"/>
          </w:cols>
          <w:pgMar w:left="440" w:top="297" w:right="639" w:bottom="1440" w:gutter="0" w:footer="0" w:header="0"/>
        </w:sectPr>
      </w:pPr>
    </w:p>
    <w:bookmarkStart w:id="2" w:name="page3"/>
    <w:bookmarkEnd w:id="2"/>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spacing w:after="0"/>
        <w:tabs>
          <w:tab w:leader="none" w:pos="5300" w:val="left"/>
          <w:tab w:leader="none" w:pos="5720" w:val="left"/>
        </w:tabs>
        <w:rPr>
          <w:sz w:val="20"/>
          <w:szCs w:val="20"/>
          <w:color w:val="auto"/>
        </w:rPr>
      </w:pPr>
      <w:r>
        <w:rPr>
          <w:rFonts w:ascii="Arial" w:cs="Arial" w:eastAsia="Arial" w:hAnsi="Arial"/>
          <w:sz w:val="18"/>
          <w:szCs w:val="18"/>
          <w:color w:val="auto"/>
        </w:rPr>
        <w:t>Date: December 17,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3649345</wp:posOffset>
            </wp:positionH>
            <wp:positionV relativeFrom="paragraph">
              <wp:posOffset>14605</wp:posOffset>
            </wp:positionV>
            <wp:extent cx="2863215"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863215" cy="8255"/>
                    </a:xfrm>
                    <a:prstGeom prst="rect">
                      <a:avLst/>
                    </a:prstGeom>
                    <a:noFill/>
                  </pic:spPr>
                </pic:pic>
              </a:graphicData>
            </a:graphic>
          </wp:anchor>
        </w:drawing>
      </w:r>
    </w:p>
    <w:p>
      <w:pPr>
        <w:spacing w:after="0" w:line="30" w:lineRule="exact"/>
        <w:rPr>
          <w:sz w:val="20"/>
          <w:szCs w:val="20"/>
          <w:color w:val="auto"/>
        </w:rPr>
      </w:pPr>
    </w:p>
    <w:p>
      <w:pPr>
        <w:ind w:left="5740"/>
        <w:spacing w:after="0"/>
        <w:rPr>
          <w:sz w:val="20"/>
          <w:szCs w:val="20"/>
          <w:color w:val="auto"/>
        </w:rPr>
      </w:pPr>
      <w:r>
        <w:rPr>
          <w:rFonts w:ascii="Arial" w:cs="Arial" w:eastAsia="Arial" w:hAnsi="Arial"/>
          <w:sz w:val="18"/>
          <w:szCs w:val="18"/>
          <w:b w:val="1"/>
          <w:bCs w:val="1"/>
          <w:color w:val="auto"/>
        </w:rPr>
        <w:t>Jean Hu</w:t>
      </w:r>
    </w:p>
    <w:p>
      <w:pPr>
        <w:spacing w:after="0" w:line="9" w:lineRule="exact"/>
        <w:rPr>
          <w:sz w:val="20"/>
          <w:szCs w:val="20"/>
          <w:color w:val="auto"/>
        </w:rPr>
      </w:pPr>
    </w:p>
    <w:p>
      <w:pPr>
        <w:ind w:left="574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60"/>
          </w:cols>
          <w:pgMar w:left="440" w:top="297" w:right="7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171450</wp:posOffset>
            </wp:positionV>
            <wp:extent cx="1611630" cy="65976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611630" cy="6597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 Declares Quarterly Dividend Payment</w:t>
      </w:r>
    </w:p>
    <w:p>
      <w:pPr>
        <w:spacing w:after="0" w:line="225" w:lineRule="exact"/>
        <w:rPr>
          <w:sz w:val="20"/>
          <w:szCs w:val="20"/>
          <w:color w:val="auto"/>
        </w:rPr>
      </w:pPr>
    </w:p>
    <w:p>
      <w:pPr>
        <w:ind w:right="20"/>
        <w:spacing w:after="0" w:line="282" w:lineRule="auto"/>
        <w:rPr>
          <w:sz w:val="20"/>
          <w:szCs w:val="20"/>
          <w:color w:val="auto"/>
        </w:rPr>
      </w:pPr>
      <w:r>
        <w:rPr>
          <w:rFonts w:ascii="Arial" w:cs="Arial" w:eastAsia="Arial" w:hAnsi="Arial"/>
          <w:sz w:val="18"/>
          <w:szCs w:val="18"/>
          <w:b w:val="1"/>
          <w:bCs w:val="1"/>
          <w:color w:val="auto"/>
        </w:rPr>
        <w:t xml:space="preserve">Santa Clara, Calif. (December 17, 2021) </w:t>
      </w:r>
      <w:r>
        <w:rPr>
          <w:rFonts w:ascii="Arial" w:cs="Arial" w:eastAsia="Arial" w:hAnsi="Arial"/>
          <w:sz w:val="18"/>
          <w:szCs w:val="18"/>
          <w:color w:val="auto"/>
        </w:rPr>
        <w:t>— Marvell Technology, Inc. (NASDAQ: MRVL), today announced a quarterly dividend of $0.06 per share of</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stock payable on January 26, 2022 to shareholders of record as of January 7, 2022.</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4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2021-12-17T15:17:31Z</dcterms:created>
  <dcterms:modified xsi:type="dcterms:W3CDTF">2021-12-17T15:17:31Z</dcterms:modified>
</cp:coreProperties>
</file>