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28"/>
          <w:szCs w:val="28"/>
          <w:b w:val="1"/>
          <w:bCs w:val="1"/>
          <w:color w:val="auto"/>
        </w:rPr>
        <w:drawing>
          <wp:anchor simplePos="0" relativeHeight="251657728" behindDoc="1" locked="0" layoutInCell="0" allowOverlap="1">
            <wp:simplePos x="0" y="0"/>
            <wp:positionH relativeFrom="page">
              <wp:posOffset>273050</wp:posOffset>
            </wp:positionH>
            <wp:positionV relativeFrom="page">
              <wp:posOffset>405765</wp:posOffset>
            </wp:positionV>
            <wp:extent cx="700214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002145" cy="8255"/>
                    </a:xfrm>
                    <a:prstGeom prst="rect">
                      <a:avLst/>
                    </a:prstGeom>
                    <a:noFill/>
                  </pic:spPr>
                </pic:pic>
              </a:graphicData>
            </a:graphic>
          </wp:anchor>
        </w:drawing>
        <w:drawing>
          <wp:anchor simplePos="0" relativeHeight="251657728" behindDoc="1" locked="0" layoutInCell="0" allowOverlap="1">
            <wp:simplePos x="0" y="0"/>
            <wp:positionH relativeFrom="page">
              <wp:posOffset>273050</wp:posOffset>
            </wp:positionH>
            <wp:positionV relativeFrom="page">
              <wp:posOffset>372745</wp:posOffset>
            </wp:positionV>
            <wp:extent cx="700214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002145" cy="8255"/>
                    </a:xfrm>
                    <a:prstGeom prst="rect">
                      <a:avLst/>
                    </a:prstGeom>
                    <a:noFill/>
                  </pic:spPr>
                </pic:pic>
              </a:graphicData>
            </a:graphic>
          </wp:anchor>
        </w:drawing>
        <w:t>UNITED STATES</w:t>
      </w:r>
    </w:p>
    <w:p>
      <w:pPr>
        <w:spacing w:after="0" w:line="125" w:lineRule="exact"/>
        <w:rPr>
          <w:sz w:val="24"/>
          <w:szCs w:val="24"/>
          <w:color w:val="auto"/>
        </w:rPr>
      </w:pPr>
    </w:p>
    <w:p>
      <w:pPr>
        <w:jc w:val="center"/>
        <w:ind w:right="-159"/>
        <w:spacing w:after="0"/>
        <w:rPr>
          <w:sz w:val="20"/>
          <w:szCs w:val="20"/>
          <w:color w:val="auto"/>
        </w:rPr>
      </w:pPr>
      <w:r>
        <w:rPr>
          <w:rFonts w:ascii="Arial" w:cs="Arial" w:eastAsia="Arial" w:hAnsi="Arial"/>
          <w:sz w:val="28"/>
          <w:szCs w:val="28"/>
          <w:b w:val="1"/>
          <w:bCs w:val="1"/>
          <w:color w:val="auto"/>
        </w:rPr>
        <w:t>SECURITIES AND EXCHANGE COMMISSION</w:t>
      </w:r>
    </w:p>
    <w:p>
      <w:pPr>
        <w:spacing w:after="0" w:line="77"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Washington, D.C. 20549</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4" w:lineRule="exact"/>
        <w:rPr>
          <w:sz w:val="24"/>
          <w:szCs w:val="24"/>
          <w:color w:val="auto"/>
        </w:rPr>
      </w:pPr>
    </w:p>
    <w:p>
      <w:pPr>
        <w:jc w:val="center"/>
        <w:ind w:right="-159"/>
        <w:spacing w:after="0"/>
        <w:rPr>
          <w:sz w:val="20"/>
          <w:szCs w:val="20"/>
          <w:color w:val="auto"/>
        </w:rPr>
      </w:pPr>
      <w:r>
        <w:rPr>
          <w:rFonts w:ascii="Arial" w:cs="Arial" w:eastAsia="Arial" w:hAnsi="Arial"/>
          <w:sz w:val="28"/>
          <w:szCs w:val="28"/>
          <w:b w:val="1"/>
          <w:bCs w:val="1"/>
          <w:color w:val="auto"/>
        </w:rPr>
        <w:t>FORM 8-K</w:t>
      </w:r>
    </w:p>
    <w:p>
      <w:pPr>
        <w:spacing w:after="0" w:line="79"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9" w:lineRule="exact"/>
        <w:rPr>
          <w:sz w:val="24"/>
          <w:szCs w:val="24"/>
          <w:color w:val="auto"/>
        </w:rPr>
      </w:pPr>
    </w:p>
    <w:p>
      <w:pPr>
        <w:ind w:left="4640"/>
        <w:spacing w:after="0"/>
        <w:rPr>
          <w:sz w:val="20"/>
          <w:szCs w:val="20"/>
          <w:color w:val="auto"/>
        </w:rPr>
      </w:pPr>
      <w:r>
        <w:rPr>
          <w:rFonts w:ascii="Arial" w:cs="Arial" w:eastAsia="Arial" w:hAnsi="Arial"/>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Arial" w:cs="Arial" w:eastAsia="Arial" w:hAnsi="Arial"/>
          <w:sz w:val="21"/>
          <w:szCs w:val="21"/>
          <w:b w:val="1"/>
          <w:bCs w:val="1"/>
          <w:color w:val="auto"/>
        </w:rPr>
        <w:t>Pursuant to Section 13 or 15(d) of the</w:t>
      </w:r>
    </w:p>
    <w:p>
      <w:pPr>
        <w:spacing w:after="0" w:line="61" w:lineRule="exact"/>
        <w:rPr>
          <w:sz w:val="24"/>
          <w:szCs w:val="24"/>
          <w:color w:val="auto"/>
        </w:rPr>
      </w:pPr>
    </w:p>
    <w:p>
      <w:pPr>
        <w:jc w:val="center"/>
        <w:ind w:right="-159"/>
        <w:spacing w:after="0"/>
        <w:rPr>
          <w:sz w:val="20"/>
          <w:szCs w:val="20"/>
          <w:color w:val="auto"/>
        </w:rPr>
      </w:pPr>
      <w:r>
        <w:rPr>
          <w:rFonts w:ascii="Arial" w:cs="Arial" w:eastAsia="Arial" w:hAnsi="Arial"/>
          <w:sz w:val="21"/>
          <w:szCs w:val="21"/>
          <w:b w:val="1"/>
          <w:bCs w:val="1"/>
          <w:color w:val="auto"/>
        </w:rPr>
        <w:t>Securities Exchange Act of 1934</w:t>
      </w:r>
    </w:p>
    <w:p>
      <w:pPr>
        <w:spacing w:after="0" w:line="297" w:lineRule="exact"/>
        <w:rPr>
          <w:sz w:val="24"/>
          <w:szCs w:val="24"/>
          <w:color w:val="auto"/>
        </w:rPr>
      </w:pPr>
    </w:p>
    <w:p>
      <w:pPr>
        <w:ind w:left="4260"/>
        <w:spacing w:after="0"/>
        <w:rPr>
          <w:sz w:val="20"/>
          <w:szCs w:val="20"/>
          <w:color w:val="auto"/>
        </w:rPr>
      </w:pPr>
      <w:r>
        <w:rPr>
          <w:rFonts w:ascii="Arial" w:cs="Arial" w:eastAsia="Arial" w:hAnsi="Arial"/>
          <w:sz w:val="21"/>
          <w:szCs w:val="21"/>
          <w:b w:val="1"/>
          <w:bCs w:val="1"/>
          <w:color w:val="auto"/>
        </w:rPr>
        <w:t>Date of Report: March 3, 2022</w:t>
      </w:r>
    </w:p>
    <w:p>
      <w:pPr>
        <w:spacing w:after="0" w:line="61" w:lineRule="exact"/>
        <w:rPr>
          <w:sz w:val="24"/>
          <w:szCs w:val="24"/>
          <w:color w:val="auto"/>
        </w:rPr>
      </w:pPr>
    </w:p>
    <w:p>
      <w:pPr>
        <w:ind w:left="4200"/>
        <w:spacing w:after="0"/>
        <w:rPr>
          <w:sz w:val="20"/>
          <w:szCs w:val="20"/>
          <w:color w:val="auto"/>
        </w:rPr>
      </w:pPr>
      <w:r>
        <w:rPr>
          <w:rFonts w:ascii="Arial" w:cs="Arial" w:eastAsia="Arial" w:hAnsi="Arial"/>
          <w:sz w:val="21"/>
          <w:szCs w:val="21"/>
          <w:b w:val="1"/>
          <w:bCs w:val="1"/>
          <w:color w:val="auto"/>
        </w:rPr>
        <w:t>(Date of earliest event reported)</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35"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MARVELL TECHNOLOGY, INC.</w:t>
      </w:r>
    </w:p>
    <w:p>
      <w:pPr>
        <w:spacing w:after="0" w:line="75" w:lineRule="exact"/>
        <w:rPr>
          <w:sz w:val="24"/>
          <w:szCs w:val="24"/>
          <w:color w:val="auto"/>
        </w:rPr>
      </w:pPr>
    </w:p>
    <w:tbl>
      <w:tblPr>
        <w:tblLayout w:type="fixed"/>
        <w:tblInd w:w="920" w:type="dxa"/>
        <w:tblCellMar>
          <w:top w:w="0" w:type="dxa"/>
          <w:left w:w="0" w:type="dxa"/>
          <w:bottom w:w="0" w:type="dxa"/>
          <w:right w:w="0" w:type="dxa"/>
        </w:tblCellMar>
      </w:tblPr>
      <w:tr>
        <w:trPr>
          <w:trHeight w:val="228"/>
        </w:trPr>
        <w:tc>
          <w:tcPr>
            <w:tcW w:w="2260" w:type="dxa"/>
            <w:vAlign w:val="bottom"/>
          </w:tcPr>
          <w:p>
            <w:pPr>
              <w:spacing w:after="0"/>
              <w:rPr>
                <w:sz w:val="19"/>
                <w:szCs w:val="19"/>
                <w:color w:val="auto"/>
              </w:rPr>
            </w:pPr>
          </w:p>
        </w:tc>
        <w:tc>
          <w:tcPr>
            <w:tcW w:w="4700" w:type="dxa"/>
            <w:vAlign w:val="bottom"/>
          </w:tcPr>
          <w:p>
            <w:pPr>
              <w:jc w:val="center"/>
              <w:ind w:left="98"/>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340" w:type="dxa"/>
            <w:vAlign w:val="bottom"/>
          </w:tcPr>
          <w:p>
            <w:pPr>
              <w:spacing w:after="0"/>
              <w:rPr>
                <w:sz w:val="19"/>
                <w:szCs w:val="19"/>
                <w:color w:val="auto"/>
              </w:rPr>
            </w:pPr>
          </w:p>
        </w:tc>
      </w:tr>
      <w:tr>
        <w:trPr>
          <w:trHeight w:val="250"/>
        </w:trPr>
        <w:tc>
          <w:tcPr>
            <w:tcW w:w="2260" w:type="dxa"/>
            <w:vAlign w:val="bottom"/>
          </w:tcPr>
          <w:p>
            <w:pPr>
              <w:spacing w:after="0"/>
              <w:rPr>
                <w:sz w:val="21"/>
                <w:szCs w:val="21"/>
                <w:color w:val="auto"/>
              </w:rPr>
            </w:pPr>
          </w:p>
        </w:tc>
        <w:tc>
          <w:tcPr>
            <w:tcW w:w="4700" w:type="dxa"/>
            <w:vAlign w:val="bottom"/>
          </w:tcPr>
          <w:p>
            <w:pPr>
              <w:jc w:val="center"/>
              <w:ind w:left="158"/>
              <w:spacing w:after="0"/>
              <w:rPr>
                <w:sz w:val="20"/>
                <w:szCs w:val="20"/>
                <w:color w:val="auto"/>
              </w:rPr>
            </w:pPr>
            <w:r>
              <w:rPr>
                <w:rFonts w:ascii="Arial" w:cs="Arial" w:eastAsia="Arial" w:hAnsi="Arial"/>
                <w:sz w:val="18"/>
                <w:szCs w:val="18"/>
                <w:color w:val="auto"/>
                <w:w w:val="87"/>
              </w:rPr>
              <w:t>_________________________</w:t>
            </w:r>
          </w:p>
        </w:tc>
        <w:tc>
          <w:tcPr>
            <w:tcW w:w="2340" w:type="dxa"/>
            <w:vAlign w:val="bottom"/>
          </w:tcPr>
          <w:p>
            <w:pPr>
              <w:spacing w:after="0"/>
              <w:rPr>
                <w:sz w:val="21"/>
                <w:szCs w:val="21"/>
                <w:color w:val="auto"/>
              </w:rPr>
            </w:pPr>
          </w:p>
        </w:tc>
      </w:tr>
      <w:tr>
        <w:trPr>
          <w:trHeight w:val="263"/>
        </w:trPr>
        <w:tc>
          <w:tcPr>
            <w:tcW w:w="2260" w:type="dxa"/>
            <w:vAlign w:val="bottom"/>
          </w:tcPr>
          <w:p>
            <w:pPr>
              <w:jc w:val="center"/>
              <w:ind w:right="424"/>
              <w:spacing w:after="0"/>
              <w:rPr>
                <w:sz w:val="20"/>
                <w:szCs w:val="20"/>
                <w:color w:val="auto"/>
              </w:rPr>
            </w:pPr>
            <w:r>
              <w:rPr>
                <w:rFonts w:ascii="Arial" w:cs="Arial" w:eastAsia="Arial" w:hAnsi="Arial"/>
                <w:sz w:val="18"/>
                <w:szCs w:val="18"/>
                <w:b w:val="1"/>
                <w:bCs w:val="1"/>
                <w:color w:val="auto"/>
                <w:w w:val="91"/>
              </w:rPr>
              <w:t>Delaware</w:t>
            </w:r>
          </w:p>
        </w:tc>
        <w:tc>
          <w:tcPr>
            <w:tcW w:w="4700" w:type="dxa"/>
            <w:vAlign w:val="bottom"/>
          </w:tcPr>
          <w:p>
            <w:pPr>
              <w:jc w:val="right"/>
              <w:ind w:right="1918"/>
              <w:spacing w:after="0"/>
              <w:rPr>
                <w:sz w:val="20"/>
                <w:szCs w:val="20"/>
                <w:color w:val="auto"/>
              </w:rPr>
            </w:pPr>
            <w:r>
              <w:rPr>
                <w:rFonts w:ascii="Arial" w:cs="Arial" w:eastAsia="Arial" w:hAnsi="Arial"/>
                <w:sz w:val="18"/>
                <w:szCs w:val="18"/>
                <w:b w:val="1"/>
                <w:bCs w:val="1"/>
                <w:color w:val="auto"/>
              </w:rPr>
              <w:t>001-40357</w:t>
            </w:r>
          </w:p>
        </w:tc>
        <w:tc>
          <w:tcPr>
            <w:tcW w:w="2340" w:type="dxa"/>
            <w:vAlign w:val="bottom"/>
          </w:tcPr>
          <w:p>
            <w:pPr>
              <w:jc w:val="right"/>
              <w:ind w:right="521"/>
              <w:spacing w:after="0"/>
              <w:rPr>
                <w:sz w:val="20"/>
                <w:szCs w:val="20"/>
                <w:color w:val="auto"/>
              </w:rPr>
            </w:pPr>
            <w:r>
              <w:rPr>
                <w:rFonts w:ascii="Arial" w:cs="Arial" w:eastAsia="Arial" w:hAnsi="Arial"/>
                <w:sz w:val="18"/>
                <w:szCs w:val="18"/>
                <w:b w:val="1"/>
                <w:bCs w:val="1"/>
                <w:color w:val="auto"/>
              </w:rPr>
              <w:t>85-3971597</w:t>
            </w:r>
          </w:p>
        </w:tc>
      </w:tr>
      <w:tr>
        <w:trPr>
          <w:trHeight w:val="198"/>
        </w:trPr>
        <w:tc>
          <w:tcPr>
            <w:tcW w:w="2260" w:type="dxa"/>
            <w:vAlign w:val="bottom"/>
          </w:tcPr>
          <w:p>
            <w:pPr>
              <w:jc w:val="center"/>
              <w:ind w:right="424"/>
              <w:spacing w:after="0"/>
              <w:rPr>
                <w:sz w:val="20"/>
                <w:szCs w:val="20"/>
                <w:color w:val="auto"/>
              </w:rPr>
            </w:pPr>
            <w:r>
              <w:rPr>
                <w:rFonts w:ascii="Arial" w:cs="Arial" w:eastAsia="Arial" w:hAnsi="Arial"/>
                <w:sz w:val="14"/>
                <w:szCs w:val="14"/>
                <w:b w:val="1"/>
                <w:bCs w:val="1"/>
                <w:color w:val="auto"/>
                <w:w w:val="91"/>
              </w:rPr>
              <w:t>(State or other jurisdiction of</w:t>
            </w:r>
          </w:p>
        </w:tc>
        <w:tc>
          <w:tcPr>
            <w:tcW w:w="4700" w:type="dxa"/>
            <w:vAlign w:val="bottom"/>
          </w:tcPr>
          <w:p>
            <w:pPr>
              <w:jc w:val="center"/>
              <w:spacing w:after="0"/>
              <w:rPr>
                <w:sz w:val="20"/>
                <w:szCs w:val="20"/>
                <w:color w:val="auto"/>
              </w:rPr>
            </w:pPr>
            <w:r>
              <w:rPr>
                <w:rFonts w:ascii="Arial" w:cs="Arial" w:eastAsia="Arial" w:hAnsi="Arial"/>
                <w:sz w:val="14"/>
                <w:szCs w:val="14"/>
                <w:b w:val="1"/>
                <w:bCs w:val="1"/>
                <w:color w:val="auto"/>
                <w:w w:val="92"/>
              </w:rPr>
              <w:t>(Commission File Number)</w:t>
            </w:r>
          </w:p>
        </w:tc>
        <w:tc>
          <w:tcPr>
            <w:tcW w:w="2340" w:type="dxa"/>
            <w:vAlign w:val="bottom"/>
          </w:tcPr>
          <w:p>
            <w:pPr>
              <w:jc w:val="center"/>
              <w:ind w:left="221"/>
              <w:spacing w:after="0"/>
              <w:rPr>
                <w:sz w:val="20"/>
                <w:szCs w:val="20"/>
                <w:color w:val="auto"/>
              </w:rPr>
            </w:pPr>
            <w:r>
              <w:rPr>
                <w:rFonts w:ascii="Arial" w:cs="Arial" w:eastAsia="Arial" w:hAnsi="Arial"/>
                <w:sz w:val="14"/>
                <w:szCs w:val="14"/>
                <w:b w:val="1"/>
                <w:bCs w:val="1"/>
                <w:color w:val="auto"/>
                <w:w w:val="93"/>
              </w:rPr>
              <w:t>(IRS Employer Identification No.)</w:t>
            </w:r>
          </w:p>
        </w:tc>
      </w:tr>
      <w:tr>
        <w:trPr>
          <w:trHeight w:val="183"/>
        </w:trPr>
        <w:tc>
          <w:tcPr>
            <w:tcW w:w="2260" w:type="dxa"/>
            <w:vAlign w:val="bottom"/>
          </w:tcPr>
          <w:p>
            <w:pPr>
              <w:jc w:val="center"/>
              <w:ind w:right="424"/>
              <w:spacing w:after="0"/>
              <w:rPr>
                <w:sz w:val="20"/>
                <w:szCs w:val="20"/>
                <w:color w:val="auto"/>
              </w:rPr>
            </w:pPr>
            <w:r>
              <w:rPr>
                <w:rFonts w:ascii="Arial" w:cs="Arial" w:eastAsia="Arial" w:hAnsi="Arial"/>
                <w:sz w:val="14"/>
                <w:szCs w:val="14"/>
                <w:b w:val="1"/>
                <w:bCs w:val="1"/>
                <w:color w:val="auto"/>
                <w:w w:val="92"/>
              </w:rPr>
              <w:t>incorporation)</w:t>
            </w:r>
          </w:p>
        </w:tc>
        <w:tc>
          <w:tcPr>
            <w:tcW w:w="4700" w:type="dxa"/>
            <w:vAlign w:val="bottom"/>
          </w:tcPr>
          <w:p>
            <w:pPr>
              <w:spacing w:after="0"/>
              <w:rPr>
                <w:sz w:val="15"/>
                <w:szCs w:val="15"/>
                <w:color w:val="auto"/>
              </w:rPr>
            </w:pPr>
          </w:p>
        </w:tc>
        <w:tc>
          <w:tcPr>
            <w:tcW w:w="2340" w:type="dxa"/>
            <w:vAlign w:val="bottom"/>
          </w:tcPr>
          <w:p>
            <w:pPr>
              <w:spacing w:after="0"/>
              <w:rPr>
                <w:sz w:val="15"/>
                <w:szCs w:val="15"/>
                <w:color w:val="auto"/>
              </w:rPr>
            </w:pPr>
          </w:p>
        </w:tc>
      </w:tr>
      <w:tr>
        <w:trPr>
          <w:trHeight w:val="679"/>
        </w:trPr>
        <w:tc>
          <w:tcPr>
            <w:tcW w:w="2260" w:type="dxa"/>
            <w:vAlign w:val="bottom"/>
          </w:tcPr>
          <w:p>
            <w:pPr>
              <w:spacing w:after="0"/>
              <w:rPr>
                <w:sz w:val="24"/>
                <w:szCs w:val="24"/>
                <w:color w:val="auto"/>
              </w:rPr>
            </w:pPr>
          </w:p>
        </w:tc>
        <w:tc>
          <w:tcPr>
            <w:tcW w:w="4700" w:type="dxa"/>
            <w:vAlign w:val="bottom"/>
          </w:tcPr>
          <w:p>
            <w:pPr>
              <w:jc w:val="center"/>
              <w:ind w:left="98"/>
              <w:spacing w:after="0"/>
              <w:rPr>
                <w:sz w:val="20"/>
                <w:szCs w:val="20"/>
                <w:color w:val="auto"/>
              </w:rPr>
            </w:pPr>
            <w:r>
              <w:rPr>
                <w:rFonts w:ascii="Arial" w:cs="Arial" w:eastAsia="Arial" w:hAnsi="Arial"/>
                <w:sz w:val="18"/>
                <w:szCs w:val="18"/>
                <w:b w:val="1"/>
                <w:bCs w:val="1"/>
                <w:color w:val="auto"/>
                <w:w w:val="87"/>
              </w:rPr>
              <w:t>1000 N. West Street, Suite 1200</w:t>
            </w:r>
          </w:p>
        </w:tc>
        <w:tc>
          <w:tcPr>
            <w:tcW w:w="2340" w:type="dxa"/>
            <w:vAlign w:val="bottom"/>
          </w:tcPr>
          <w:p>
            <w:pPr>
              <w:spacing w:after="0"/>
              <w:rPr>
                <w:sz w:val="24"/>
                <w:szCs w:val="24"/>
                <w:color w:val="auto"/>
              </w:rPr>
            </w:pPr>
          </w:p>
        </w:tc>
      </w:tr>
      <w:tr>
        <w:trPr>
          <w:trHeight w:val="228"/>
        </w:trPr>
        <w:tc>
          <w:tcPr>
            <w:tcW w:w="2260" w:type="dxa"/>
            <w:vAlign w:val="bottom"/>
          </w:tcPr>
          <w:p>
            <w:pPr>
              <w:spacing w:after="0"/>
              <w:rPr>
                <w:sz w:val="19"/>
                <w:szCs w:val="19"/>
                <w:color w:val="auto"/>
              </w:rPr>
            </w:pPr>
          </w:p>
        </w:tc>
        <w:tc>
          <w:tcPr>
            <w:tcW w:w="4700" w:type="dxa"/>
            <w:vAlign w:val="bottom"/>
          </w:tcPr>
          <w:p>
            <w:pPr>
              <w:jc w:val="center"/>
              <w:ind w:left="98"/>
              <w:spacing w:after="0"/>
              <w:rPr>
                <w:sz w:val="20"/>
                <w:szCs w:val="20"/>
                <w:color w:val="auto"/>
              </w:rPr>
            </w:pPr>
            <w:r>
              <w:rPr>
                <w:rFonts w:ascii="Arial" w:cs="Arial" w:eastAsia="Arial" w:hAnsi="Arial"/>
                <w:sz w:val="18"/>
                <w:szCs w:val="18"/>
                <w:b w:val="1"/>
                <w:bCs w:val="1"/>
                <w:color w:val="auto"/>
                <w:w w:val="89"/>
              </w:rPr>
              <w:t>Wilmington, Delaware 19801</w:t>
            </w:r>
          </w:p>
        </w:tc>
        <w:tc>
          <w:tcPr>
            <w:tcW w:w="2340" w:type="dxa"/>
            <w:vAlign w:val="bottom"/>
          </w:tcPr>
          <w:p>
            <w:pPr>
              <w:spacing w:after="0"/>
              <w:rPr>
                <w:sz w:val="19"/>
                <w:szCs w:val="19"/>
                <w:color w:val="auto"/>
              </w:rPr>
            </w:pPr>
          </w:p>
        </w:tc>
      </w:tr>
      <w:tr>
        <w:trPr>
          <w:trHeight w:val="187"/>
        </w:trPr>
        <w:tc>
          <w:tcPr>
            <w:tcW w:w="2260" w:type="dxa"/>
            <w:vAlign w:val="bottom"/>
          </w:tcPr>
          <w:p>
            <w:pPr>
              <w:spacing w:after="0"/>
              <w:rPr>
                <w:sz w:val="16"/>
                <w:szCs w:val="16"/>
                <w:color w:val="auto"/>
              </w:rPr>
            </w:pPr>
          </w:p>
        </w:tc>
        <w:tc>
          <w:tcPr>
            <w:tcW w:w="4700" w:type="dxa"/>
            <w:vAlign w:val="bottom"/>
          </w:tcPr>
          <w:p>
            <w:pPr>
              <w:jc w:val="center"/>
              <w:ind w:left="118"/>
              <w:spacing w:after="0"/>
              <w:rPr>
                <w:sz w:val="20"/>
                <w:szCs w:val="20"/>
                <w:color w:val="auto"/>
              </w:rPr>
            </w:pPr>
            <w:r>
              <w:rPr>
                <w:rFonts w:ascii="Arial" w:cs="Arial" w:eastAsia="Arial" w:hAnsi="Arial"/>
                <w:sz w:val="14"/>
                <w:szCs w:val="14"/>
                <w:b w:val="1"/>
                <w:bCs w:val="1"/>
                <w:color w:val="auto"/>
                <w:w w:val="89"/>
              </w:rPr>
              <w:t>(Address of principal executive offices, including Zip Code)</w:t>
            </w:r>
          </w:p>
        </w:tc>
        <w:tc>
          <w:tcPr>
            <w:tcW w:w="2340" w:type="dxa"/>
            <w:vAlign w:val="bottom"/>
          </w:tcPr>
          <w:p>
            <w:pPr>
              <w:spacing w:after="0"/>
              <w:rPr>
                <w:sz w:val="16"/>
                <w:szCs w:val="16"/>
                <w:color w:val="auto"/>
              </w:rPr>
            </w:pPr>
          </w:p>
        </w:tc>
      </w:tr>
      <w:tr>
        <w:trPr>
          <w:trHeight w:val="404"/>
        </w:trPr>
        <w:tc>
          <w:tcPr>
            <w:tcW w:w="2260" w:type="dxa"/>
            <w:vAlign w:val="bottom"/>
          </w:tcPr>
          <w:p>
            <w:pPr>
              <w:spacing w:after="0"/>
              <w:rPr>
                <w:sz w:val="24"/>
                <w:szCs w:val="24"/>
                <w:color w:val="auto"/>
              </w:rPr>
            </w:pPr>
          </w:p>
        </w:tc>
        <w:tc>
          <w:tcPr>
            <w:tcW w:w="4700" w:type="dxa"/>
            <w:vAlign w:val="bottom"/>
          </w:tcPr>
          <w:p>
            <w:pPr>
              <w:jc w:val="right"/>
              <w:ind w:right="1618"/>
              <w:spacing w:after="0"/>
              <w:rPr>
                <w:sz w:val="20"/>
                <w:szCs w:val="20"/>
                <w:color w:val="auto"/>
              </w:rPr>
            </w:pPr>
            <w:r>
              <w:rPr>
                <w:rFonts w:ascii="Arial" w:cs="Arial" w:eastAsia="Arial" w:hAnsi="Arial"/>
                <w:sz w:val="18"/>
                <w:szCs w:val="18"/>
                <w:b w:val="1"/>
                <w:bCs w:val="1"/>
                <w:color w:val="auto"/>
              </w:rPr>
              <w:t>(302) 295-4840</w:t>
            </w:r>
          </w:p>
        </w:tc>
        <w:tc>
          <w:tcPr>
            <w:tcW w:w="2340" w:type="dxa"/>
            <w:vAlign w:val="bottom"/>
          </w:tcPr>
          <w:p>
            <w:pPr>
              <w:spacing w:after="0"/>
              <w:rPr>
                <w:sz w:val="24"/>
                <w:szCs w:val="24"/>
                <w:color w:val="auto"/>
              </w:rPr>
            </w:pPr>
          </w:p>
        </w:tc>
      </w:tr>
      <w:tr>
        <w:trPr>
          <w:trHeight w:val="200"/>
        </w:trPr>
        <w:tc>
          <w:tcPr>
            <w:tcW w:w="2260" w:type="dxa"/>
            <w:vAlign w:val="bottom"/>
          </w:tcPr>
          <w:p>
            <w:pPr>
              <w:spacing w:after="0"/>
              <w:rPr>
                <w:sz w:val="17"/>
                <w:szCs w:val="17"/>
                <w:color w:val="auto"/>
              </w:rPr>
            </w:pPr>
          </w:p>
        </w:tc>
        <w:tc>
          <w:tcPr>
            <w:tcW w:w="4700" w:type="dxa"/>
            <w:vAlign w:val="bottom"/>
          </w:tcPr>
          <w:p>
            <w:pPr>
              <w:jc w:val="center"/>
              <w:ind w:left="98"/>
              <w:spacing w:after="0"/>
              <w:rPr>
                <w:sz w:val="20"/>
                <w:szCs w:val="20"/>
                <w:color w:val="auto"/>
              </w:rPr>
            </w:pPr>
            <w:r>
              <w:rPr>
                <w:rFonts w:ascii="Arial" w:cs="Arial" w:eastAsia="Arial" w:hAnsi="Arial"/>
                <w:sz w:val="14"/>
                <w:szCs w:val="14"/>
                <w:b w:val="1"/>
                <w:bCs w:val="1"/>
                <w:color w:val="auto"/>
                <w:w w:val="89"/>
              </w:rPr>
              <w:t>(Registrant’s telephone number, including area code)</w:t>
            </w:r>
          </w:p>
        </w:tc>
        <w:tc>
          <w:tcPr>
            <w:tcW w:w="2340" w:type="dxa"/>
            <w:vAlign w:val="bottom"/>
          </w:tcPr>
          <w:p>
            <w:pPr>
              <w:spacing w:after="0"/>
              <w:rPr>
                <w:sz w:val="17"/>
                <w:szCs w:val="17"/>
                <w:color w:val="auto"/>
              </w:rPr>
            </w:pPr>
          </w:p>
        </w:tc>
      </w:tr>
      <w:tr>
        <w:trPr>
          <w:trHeight w:val="247"/>
        </w:trPr>
        <w:tc>
          <w:tcPr>
            <w:tcW w:w="2260" w:type="dxa"/>
            <w:vAlign w:val="bottom"/>
          </w:tcPr>
          <w:p>
            <w:pPr>
              <w:spacing w:after="0"/>
              <w:rPr>
                <w:sz w:val="21"/>
                <w:szCs w:val="21"/>
                <w:color w:val="auto"/>
              </w:rPr>
            </w:pPr>
          </w:p>
        </w:tc>
        <w:tc>
          <w:tcPr>
            <w:tcW w:w="4700" w:type="dxa"/>
            <w:vAlign w:val="bottom"/>
          </w:tcPr>
          <w:p>
            <w:pPr>
              <w:jc w:val="right"/>
              <w:ind w:right="1078"/>
              <w:spacing w:after="0"/>
              <w:rPr>
                <w:sz w:val="20"/>
                <w:szCs w:val="20"/>
                <w:color w:val="auto"/>
              </w:rPr>
            </w:pPr>
            <w:r>
              <w:rPr>
                <w:rFonts w:ascii="Arial" w:cs="Arial" w:eastAsia="Arial" w:hAnsi="Arial"/>
                <w:sz w:val="18"/>
                <w:szCs w:val="18"/>
                <w:color w:val="auto"/>
              </w:rPr>
              <w:t>_________________________</w:t>
            </w:r>
          </w:p>
        </w:tc>
        <w:tc>
          <w:tcPr>
            <w:tcW w:w="2340" w:type="dxa"/>
            <w:vAlign w:val="bottom"/>
          </w:tcPr>
          <w:p>
            <w:pPr>
              <w:spacing w:after="0"/>
              <w:rPr>
                <w:sz w:val="21"/>
                <w:szCs w:val="21"/>
                <w:color w:val="auto"/>
              </w:rPr>
            </w:pPr>
          </w:p>
        </w:tc>
      </w:tr>
    </w:tbl>
    <w:p>
      <w:pPr>
        <w:spacing w:after="0" w:line="1" w:lineRule="exact"/>
        <w:rPr>
          <w:sz w:val="24"/>
          <w:szCs w:val="24"/>
          <w:color w:val="auto"/>
        </w:rPr>
      </w:pPr>
    </w:p>
    <w:p>
      <w:pPr>
        <w:ind w:right="80"/>
        <w:spacing w:after="0" w:line="256"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8"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Written communications pursuant to Rule 425 under the Securities Act (17 CFR 230.425)</w:t>
      </w:r>
    </w:p>
    <w:p>
      <w:pPr>
        <w:spacing w:after="0" w:line="149" w:lineRule="exact"/>
        <w:rPr>
          <w:rFonts w:ascii="MS PGothic" w:cs="MS PGothic" w:eastAsia="MS PGothic" w:hAnsi="MS PGothic"/>
          <w:sz w:val="21"/>
          <w:szCs w:val="21"/>
          <w:color w:val="auto"/>
          <w:vertAlign w:val="superscript"/>
        </w:rPr>
      </w:pPr>
    </w:p>
    <w:p>
      <w:pPr>
        <w:ind w:left="360" w:hanging="298"/>
        <w:spacing w:after="0"/>
        <w:tabs>
          <w:tab w:leader="none" w:pos="36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Soliciting material pursuant to Rule 14a-12 under the Exchange Act (17 CFR 240.14a-12)</w:t>
      </w:r>
    </w:p>
    <w:p>
      <w:pPr>
        <w:spacing w:after="0" w:line="162" w:lineRule="exact"/>
        <w:rPr>
          <w:rFonts w:ascii="MS PGothic" w:cs="MS PGothic" w:eastAsia="MS PGothic" w:hAnsi="MS PGothic"/>
          <w:sz w:val="21"/>
          <w:szCs w:val="21"/>
          <w:color w:val="auto"/>
          <w:vertAlign w:val="superscript"/>
        </w:rPr>
      </w:pPr>
    </w:p>
    <w:p>
      <w:pPr>
        <w:ind w:left="380" w:hanging="318"/>
        <w:spacing w:after="0"/>
        <w:tabs>
          <w:tab w:leader="none" w:pos="38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Pre-commencement communications pursuant to Rule 14d-2(b) under the Exchange Act (17 CFR 240.14d-2(b))</w:t>
      </w:r>
    </w:p>
    <w:p>
      <w:pPr>
        <w:spacing w:after="0" w:line="162" w:lineRule="exact"/>
        <w:rPr>
          <w:rFonts w:ascii="MS PGothic" w:cs="MS PGothic" w:eastAsia="MS PGothic" w:hAnsi="MS PGothic"/>
          <w:sz w:val="21"/>
          <w:szCs w:val="21"/>
          <w:color w:val="auto"/>
          <w:vertAlign w:val="superscript"/>
        </w:rPr>
      </w:pPr>
    </w:p>
    <w:p>
      <w:pPr>
        <w:ind w:left="380" w:hanging="318"/>
        <w:spacing w:after="0"/>
        <w:tabs>
          <w:tab w:leader="none" w:pos="38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Pre-commencement communications pursuant to Rule 13e-4(c) under the Exchange Act (17 CFR 240.13e-4(c))</w:t>
      </w:r>
    </w:p>
    <w:p>
      <w:pPr>
        <w:spacing w:after="0" w:line="163"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42"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740" w:type="dxa"/>
            <w:vAlign w:val="bottom"/>
            <w:gridSpan w:val="2"/>
          </w:tcPr>
          <w:p>
            <w:pPr>
              <w:ind w:left="1560"/>
              <w:spacing w:after="0"/>
              <w:rPr>
                <w:sz w:val="20"/>
                <w:szCs w:val="20"/>
                <w:color w:val="auto"/>
              </w:rPr>
            </w:pPr>
            <w:r>
              <w:rPr>
                <w:rFonts w:ascii="Arial" w:cs="Arial" w:eastAsia="Arial" w:hAnsi="Arial"/>
                <w:sz w:val="14"/>
                <w:szCs w:val="14"/>
                <w:b w:val="1"/>
                <w:bCs w:val="1"/>
                <w:color w:val="auto"/>
              </w:rPr>
              <w:t>Trading</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7"/>
              </w:rPr>
              <w:t>Name of each exchange</w:t>
            </w:r>
          </w:p>
        </w:tc>
      </w:tr>
      <w:tr>
        <w:trPr>
          <w:trHeight w:val="214"/>
        </w:trPr>
        <w:tc>
          <w:tcPr>
            <w:tcW w:w="37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6"/>
              </w:rPr>
              <w:t>Title of each class</w:t>
            </w:r>
          </w:p>
        </w:tc>
        <w:tc>
          <w:tcPr>
            <w:tcW w:w="3740" w:type="dxa"/>
            <w:vAlign w:val="bottom"/>
            <w:gridSpan w:val="2"/>
          </w:tcPr>
          <w:p>
            <w:pPr>
              <w:ind w:left="1580"/>
              <w:spacing w:after="0"/>
              <w:rPr>
                <w:sz w:val="20"/>
                <w:szCs w:val="20"/>
                <w:color w:val="auto"/>
              </w:rPr>
            </w:pPr>
            <w:r>
              <w:rPr>
                <w:rFonts w:ascii="Arial" w:cs="Arial" w:eastAsia="Arial" w:hAnsi="Arial"/>
                <w:sz w:val="14"/>
                <w:szCs w:val="14"/>
                <w:b w:val="1"/>
                <w:bCs w:val="1"/>
                <w:color w:val="auto"/>
              </w:rPr>
              <w:t>Symbol</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7"/>
              </w:rPr>
              <w:t>on which registered</w:t>
            </w:r>
          </w:p>
        </w:tc>
      </w:tr>
      <w:tr>
        <w:trPr>
          <w:trHeight w:val="227"/>
        </w:trPr>
        <w:tc>
          <w:tcPr>
            <w:tcW w:w="360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6"/>
              </w:rPr>
              <w:t>Common Shares</w:t>
            </w:r>
          </w:p>
        </w:tc>
        <w:tc>
          <w:tcPr>
            <w:tcW w:w="120" w:type="dxa"/>
            <w:vAlign w:val="bottom"/>
          </w:tcPr>
          <w:p>
            <w:pPr>
              <w:spacing w:after="0"/>
              <w:rPr>
                <w:sz w:val="19"/>
                <w:szCs w:val="19"/>
                <w:color w:val="auto"/>
              </w:rPr>
            </w:pPr>
          </w:p>
        </w:tc>
        <w:tc>
          <w:tcPr>
            <w:tcW w:w="3600" w:type="dxa"/>
            <w:vAlign w:val="bottom"/>
            <w:tcBorders>
              <w:top w:val="single" w:sz="8" w:color="auto"/>
            </w:tcBorders>
          </w:tcPr>
          <w:p>
            <w:pPr>
              <w:ind w:left="1540"/>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19"/>
                <w:szCs w:val="19"/>
                <w:color w:val="auto"/>
              </w:rPr>
            </w:pPr>
          </w:p>
        </w:tc>
        <w:tc>
          <w:tcPr>
            <w:tcW w:w="36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1"/>
              </w:rPr>
              <w:t>The Nasdaq Stock Market, LLC</w:t>
            </w:r>
          </w:p>
        </w:tc>
      </w:tr>
    </w:tbl>
    <w:p>
      <w:pPr>
        <w:spacing w:after="0" w:line="128" w:lineRule="exact"/>
        <w:rPr>
          <w:sz w:val="24"/>
          <w:szCs w:val="24"/>
          <w:color w:val="auto"/>
        </w:rPr>
      </w:pPr>
    </w:p>
    <w:p>
      <w:pPr>
        <w:spacing w:after="0"/>
        <w:rPr>
          <w:sz w:val="20"/>
          <w:szCs w:val="20"/>
          <w:color w:val="auto"/>
        </w:rPr>
      </w:pPr>
      <w:r>
        <w:rPr>
          <w:rFonts w:ascii="Arial" w:cs="Arial" w:eastAsia="Arial" w:hAnsi="Arial"/>
          <w:sz w:val="15"/>
          <w:szCs w:val="15"/>
          <w:color w:val="auto"/>
        </w:rPr>
        <w:t>Indicate by check mark whether the registrant is an emerging growth company as defined in Rule 405 of the Securities Act of 1933 (§230.405 of this chapter)</w:t>
      </w:r>
    </w:p>
    <w:p>
      <w:pPr>
        <w:spacing w:after="0" w:line="45"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14" w:lineRule="exact"/>
        <w:rPr>
          <w:sz w:val="24"/>
          <w:szCs w:val="24"/>
          <w:color w:val="auto"/>
        </w:rPr>
      </w:pPr>
    </w:p>
    <w:p>
      <w:pPr>
        <w:ind w:right="120"/>
        <w:spacing w:after="0" w:line="226"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609600</wp:posOffset>
            </wp:positionV>
            <wp:extent cx="716153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61530" cy="4191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38100</wp:posOffset>
            </wp:positionV>
            <wp:extent cx="7002145"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02145" cy="825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4445</wp:posOffset>
            </wp:positionV>
            <wp:extent cx="700214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02145" cy="8255"/>
                    </a:xfrm>
                    <a:prstGeom prst="rect">
                      <a:avLst/>
                    </a:prstGeom>
                    <a:noFill/>
                  </pic:spPr>
                </pic:pic>
              </a:graphicData>
            </a:graphic>
          </wp:anchor>
        </w:drawing>
      </w:r>
    </w:p>
    <w:p>
      <w:pPr>
        <w:sectPr>
          <w:pgSz w:w="11900" w:h="16838" w:orient="portrait"/>
          <w:cols w:equalWidth="0" w:num="1">
            <w:col w:w="11080"/>
          </w:cols>
          <w:pgMar w:left="320" w:top="909" w:right="49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46" w:lineRule="exact"/>
        <w:rPr>
          <w:sz w:val="20"/>
          <w:szCs w:val="20"/>
          <w:color w:val="auto"/>
        </w:rPr>
      </w:pPr>
    </w:p>
    <w:p>
      <w:pPr>
        <w:ind w:right="120" w:firstLine="631"/>
        <w:spacing w:after="0" w:line="290"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62" w:lineRule="exact"/>
        <w:rPr>
          <w:sz w:val="20"/>
          <w:szCs w:val="20"/>
          <w:color w:val="auto"/>
        </w:rPr>
      </w:pPr>
    </w:p>
    <w:p>
      <w:pPr>
        <w:ind w:firstLine="631"/>
        <w:spacing w:after="0" w:line="324" w:lineRule="auto"/>
        <w:rPr>
          <w:sz w:val="20"/>
          <w:szCs w:val="20"/>
          <w:color w:val="auto"/>
        </w:rPr>
      </w:pPr>
      <w:r>
        <w:rPr>
          <w:rFonts w:ascii="Arial" w:cs="Arial" w:eastAsia="Arial" w:hAnsi="Arial"/>
          <w:sz w:val="16"/>
          <w:szCs w:val="16"/>
          <w:color w:val="auto"/>
        </w:rPr>
        <w:t>On March 3, 2022, Marvell Technology, Inc. (“Marvell”) issued a press release reporting its financial results for the fourth quarter and fiscal year 2022 ended January 29, 2022. A copy of the press release is furnished herewith as Exhibit 99.1 and is incorporated by reference herein.</w:t>
      </w:r>
    </w:p>
    <w:p>
      <w:pPr>
        <w:spacing w:after="0" w:line="160" w:lineRule="exact"/>
        <w:rPr>
          <w:sz w:val="20"/>
          <w:szCs w:val="20"/>
          <w:color w:val="auto"/>
        </w:rPr>
      </w:pPr>
    </w:p>
    <w:p>
      <w:pPr>
        <w:ind w:right="60" w:firstLine="631"/>
        <w:spacing w:after="0" w:line="249" w:lineRule="auto"/>
        <w:rPr>
          <w:sz w:val="20"/>
          <w:szCs w:val="20"/>
          <w:color w:val="auto"/>
        </w:rPr>
      </w:pPr>
      <w:r>
        <w:rPr>
          <w:rFonts w:ascii="Arial" w:cs="Arial" w:eastAsia="Arial" w:hAnsi="Arial"/>
          <w:sz w:val="18"/>
          <w:szCs w:val="18"/>
          <w:color w:val="auto"/>
        </w:rPr>
        <w:t xml:space="preserve">Marvell will conduct a conference call on Thursday, March 3, 2022 at 1:45 p.m. Pacific Time to discuss results for the fourth quarter and full fiscal year ending January 29, 2022. Interested parties may join the conference call by dialing 1-888-317-6003 or 1-412-317-6061, passcode </w:t>
      </w:r>
      <w:r>
        <w:rPr>
          <w:rFonts w:ascii="Arial" w:cs="Arial" w:eastAsia="Arial" w:hAnsi="Arial"/>
          <w:sz w:val="18"/>
          <w:szCs w:val="18"/>
          <w:b w:val="1"/>
          <w:bCs w:val="1"/>
          <w:color w:val="auto"/>
        </w:rPr>
        <w:t>8988123</w:t>
      </w:r>
      <w:r>
        <w:rPr>
          <w:rFonts w:ascii="Arial" w:cs="Arial" w:eastAsia="Arial" w:hAnsi="Arial"/>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Arial" w:cs="Arial" w:eastAsia="Arial" w:hAnsi="Arial"/>
          <w:sz w:val="18"/>
          <w:szCs w:val="18"/>
          <w:b w:val="1"/>
          <w:bCs w:val="1"/>
          <w:color w:val="auto"/>
        </w:rPr>
        <w:t>5140079</w:t>
      </w:r>
      <w:r>
        <w:rPr>
          <w:rFonts w:ascii="Arial" w:cs="Arial" w:eastAsia="Arial" w:hAnsi="Arial"/>
          <w:sz w:val="18"/>
          <w:szCs w:val="18"/>
          <w:color w:val="auto"/>
        </w:rPr>
        <w:t xml:space="preserve"> until Thursday, March 10, 2022.</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0" w:lineRule="exact"/>
        <w:rPr>
          <w:sz w:val="20"/>
          <w:szCs w:val="20"/>
          <w:color w:val="auto"/>
        </w:rPr>
      </w:pPr>
    </w:p>
    <w:p>
      <w:pPr>
        <w:ind w:left="640"/>
        <w:spacing w:after="0"/>
        <w:tabs>
          <w:tab w:leader="none" w:pos="100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14" w:lineRule="exact"/>
        <w:rPr>
          <w:sz w:val="20"/>
          <w:szCs w:val="20"/>
          <w:color w:val="auto"/>
        </w:rPr>
      </w:pPr>
    </w:p>
    <w:p>
      <w:pPr>
        <w:ind w:left="1260"/>
        <w:spacing w:after="0"/>
        <w:tabs>
          <w:tab w:leader="none" w:pos="1720" w:val="left"/>
        </w:tabs>
        <w:rPr>
          <w:rFonts w:ascii="Arial" w:cs="Arial" w:eastAsia="Arial" w:hAnsi="Arial"/>
          <w:sz w:val="15"/>
          <w:szCs w:val="15"/>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FF"/>
          </w:rPr>
          <w:t>Press Release dated March 3, 2022, titled “Marvell Technology, Inc. Reports Fourth Quarter and Fiscal Year 2022 Financial Results”</w:t>
        </w:r>
      </w:hyperlink>
    </w:p>
    <w:p>
      <w:pPr>
        <w:spacing w:after="0" w:line="15" w:lineRule="exact"/>
        <w:rPr>
          <w:sz w:val="20"/>
          <w:szCs w:val="20"/>
          <w:color w:val="auto"/>
        </w:rPr>
      </w:pPr>
    </w:p>
    <w:p>
      <w:pPr>
        <w:ind w:left="1260"/>
        <w:spacing w:after="0"/>
        <w:tabs>
          <w:tab w:leader="none" w:pos="16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607695</wp:posOffset>
            </wp:positionV>
            <wp:extent cx="7161530" cy="419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220"/>
          </w:cols>
          <w:pgMar w:left="320" w:top="437" w:right="359" w:bottom="1440" w:gutter="0" w:footer="0" w:header="0"/>
        </w:sectPr>
      </w:pPr>
    </w:p>
    <w:bookmarkStart w:id="2" w:name="page3"/>
    <w:bookmarkEnd w:id="2"/>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46"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20" w:lineRule="exact"/>
        <w:rPr>
          <w:sz w:val="20"/>
          <w:szCs w:val="20"/>
          <w:color w:val="auto"/>
        </w:rPr>
      </w:pPr>
    </w:p>
    <w:p>
      <w:pPr>
        <w:ind w:left="7000"/>
        <w:spacing w:after="0"/>
        <w:rPr>
          <w:sz w:val="20"/>
          <w:szCs w:val="20"/>
          <w:color w:val="auto"/>
        </w:rPr>
      </w:pPr>
      <w:r>
        <w:rPr>
          <w:rFonts w:ascii="Arial" w:cs="Arial" w:eastAsia="Arial" w:hAnsi="Arial"/>
          <w:sz w:val="18"/>
          <w:szCs w:val="18"/>
          <w:color w:val="auto"/>
        </w:rPr>
        <w:t>MARVELL TECHNOLOGY, INC.</w:t>
      </w:r>
    </w:p>
    <w:p>
      <w:pPr>
        <w:spacing w:after="0" w:line="279" w:lineRule="exact"/>
        <w:rPr>
          <w:sz w:val="20"/>
          <w:szCs w:val="20"/>
          <w:color w:val="auto"/>
        </w:rPr>
      </w:pPr>
    </w:p>
    <w:p>
      <w:pPr>
        <w:ind w:left="1760"/>
        <w:spacing w:after="0"/>
        <w:tabs>
          <w:tab w:leader="none" w:pos="6980" w:val="left"/>
          <w:tab w:leader="none" w:pos="7900" w:val="left"/>
        </w:tabs>
        <w:rPr>
          <w:sz w:val="20"/>
          <w:szCs w:val="20"/>
          <w:color w:val="auto"/>
        </w:rPr>
      </w:pPr>
      <w:r>
        <w:rPr>
          <w:rFonts w:ascii="Arial" w:cs="Arial" w:eastAsia="Arial" w:hAnsi="Arial"/>
          <w:sz w:val="18"/>
          <w:szCs w:val="18"/>
          <w:color w:val="auto"/>
        </w:rPr>
        <w:t>Date: March 3,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4627245</wp:posOffset>
            </wp:positionH>
            <wp:positionV relativeFrom="paragraph">
              <wp:posOffset>10160</wp:posOffset>
            </wp:positionV>
            <wp:extent cx="221996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219960" cy="8255"/>
                    </a:xfrm>
                    <a:prstGeom prst="rect">
                      <a:avLst/>
                    </a:prstGeom>
                    <a:noFill/>
                  </pic:spPr>
                </pic:pic>
              </a:graphicData>
            </a:graphic>
          </wp:anchor>
        </w:drawing>
      </w:r>
    </w:p>
    <w:p>
      <w:pPr>
        <w:spacing w:after="0" w:line="4" w:lineRule="exact"/>
        <w:rPr>
          <w:sz w:val="20"/>
          <w:szCs w:val="20"/>
          <w:color w:val="auto"/>
        </w:rPr>
      </w:pPr>
    </w:p>
    <w:p>
      <w:pPr>
        <w:ind w:left="7920"/>
        <w:spacing w:after="0"/>
        <w:rPr>
          <w:sz w:val="20"/>
          <w:szCs w:val="20"/>
          <w:color w:val="auto"/>
        </w:rPr>
      </w:pPr>
      <w:r>
        <w:rPr>
          <w:rFonts w:ascii="Arial" w:cs="Arial" w:eastAsia="Arial" w:hAnsi="Arial"/>
          <w:sz w:val="18"/>
          <w:szCs w:val="18"/>
          <w:b w:val="1"/>
          <w:bCs w:val="1"/>
          <w:color w:val="auto"/>
        </w:rPr>
        <w:t>Jean Hu</w:t>
      </w:r>
    </w:p>
    <w:p>
      <w:pPr>
        <w:spacing w:after="0" w:line="22" w:lineRule="exact"/>
        <w:rPr>
          <w:sz w:val="20"/>
          <w:szCs w:val="20"/>
          <w:color w:val="auto"/>
        </w:rPr>
      </w:pPr>
    </w:p>
    <w:p>
      <w:pPr>
        <w:ind w:left="79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80"/>
          </w:cols>
          <w:pgMar w:left="320" w:top="989"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172085</wp:posOffset>
            </wp:positionV>
            <wp:extent cx="1502410" cy="442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0241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Fourth Quarter and Fiscal Year 2022</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346" w:lineRule="exact"/>
        <w:rPr>
          <w:sz w:val="20"/>
          <w:szCs w:val="20"/>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Net Revenue: $1.343 billion, grew by 68% year-on-year</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Gross Margin: 51.1% GAAP gross margin; 65.3% non-GAAP gross margin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Diluted income per share: $0.01 GAAP diluted income per share; $0.50 non-GAAP diluted income per share</w:t>
      </w:r>
    </w:p>
    <w:p>
      <w:pPr>
        <w:spacing w:after="0" w:line="200" w:lineRule="exact"/>
        <w:rPr>
          <w:sz w:val="20"/>
          <w:szCs w:val="20"/>
          <w:color w:val="auto"/>
        </w:rPr>
      </w:pPr>
    </w:p>
    <w:p>
      <w:pPr>
        <w:spacing w:after="0" w:line="232"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color w:val="auto"/>
        </w:rPr>
        <w:t xml:space="preserve">Santa Clara, Calif. (March 3, 2022) </w:t>
      </w:r>
      <w:r>
        <w:rPr>
          <w:rFonts w:ascii="Arial" w:cs="Arial" w:eastAsia="Arial" w:hAnsi="Arial"/>
          <w:sz w:val="18"/>
          <w:szCs w:val="18"/>
          <w:color w:val="auto"/>
        </w:rPr>
        <w:t>- Marvell Technology, Inc. (NASDAQ: MRVL), a leader in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the full fiscal year, ended January 29, 2022.</w:t>
      </w:r>
    </w:p>
    <w:p>
      <w:pPr>
        <w:spacing w:after="0" w:line="175" w:lineRule="exact"/>
        <w:rPr>
          <w:sz w:val="20"/>
          <w:szCs w:val="20"/>
          <w:color w:val="auto"/>
        </w:rPr>
      </w:pPr>
    </w:p>
    <w:p>
      <w:pPr>
        <w:jc w:val="both"/>
        <w:ind w:right="160"/>
        <w:spacing w:after="0" w:line="299" w:lineRule="auto"/>
        <w:rPr>
          <w:sz w:val="20"/>
          <w:szCs w:val="20"/>
          <w:color w:val="auto"/>
        </w:rPr>
      </w:pPr>
      <w:r>
        <w:rPr>
          <w:rFonts w:ascii="Arial" w:cs="Arial" w:eastAsia="Arial" w:hAnsi="Arial"/>
          <w:sz w:val="16"/>
          <w:szCs w:val="16"/>
          <w:color w:val="auto"/>
        </w:rPr>
        <w:t>Net revenue for the fourth quarter of fiscal 2022 was $1.343 billion, which exceeded the midpoint of the Company's guidance provided on December 2, 2021. GAAP net income for the fourth quarter of fiscal 2022 was $6 million, or $0.01 per diluted share. Non-GAAP net income for the fourth quarter of fiscal 2022 was $429 million, or $0.50 per diluted share. Cash flow from operations for the fourth quarter was $346 million.</w:t>
      </w:r>
    </w:p>
    <w:p>
      <w:pPr>
        <w:spacing w:after="0" w:line="154" w:lineRule="exact"/>
        <w:rPr>
          <w:sz w:val="20"/>
          <w:szCs w:val="20"/>
          <w:color w:val="auto"/>
        </w:rPr>
      </w:pPr>
    </w:p>
    <w:p>
      <w:pPr>
        <w:ind w:right="400"/>
        <w:spacing w:after="0" w:line="261" w:lineRule="auto"/>
        <w:rPr>
          <w:sz w:val="20"/>
          <w:szCs w:val="20"/>
          <w:color w:val="auto"/>
        </w:rPr>
      </w:pPr>
      <w:r>
        <w:rPr>
          <w:rFonts w:ascii="Arial" w:cs="Arial" w:eastAsia="Arial" w:hAnsi="Arial"/>
          <w:sz w:val="18"/>
          <w:szCs w:val="18"/>
          <w:color w:val="auto"/>
        </w:rPr>
        <w:t>Net revenue for fiscal 2022 was $4.462 billion. GAAP net loss for fiscal 2022 was $(421) million, or $(0.53) per diluted share. Non-GAAP net income for fiscal 2022 was $1.279 billion, or $1.57 per diluted share.</w:t>
      </w:r>
    </w:p>
    <w:p>
      <w:pPr>
        <w:spacing w:after="0" w:line="312" w:lineRule="exact"/>
        <w:rPr>
          <w:sz w:val="20"/>
          <w:szCs w:val="20"/>
          <w:color w:val="auto"/>
        </w:rPr>
      </w:pPr>
    </w:p>
    <w:p>
      <w:pPr>
        <w:ind w:right="40"/>
        <w:spacing w:after="0" w:line="284" w:lineRule="auto"/>
        <w:rPr>
          <w:sz w:val="20"/>
          <w:szCs w:val="20"/>
          <w:color w:val="auto"/>
        </w:rPr>
      </w:pPr>
      <w:r>
        <w:rPr>
          <w:rFonts w:ascii="Arial" w:cs="Arial" w:eastAsia="Arial" w:hAnsi="Arial"/>
          <w:sz w:val="16"/>
          <w:szCs w:val="16"/>
          <w:color w:val="auto"/>
        </w:rPr>
        <w:t>“Marvell delivered record revenue of $1.34 billion in the fourth quarter of fiscal 2022, growing 11 percent sequentially and 68 percent year over year, exceeding the midpoint of guidance. The Marvell team continued to rack up design wins, securing additional sockets at key customers leveraging our advanced technology platforms,” said Matt Murphy, Marvell’s President and CEO. “Revenue grew in all five of our end markets in the fourth quarter, with strong contributions from cloud, 5G and auto, which together represented 40% of total revenue. In addition, our enterprise networking end market has become another growth pillar, with revenue increasing 64% year over year, driven by our content gains and share increases, as enterprises continue to transform their infrastructure to address the needs of a more flexible, hybrid workforce.”</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2023 Financial Outlook</w:t>
      </w:r>
    </w:p>
    <w:p>
      <w:pPr>
        <w:spacing w:after="0" w:line="128" w:lineRule="exact"/>
        <w:rPr>
          <w:sz w:val="20"/>
          <w:szCs w:val="20"/>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 revenue is expected to be $1.425 billion +/- 3%.</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49.6% to 50.6%.</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65% to 66%.</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$667 million to $677 million.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$430 million to $435 million.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Basic weighted-average shares outstanding are expected to be 848 million.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Diluted weighted-average shares outstanding are expected to be 863 million.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income per share is expected to be $0.01 +/- $0.04 per share.</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$0.51 +/- $0.03 per share.</w:t>
      </w:r>
    </w:p>
    <w:p>
      <w:pPr>
        <w:spacing w:after="0" w:line="228" w:lineRule="exact"/>
        <w:rPr>
          <w:sz w:val="20"/>
          <w:szCs w:val="20"/>
          <w:color w:val="auto"/>
        </w:rPr>
      </w:pPr>
    </w:p>
    <w:p>
      <w:pPr>
        <w:spacing w:after="0" w:line="324"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752"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14" w:lineRule="exact"/>
        <w:rPr>
          <w:sz w:val="20"/>
          <w:szCs w:val="20"/>
          <w:color w:val="auto"/>
        </w:rPr>
      </w:pPr>
    </w:p>
    <w:p>
      <w:pPr>
        <w:ind w:right="80"/>
        <w:spacing w:after="0" w:line="249" w:lineRule="auto"/>
        <w:rPr>
          <w:sz w:val="20"/>
          <w:szCs w:val="20"/>
          <w:color w:val="auto"/>
        </w:rPr>
      </w:pPr>
      <w:r>
        <w:rPr>
          <w:rFonts w:ascii="Arial" w:cs="Arial" w:eastAsia="Arial" w:hAnsi="Arial"/>
          <w:sz w:val="18"/>
          <w:szCs w:val="18"/>
          <w:color w:val="auto"/>
        </w:rPr>
        <w:t>Marvell will conduct a conference call on Thursday, March 3, 2022 at 1:45 p.m. Pacific Time to discuss results for the fourth quarter and full fiscal year 2022. Interested parties may join the conference call by dialing 1-888-317-6003 or 1-412-317-6061, passcode 8988123. The call will be webcast and can be accessed at the Marvell Investor Relations website at http://investor.marvell.com/. A replay of the call can be accessed by dialing 1-877-344-7529 or 1-412-317-0088, passcode 5140079 until Thursday, March 10, 2022.</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1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189" w:lineRule="exact"/>
        <w:rPr>
          <w:sz w:val="20"/>
          <w:szCs w:val="20"/>
          <w:color w:val="auto"/>
        </w:rPr>
      </w:pPr>
    </w:p>
    <w:p>
      <w:pPr>
        <w:ind w:right="20"/>
        <w:spacing w:after="0" w:line="246"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fourth quarter of fiscal 2022, a non-GAAP tax rate of 5.0% has been applied to the non-GAAP financial results.</w:t>
      </w:r>
    </w:p>
    <w:p>
      <w:pPr>
        <w:spacing w:after="0" w:line="224" w:lineRule="exact"/>
        <w:rPr>
          <w:sz w:val="20"/>
          <w:szCs w:val="20"/>
          <w:color w:val="auto"/>
        </w:rPr>
      </w:pPr>
    </w:p>
    <w:p>
      <w:pPr>
        <w:ind w:right="180"/>
        <w:spacing w:after="0" w:line="284"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92" w:lineRule="exact"/>
        <w:rPr>
          <w:sz w:val="20"/>
          <w:szCs w:val="20"/>
          <w:color w:val="auto"/>
        </w:rPr>
      </w:pPr>
    </w:p>
    <w:p>
      <w:pPr>
        <w:ind w:right="900"/>
        <w:spacing w:after="0" w:line="324"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60" w:lineRule="exact"/>
        <w:rPr>
          <w:sz w:val="20"/>
          <w:szCs w:val="20"/>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3" w:lineRule="exact"/>
        <w:rPr>
          <w:rFonts w:ascii="Arial" w:cs="Arial" w:eastAsia="Arial" w:hAnsi="Arial"/>
          <w:sz w:val="18"/>
          <w:szCs w:val="18"/>
          <w:color w:val="auto"/>
        </w:rPr>
      </w:pPr>
    </w:p>
    <w:p>
      <w:pPr>
        <w:ind w:left="640" w:right="120" w:hanging="319"/>
        <w:spacing w:after="0" w:line="247" w:lineRule="auto"/>
        <w:tabs>
          <w:tab w:leader="none" w:pos="636"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101" w:lineRule="exact"/>
        <w:rPr>
          <w:sz w:val="20"/>
          <w:szCs w:val="20"/>
          <w:color w:val="auto"/>
        </w:rPr>
      </w:pPr>
    </w:p>
    <w:p>
      <w:pPr>
        <w:ind w:right="140"/>
        <w:spacing w:after="0" w:line="282"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2"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0" w:lineRule="exact"/>
        <w:rPr>
          <w:sz w:val="20"/>
          <w:szCs w:val="20"/>
          <w:color w:val="auto"/>
        </w:rPr>
      </w:pPr>
    </w:p>
    <w:p>
      <w:pPr>
        <w:spacing w:after="0"/>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failure to realize all of the anticipated benefits of the transactions with Inphi and Innovium on a timely basis, including as a result of our ability to successfully integrate the businesses of Marvell, Inphi and Innovium or due to unexpected costs or liabilities as a result of the transactions; our ability to retain and hire key personnel; risks related to the rapid growth of the Company; risks related to the impact of the COVID-19 pandemic which have impacted, and may continue to impact our business and operations, the transportation and manufacturing of our products, and the operations of our customers, distributors, vendors, suppliers, and partners; the impact of COVID-19, or other future pandemics, on the U.S. and global economies; disruptions caused by COVID-19, including as a result of restrictions that may be imposed by us or third parties, resulting in worker absenteeism, turnover, quarantines and restrictions on our employees' ability to work, innovate, collaborate, and travel; the effects that the current credit and market conditions caused by, or resulting from, COVID-19 could have on the liquidity and financial condition of us and our customers and suppliers, including any impact on the ability to meet contractual obligations; supply chain disruptions or component shortages that may impact the production of our products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and testing of our products;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secure design wins from our customers and prospective customers; our ability to market our 5G products to Tier 1 infrastructure customers; the stockholder dilution and other effects on us from, and our ability to complete (on a timely basis or at all) and realize the anticipated benefits of, announced or future acquisitions, divestitures and investments; cancellations, rescheduling or deferrals of significant customer orders or shipments, as well as the ability of our customers to manage inventory; our ability to estimate customer demand and future sales accurately; decreases in gross margin and results of operations in the future due to a number of factors, including inflation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the risk of downturns in the semiconductor industry;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our ability to accurately categorize our products by end markets; our ability to scale our operations in response to changes in demand for existing or new products and services; risks associated with acquisition and consolidation activity in the semiconductor industry;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752" w:right="3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1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20"/>
          </w:cols>
          <w:pgMar w:left="320" w:top="1383" w:right="459" w:bottom="1440" w:gutter="0" w:footer="0" w:header="0"/>
        </w:sectPr>
      </w:pPr>
    </w:p>
    <w:bookmarkStart w:id="7" w:name="page8"/>
    <w:bookmarkEnd w:id="7"/>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1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57" w:lineRule="exact"/>
        <w:rPr>
          <w:sz w:val="20"/>
          <w:szCs w:val="20"/>
          <w:color w:val="auto"/>
        </w:rPr>
      </w:pPr>
    </w:p>
    <w:tbl>
      <w:tblPr>
        <w:tblLayout w:type="fixed"/>
        <w:tblInd w:w="40" w:type="dxa"/>
        <w:tblCellMar>
          <w:top w:w="0" w:type="dxa"/>
          <w:left w:w="0" w:type="dxa"/>
          <w:bottom w:w="0" w:type="dxa"/>
          <w:right w:w="0" w:type="dxa"/>
        </w:tblCellMar>
      </w:tblPr>
      <w:tr>
        <w:trPr>
          <w:trHeight w:val="188"/>
        </w:trPr>
        <w:tc>
          <w:tcPr>
            <w:tcW w:w="4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20" w:type="dxa"/>
            <w:vAlign w:val="bottom"/>
            <w:tcBorders>
              <w:bottom w:val="single" w:sz="8" w:color="auto"/>
            </w:tcBorders>
          </w:tcPr>
          <w:p>
            <w:pPr>
              <w:spacing w:after="0"/>
              <w:rPr>
                <w:sz w:val="16"/>
                <w:szCs w:val="16"/>
                <w:color w:val="auto"/>
              </w:rPr>
            </w:pPr>
          </w:p>
        </w:tc>
      </w:tr>
      <w:tr>
        <w:trPr>
          <w:trHeight w:val="130"/>
        </w:trPr>
        <w:tc>
          <w:tcPr>
            <w:tcW w:w="4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tcPr>
          <w:p>
            <w:pPr>
              <w:jc w:val="right"/>
              <w:ind w:right="194"/>
              <w:spacing w:after="0" w:line="130" w:lineRule="exact"/>
              <w:rPr>
                <w:sz w:val="20"/>
                <w:szCs w:val="20"/>
                <w:color w:val="auto"/>
              </w:rPr>
            </w:pPr>
            <w:r>
              <w:rPr>
                <w:rFonts w:ascii="Arial" w:cs="Arial" w:eastAsia="Arial" w:hAnsi="Arial"/>
                <w:sz w:val="14"/>
                <w:szCs w:val="14"/>
                <w:b w:val="1"/>
                <w:bCs w:val="1"/>
                <w:color w:val="auto"/>
                <w:w w:val="98"/>
              </w:rPr>
              <w:t>January 29,</w:t>
            </w: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40" w:type="dxa"/>
            <w:vAlign w:val="bottom"/>
            <w:gridSpan w:val="2"/>
          </w:tcPr>
          <w:p>
            <w:pPr>
              <w:ind w:left="80"/>
              <w:spacing w:after="0" w:line="130"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020" w:type="dxa"/>
            <w:vAlign w:val="bottom"/>
          </w:tcPr>
          <w:p>
            <w:pPr>
              <w:jc w:val="right"/>
              <w:ind w:right="154"/>
              <w:spacing w:after="0" w:line="130" w:lineRule="exact"/>
              <w:rPr>
                <w:sz w:val="20"/>
                <w:szCs w:val="20"/>
                <w:color w:val="auto"/>
              </w:rPr>
            </w:pPr>
            <w:r>
              <w:rPr>
                <w:rFonts w:ascii="Arial" w:cs="Arial" w:eastAsia="Arial" w:hAnsi="Arial"/>
                <w:sz w:val="14"/>
                <w:szCs w:val="14"/>
                <w:b w:val="1"/>
                <w:bCs w:val="1"/>
                <w:color w:val="auto"/>
                <w:w w:val="98"/>
              </w:rPr>
              <w:t>January 30,</w:t>
            </w: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January 29,</w:t>
            </w:r>
          </w:p>
        </w:tc>
        <w:tc>
          <w:tcPr>
            <w:tcW w:w="280" w:type="dxa"/>
            <w:vAlign w:val="bottom"/>
          </w:tcPr>
          <w:p>
            <w:pPr>
              <w:spacing w:after="0"/>
              <w:rPr>
                <w:sz w:val="11"/>
                <w:szCs w:val="11"/>
                <w:color w:val="auto"/>
              </w:rPr>
            </w:pPr>
          </w:p>
        </w:tc>
        <w:tc>
          <w:tcPr>
            <w:tcW w:w="102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w w:val="90"/>
              </w:rPr>
              <w:t>January 30,</w:t>
            </w:r>
          </w:p>
        </w:tc>
      </w:tr>
      <w:tr>
        <w:trPr>
          <w:trHeight w:val="183"/>
        </w:trPr>
        <w:tc>
          <w:tcPr>
            <w:tcW w:w="418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c>
          <w:tcPr>
            <w:tcW w:w="18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2021</w:t>
            </w:r>
          </w:p>
        </w:tc>
        <w:tc>
          <w:tcPr>
            <w:tcW w:w="180" w:type="dxa"/>
            <w:vAlign w:val="bottom"/>
            <w:tcBorders>
              <w:bottom w:val="single" w:sz="8" w:color="CCEEFF"/>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2022</w:t>
            </w:r>
          </w:p>
        </w:tc>
        <w:tc>
          <w:tcPr>
            <w:tcW w:w="16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r>
      <w:tr>
        <w:trPr>
          <w:trHeight w:val="217"/>
        </w:trPr>
        <w:tc>
          <w:tcPr>
            <w:tcW w:w="41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Net revenue</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1,342,978</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1,211,245</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797,819</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4,462,383</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2,968,900</w:t>
            </w:r>
          </w:p>
        </w:tc>
      </w:tr>
      <w:tr>
        <w:trPr>
          <w:trHeight w:val="223"/>
        </w:trPr>
        <w:tc>
          <w:tcPr>
            <w:tcW w:w="418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Cost of goods sold</w:t>
            </w: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656,544</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623,425</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376,687</w:t>
            </w:r>
          </w:p>
        </w:tc>
        <w:tc>
          <w:tcPr>
            <w:tcW w:w="2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2,398,158</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1,480,550</w:t>
            </w:r>
          </w:p>
        </w:tc>
      </w:tr>
      <w:tr>
        <w:trPr>
          <w:trHeight w:val="217"/>
        </w:trPr>
        <w:tc>
          <w:tcPr>
            <w:tcW w:w="41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686,434</w:t>
            </w:r>
          </w:p>
        </w:tc>
        <w:tc>
          <w:tcPr>
            <w:tcW w:w="1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587,820</w:t>
            </w:r>
          </w:p>
        </w:tc>
        <w:tc>
          <w:tcPr>
            <w:tcW w:w="1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421,132</w:t>
            </w:r>
          </w:p>
        </w:tc>
        <w:tc>
          <w:tcPr>
            <w:tcW w:w="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2,064,225</w:t>
            </w:r>
          </w:p>
        </w:tc>
        <w:tc>
          <w:tcPr>
            <w:tcW w:w="16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1,488,350</w:t>
            </w:r>
          </w:p>
        </w:tc>
      </w:tr>
      <w:tr>
        <w:trPr>
          <w:trHeight w:val="191"/>
        </w:trPr>
        <w:tc>
          <w:tcPr>
            <w:tcW w:w="41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223"/>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expenses:</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r>
      <w:tr>
        <w:trPr>
          <w:trHeight w:val="223"/>
        </w:trPr>
        <w:tc>
          <w:tcPr>
            <w:tcW w:w="4180" w:type="dxa"/>
            <w:vAlign w:val="bottom"/>
          </w:tcPr>
          <w:p>
            <w:pPr>
              <w:ind w:left="64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399,269</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371,894</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260,380</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1,424,306</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1,072,740</w:t>
            </w:r>
          </w:p>
        </w:tc>
      </w:tr>
      <w:tr>
        <w:trPr>
          <w:trHeight w:val="224"/>
        </w:trPr>
        <w:tc>
          <w:tcPr>
            <w:tcW w:w="41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251,212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243,406</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116,918</w:t>
            </w:r>
          </w:p>
        </w:tc>
        <w:tc>
          <w:tcPr>
            <w:tcW w:w="2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955,245</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467,240</w:t>
            </w:r>
          </w:p>
        </w:tc>
      </w:tr>
      <w:tr>
        <w:trPr>
          <w:trHeight w:val="223"/>
        </w:trPr>
        <w:tc>
          <w:tcPr>
            <w:tcW w:w="4180" w:type="dxa"/>
            <w:vAlign w:val="bottom"/>
          </w:tcPr>
          <w:p>
            <w:pPr>
              <w:ind w:left="640"/>
              <w:spacing w:after="0"/>
              <w:rPr>
                <w:sz w:val="20"/>
                <w:szCs w:val="20"/>
                <w:color w:val="auto"/>
              </w:rPr>
            </w:pPr>
            <w:r>
              <w:rPr>
                <w:rFonts w:ascii="Arial" w:cs="Arial" w:eastAsia="Arial" w:hAnsi="Arial"/>
                <w:sz w:val="18"/>
                <w:szCs w:val="18"/>
                <w:color w:val="auto"/>
              </w:rPr>
              <w:t>Legal settlement (a)</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36,000</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36,000</w:t>
            </w:r>
          </w:p>
        </w:tc>
      </w:tr>
      <w:tr>
        <w:trPr>
          <w:trHeight w:val="224"/>
        </w:trPr>
        <w:tc>
          <w:tcPr>
            <w:tcW w:w="41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Restructuring related charges</w:t>
            </w: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1,301</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8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9,570</w:t>
            </w:r>
          </w:p>
        </w:tc>
        <w:tc>
          <w:tcPr>
            <w:tcW w:w="2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32,342</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170,759</w:t>
            </w:r>
          </w:p>
        </w:tc>
      </w:tr>
      <w:tr>
        <w:trPr>
          <w:trHeight w:val="216"/>
        </w:trPr>
        <w:tc>
          <w:tcPr>
            <w:tcW w:w="4180" w:type="dxa"/>
            <w:vAlign w:val="bottom"/>
            <w:tcBorders>
              <w:bottom w:val="single" w:sz="8" w:color="CCEEFF"/>
            </w:tcBorders>
          </w:tcPr>
          <w:p>
            <w:pPr>
              <w:ind w:left="1080"/>
              <w:spacing w:after="0" w:line="203" w:lineRule="exact"/>
              <w:rPr>
                <w:sz w:val="20"/>
                <w:szCs w:val="20"/>
                <w:color w:val="auto"/>
              </w:rPr>
            </w:pPr>
            <w:r>
              <w:rPr>
                <w:rFonts w:ascii="Arial" w:cs="Arial" w:eastAsia="Arial" w:hAnsi="Arial"/>
                <w:sz w:val="18"/>
                <w:szCs w:val="18"/>
                <w:color w:val="auto"/>
              </w:rPr>
              <w:t>Total operating expenses</w:t>
            </w: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651,782</w:t>
            </w:r>
          </w:p>
        </w:tc>
        <w:tc>
          <w:tcPr>
            <w:tcW w:w="1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621,161</w:t>
            </w:r>
          </w:p>
        </w:tc>
        <w:tc>
          <w:tcPr>
            <w:tcW w:w="1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422,868</w:t>
            </w:r>
          </w:p>
        </w:tc>
        <w:tc>
          <w:tcPr>
            <w:tcW w:w="22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2,411,893</w:t>
            </w:r>
          </w:p>
        </w:tc>
        <w:tc>
          <w:tcPr>
            <w:tcW w:w="16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1,746,739</w:t>
            </w:r>
          </w:p>
        </w:tc>
      </w:tr>
      <w:tr>
        <w:trPr>
          <w:trHeight w:val="217"/>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income (loss)</w:t>
            </w: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34,652</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(33,341)</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(1,736)</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(347,668)</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(258,389)</w:t>
            </w:r>
          </w:p>
        </w:tc>
      </w:tr>
      <w:tr>
        <w:trPr>
          <w:trHeight w:val="223"/>
        </w:trPr>
        <w:tc>
          <w:tcPr>
            <w:tcW w:w="4180" w:type="dxa"/>
            <w:vAlign w:val="bottom"/>
          </w:tcPr>
          <w:p>
            <w:pPr>
              <w:ind w:left="640"/>
              <w:spacing w:after="0"/>
              <w:rPr>
                <w:sz w:val="20"/>
                <w:szCs w:val="20"/>
                <w:color w:val="auto"/>
              </w:rPr>
            </w:pPr>
            <w:r>
              <w:rPr>
                <w:rFonts w:ascii="Arial" w:cs="Arial" w:eastAsia="Arial" w:hAnsi="Arial"/>
                <w:sz w:val="18"/>
                <w:szCs w:val="18"/>
                <w:color w:val="auto"/>
              </w:rPr>
              <w:t>Interest income</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189</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189</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356</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750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2,599</w:t>
            </w:r>
          </w:p>
        </w:tc>
      </w:tr>
      <w:tr>
        <w:trPr>
          <w:trHeight w:val="224"/>
        </w:trPr>
        <w:tc>
          <w:tcPr>
            <w:tcW w:w="41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Interest expense</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(34,963)</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(35,423)</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(20,733)</w:t>
            </w:r>
          </w:p>
        </w:tc>
        <w:tc>
          <w:tcPr>
            <w:tcW w:w="2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(139,341)</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(69,264)</w:t>
            </w:r>
          </w:p>
        </w:tc>
      </w:tr>
      <w:tr>
        <w:trPr>
          <w:trHeight w:val="223"/>
        </w:trPr>
        <w:tc>
          <w:tcPr>
            <w:tcW w:w="418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Other income (loss), net</w:t>
            </w: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2,196</w:t>
            </w:r>
          </w:p>
        </w:tc>
        <w:tc>
          <w:tcPr>
            <w:tcW w:w="1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999</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(727)</w:t>
            </w:r>
          </w:p>
        </w:tc>
        <w:tc>
          <w:tcPr>
            <w:tcW w:w="2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2,764</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2,886</w:t>
            </w:r>
          </w:p>
        </w:tc>
      </w:tr>
      <w:tr>
        <w:trPr>
          <w:trHeight w:val="217"/>
        </w:trPr>
        <w:tc>
          <w:tcPr>
            <w:tcW w:w="4180" w:type="dxa"/>
            <w:vAlign w:val="bottom"/>
            <w:shd w:val="clear" w:color="auto" w:fill="CCEEFF"/>
          </w:tcPr>
          <w:p>
            <w:pPr>
              <w:ind w:left="1080"/>
              <w:spacing w:after="0" w:line="203" w:lineRule="exact"/>
              <w:rPr>
                <w:sz w:val="20"/>
                <w:szCs w:val="20"/>
                <w:color w:val="auto"/>
              </w:rPr>
            </w:pPr>
            <w:r>
              <w:rPr>
                <w:rFonts w:ascii="Arial" w:cs="Arial" w:eastAsia="Arial" w:hAnsi="Arial"/>
                <w:sz w:val="18"/>
                <w:szCs w:val="18"/>
                <w:color w:val="auto"/>
              </w:rPr>
              <w:t>Interest and other income (loss), net</w:t>
            </w: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(32,578)</w:t>
            </w:r>
          </w:p>
        </w:tc>
        <w:tc>
          <w:tcPr>
            <w:tcW w:w="1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1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2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(135,827)</w:t>
            </w:r>
          </w:p>
        </w:tc>
        <w:tc>
          <w:tcPr>
            <w:tcW w:w="16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(63,779)</w:t>
            </w:r>
          </w:p>
        </w:tc>
      </w:tr>
      <w:tr>
        <w:trPr>
          <w:trHeight w:val="216"/>
        </w:trPr>
        <w:tc>
          <w:tcPr>
            <w:tcW w:w="4180" w:type="dxa"/>
            <w:vAlign w:val="bottom"/>
          </w:tcPr>
          <w:p>
            <w:pPr>
              <w:ind w:left="220"/>
              <w:spacing w:after="0"/>
              <w:rPr>
                <w:sz w:val="20"/>
                <w:szCs w:val="20"/>
                <w:color w:val="auto"/>
              </w:rPr>
            </w:pPr>
            <w:r>
              <w:rPr>
                <w:rFonts w:ascii="Arial" w:cs="Arial" w:eastAsia="Arial" w:hAnsi="Arial"/>
                <w:sz w:val="18"/>
                <w:szCs w:val="18"/>
                <w:color w:val="auto"/>
              </w:rPr>
              <w:t>Income (loss) before income taxes</w:t>
            </w: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2,074</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(67,576)</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(22,840)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(483,495)</w:t>
            </w: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(322,168)</w:t>
            </w:r>
          </w:p>
        </w:tc>
      </w:tr>
      <w:tr>
        <w:trPr>
          <w:trHeight w:val="223"/>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Benefit for income taxes</w:t>
            </w: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(4,094)</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(5,044)</w:t>
            </w:r>
          </w:p>
        </w:tc>
        <w:tc>
          <w:tcPr>
            <w:tcW w:w="18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(39,376)</w:t>
            </w:r>
          </w:p>
        </w:tc>
        <w:tc>
          <w:tcPr>
            <w:tcW w:w="2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(62,461)</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(44,870)</w:t>
            </w:r>
          </w:p>
        </w:tc>
      </w:tr>
      <w:tr>
        <w:trPr>
          <w:trHeight w:val="217"/>
        </w:trPr>
        <w:tc>
          <w:tcPr>
            <w:tcW w:w="418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6,168</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(62,532)</w:t>
            </w:r>
          </w:p>
        </w:tc>
        <w:tc>
          <w:tcPr>
            <w:tcW w:w="180" w:type="dxa"/>
            <w:vAlign w:val="bottom"/>
          </w:tcPr>
          <w:p>
            <w:pPr>
              <w:spacing w:after="0"/>
              <w:rPr>
                <w:sz w:val="18"/>
                <w:szCs w:val="18"/>
                <w:color w:val="auto"/>
              </w:rPr>
            </w:pP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16,536</w:t>
            </w:r>
          </w:p>
        </w:tc>
        <w:tc>
          <w:tcPr>
            <w:tcW w:w="220" w:type="dxa"/>
            <w:vAlign w:val="bottom"/>
          </w:tcPr>
          <w:p>
            <w:pPr>
              <w:spacing w:after="0"/>
              <w:rPr>
                <w:sz w:val="18"/>
                <w:szCs w:val="18"/>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(421,034)</w:t>
            </w:r>
          </w:p>
        </w:tc>
        <w:tc>
          <w:tcPr>
            <w:tcW w:w="160" w:type="dxa"/>
            <w:vAlign w:val="bottom"/>
          </w:tcPr>
          <w:p>
            <w:pPr>
              <w:spacing w:after="0"/>
              <w:rPr>
                <w:sz w:val="18"/>
                <w:szCs w:val="18"/>
                <w:color w:val="auto"/>
              </w:rPr>
            </w:pP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(277,298)</w:t>
            </w: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r>
        <w:trPr>
          <w:trHeight w:val="216"/>
        </w:trPr>
        <w:tc>
          <w:tcPr>
            <w:tcW w:w="4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r>
      <w:tr>
        <w:trPr>
          <w:trHeight w:val="223"/>
        </w:trPr>
        <w:tc>
          <w:tcPr>
            <w:tcW w:w="4180" w:type="dxa"/>
            <w:vAlign w:val="bottom"/>
          </w:tcPr>
          <w:p>
            <w:pPr>
              <w:ind w:left="220"/>
              <w:spacing w:after="0"/>
              <w:rPr>
                <w:sz w:val="20"/>
                <w:szCs w:val="20"/>
                <w:color w:val="auto"/>
              </w:rPr>
            </w:pPr>
            <w:r>
              <w:rPr>
                <w:rFonts w:ascii="Arial" w:cs="Arial" w:eastAsia="Arial" w:hAnsi="Arial"/>
                <w:sz w:val="18"/>
                <w:szCs w:val="18"/>
                <w:color w:val="auto"/>
              </w:rPr>
              <w:t>Net income (loss) per share - basic</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0.01</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(0.08)</w:t>
            </w:r>
          </w:p>
        </w:tc>
        <w:tc>
          <w:tcPr>
            <w:tcW w:w="180" w:type="dxa"/>
            <w:vAlign w:val="bottom"/>
          </w:tcPr>
          <w:p>
            <w:pPr>
              <w:spacing w:after="0"/>
              <w:rPr>
                <w:sz w:val="19"/>
                <w:szCs w:val="19"/>
                <w:color w:val="auto"/>
              </w:rPr>
            </w:pP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(0.53)</w:t>
            </w:r>
          </w:p>
        </w:tc>
        <w:tc>
          <w:tcPr>
            <w:tcW w:w="160" w:type="dxa"/>
            <w:vAlign w:val="bottom"/>
          </w:tcPr>
          <w:p>
            <w:pPr>
              <w:spacing w:after="0"/>
              <w:rPr>
                <w:sz w:val="19"/>
                <w:szCs w:val="19"/>
                <w:color w:val="auto"/>
              </w:rPr>
            </w:pP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r>
        <w:trPr>
          <w:trHeight w:val="216"/>
        </w:trPr>
        <w:tc>
          <w:tcPr>
            <w:tcW w:w="4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r>
      <w:tr>
        <w:trPr>
          <w:trHeight w:val="223"/>
        </w:trPr>
        <w:tc>
          <w:tcPr>
            <w:tcW w:w="4180" w:type="dxa"/>
            <w:vAlign w:val="bottom"/>
          </w:tcPr>
          <w:p>
            <w:pPr>
              <w:ind w:left="22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0.01</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(0.08)</w:t>
            </w:r>
          </w:p>
        </w:tc>
        <w:tc>
          <w:tcPr>
            <w:tcW w:w="180" w:type="dxa"/>
            <w:vAlign w:val="bottom"/>
          </w:tcPr>
          <w:p>
            <w:pPr>
              <w:spacing w:after="0"/>
              <w:rPr>
                <w:sz w:val="19"/>
                <w:szCs w:val="19"/>
                <w:color w:val="auto"/>
              </w:rPr>
            </w:pP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(0.53)</w:t>
            </w:r>
          </w:p>
        </w:tc>
        <w:tc>
          <w:tcPr>
            <w:tcW w:w="160" w:type="dxa"/>
            <w:vAlign w:val="bottom"/>
          </w:tcPr>
          <w:p>
            <w:pPr>
              <w:spacing w:after="0"/>
              <w:rPr>
                <w:sz w:val="19"/>
                <w:szCs w:val="19"/>
                <w:color w:val="auto"/>
              </w:rPr>
            </w:pP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r>
        <w:trPr>
          <w:trHeight w:val="216"/>
        </w:trPr>
        <w:tc>
          <w:tcPr>
            <w:tcW w:w="4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r>
      <w:tr>
        <w:trPr>
          <w:trHeight w:val="223"/>
        </w:trPr>
        <w:tc>
          <w:tcPr>
            <w:tcW w:w="4180" w:type="dxa"/>
            <w:vAlign w:val="bottom"/>
          </w:tcPr>
          <w:p>
            <w:pPr>
              <w:ind w:left="220"/>
              <w:spacing w:after="0"/>
              <w:rPr>
                <w:sz w:val="20"/>
                <w:szCs w:val="20"/>
                <w:color w:val="auto"/>
              </w:rPr>
            </w:pPr>
            <w:r>
              <w:rPr>
                <w:rFonts w:ascii="Arial" w:cs="Arial" w:eastAsia="Arial" w:hAnsi="Arial"/>
                <w:sz w:val="18"/>
                <w:szCs w:val="18"/>
                <w:color w:val="auto"/>
              </w:rPr>
              <w:t>Weighted average shares:</w:t>
            </w: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spacing w:after="0"/>
              <w:rPr>
                <w:sz w:val="19"/>
                <w:szCs w:val="19"/>
                <w:color w:val="auto"/>
              </w:rPr>
            </w:pPr>
          </w:p>
        </w:tc>
      </w:tr>
      <w:tr>
        <w:trPr>
          <w:trHeight w:val="224"/>
        </w:trPr>
        <w:tc>
          <w:tcPr>
            <w:tcW w:w="41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Basic</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844,419</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828,635</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673,529</w:t>
            </w:r>
          </w:p>
        </w:tc>
        <w:tc>
          <w:tcPr>
            <w:tcW w:w="2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796,855</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668,772</w:t>
            </w:r>
          </w:p>
        </w:tc>
      </w:tr>
      <w:tr>
        <w:trPr>
          <w:trHeight w:val="223"/>
        </w:trPr>
        <w:tc>
          <w:tcPr>
            <w:tcW w:w="4180" w:type="dxa"/>
            <w:vAlign w:val="bottom"/>
          </w:tcPr>
          <w:p>
            <w:pPr>
              <w:ind w:left="64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862,062</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828,635</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687,959</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796,855</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668,772</w:t>
            </w:r>
          </w:p>
        </w:tc>
      </w:tr>
    </w:tbl>
    <w:p>
      <w:pPr>
        <w:spacing w:after="0" w:line="80" w:lineRule="exact"/>
        <w:rPr>
          <w:sz w:val="20"/>
          <w:szCs w:val="20"/>
          <w:color w:val="auto"/>
        </w:rPr>
      </w:pPr>
    </w:p>
    <w:p>
      <w:pPr>
        <w:spacing w:after="0"/>
        <w:rPr>
          <w:sz w:val="20"/>
          <w:szCs w:val="20"/>
          <w:color w:val="auto"/>
        </w:rPr>
      </w:pPr>
      <w:r>
        <w:rPr>
          <w:rFonts w:ascii="Arial" w:cs="Arial" w:eastAsia="Arial" w:hAnsi="Arial"/>
          <w:sz w:val="18"/>
          <w:szCs w:val="18"/>
          <w:color w:val="auto"/>
        </w:rPr>
        <w:t>(a) Represents a legal settlement relating to a commercial agreement.</w:t>
      </w:r>
    </w:p>
    <w:p>
      <w:pPr>
        <w:sectPr>
          <w:pgSz w:w="11900" w:h="16838" w:orient="portrait"/>
          <w:cols w:equalWidth="0" w:num="1">
            <w:col w:w="11220"/>
          </w:cols>
          <w:pgMar w:left="320" w:top="1343" w:right="3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560" w:type="dxa"/>
            <w:vAlign w:val="bottom"/>
            <w:gridSpan w:val="2"/>
          </w:tcPr>
          <w:p>
            <w:pPr>
              <w:ind w:left="160"/>
              <w:spacing w:after="0"/>
              <w:rPr>
                <w:sz w:val="20"/>
                <w:szCs w:val="20"/>
                <w:color w:val="auto"/>
              </w:rPr>
            </w:pPr>
            <w:r>
              <w:rPr>
                <w:rFonts w:ascii="Arial" w:cs="Arial" w:eastAsia="Arial" w:hAnsi="Arial"/>
                <w:sz w:val="14"/>
                <w:szCs w:val="14"/>
                <w:b w:val="1"/>
                <w:bCs w:val="1"/>
                <w:color w:val="auto"/>
              </w:rPr>
              <w:t>January 29,</w:t>
            </w:r>
          </w:p>
        </w:tc>
        <w:tc>
          <w:tcPr>
            <w:tcW w:w="260" w:type="dxa"/>
            <w:vAlign w:val="bottom"/>
          </w:tcPr>
          <w:p>
            <w:pPr>
              <w:spacing w:after="0"/>
              <w:rPr>
                <w:sz w:val="14"/>
                <w:szCs w:val="14"/>
                <w:color w:val="auto"/>
              </w:rPr>
            </w:pPr>
          </w:p>
        </w:tc>
        <w:tc>
          <w:tcPr>
            <w:tcW w:w="1300" w:type="dxa"/>
            <w:vAlign w:val="bottom"/>
          </w:tcPr>
          <w:p>
            <w:pPr>
              <w:jc w:val="right"/>
              <w:ind w:right="334"/>
              <w:spacing w:after="0"/>
              <w:rPr>
                <w:sz w:val="20"/>
                <w:szCs w:val="20"/>
                <w:color w:val="auto"/>
              </w:rPr>
            </w:pPr>
            <w:r>
              <w:rPr>
                <w:rFonts w:ascii="Arial" w:cs="Arial" w:eastAsia="Arial" w:hAnsi="Arial"/>
                <w:sz w:val="14"/>
                <w:szCs w:val="14"/>
                <w:b w:val="1"/>
                <w:bCs w:val="1"/>
                <w:color w:val="auto"/>
              </w:rPr>
              <w:t>January 30,</w:t>
            </w:r>
          </w:p>
        </w:tc>
      </w:tr>
      <w:tr>
        <w:trPr>
          <w:trHeight w:val="183"/>
        </w:trPr>
        <w:tc>
          <w:tcPr>
            <w:tcW w:w="786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jc w:val="right"/>
              <w:ind w:right="554"/>
              <w:spacing w:after="0"/>
              <w:rPr>
                <w:sz w:val="20"/>
                <w:szCs w:val="20"/>
                <w:color w:val="auto"/>
              </w:rPr>
            </w:pPr>
            <w:r>
              <w:rPr>
                <w:rFonts w:ascii="Arial" w:cs="Arial" w:eastAsia="Arial" w:hAnsi="Arial"/>
                <w:sz w:val="14"/>
                <w:szCs w:val="14"/>
                <w:b w:val="1"/>
                <w:bCs w:val="1"/>
                <w:color w:val="auto"/>
              </w:rPr>
              <w:t>2022</w:t>
            </w:r>
          </w:p>
        </w:tc>
        <w:tc>
          <w:tcPr>
            <w:tcW w:w="26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jc w:val="right"/>
              <w:ind w:right="554"/>
              <w:spacing w:after="0"/>
              <w:rPr>
                <w:sz w:val="20"/>
                <w:szCs w:val="20"/>
                <w:color w:val="auto"/>
              </w:rPr>
            </w:pPr>
            <w:r>
              <w:rPr>
                <w:rFonts w:ascii="Arial" w:cs="Arial" w:eastAsia="Arial" w:hAnsi="Arial"/>
                <w:sz w:val="14"/>
                <w:szCs w:val="14"/>
                <w:b w:val="1"/>
                <w:bCs w:val="1"/>
                <w:color w:val="auto"/>
              </w:rPr>
              <w:t>2021</w:t>
            </w:r>
          </w:p>
        </w:tc>
      </w:tr>
      <w:tr>
        <w:trPr>
          <w:trHeight w:val="204"/>
        </w:trPr>
        <w:tc>
          <w:tcPr>
            <w:tcW w:w="786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Assets</w:t>
            </w:r>
          </w:p>
        </w:tc>
        <w:tc>
          <w:tcPr>
            <w:tcW w:w="26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Cash and cash equivalents</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613,533</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23"/>
        </w:trPr>
        <w:tc>
          <w:tcPr>
            <w:tcW w:w="7860" w:type="dxa"/>
            <w:vAlign w:val="bottom"/>
          </w:tcPr>
          <w:p>
            <w:pPr>
              <w:ind w:left="660"/>
              <w:spacing w:after="0"/>
              <w:rPr>
                <w:sz w:val="20"/>
                <w:szCs w:val="20"/>
                <w:color w:val="auto"/>
              </w:rPr>
            </w:pPr>
            <w:r>
              <w:rPr>
                <w:rFonts w:ascii="Arial" w:cs="Arial" w:eastAsia="Arial" w:hAnsi="Arial"/>
                <w:sz w:val="18"/>
                <w:szCs w:val="18"/>
                <w:color w:val="auto"/>
              </w:rPr>
              <w:t>Accounts receivable,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1,048,583</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Inventories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720,331</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3"/>
        </w:trPr>
        <w:tc>
          <w:tcPr>
            <w:tcW w:w="786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111,003</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17"/>
        </w:trPr>
        <w:tc>
          <w:tcPr>
            <w:tcW w:w="7860" w:type="dxa"/>
            <w:vAlign w:val="bottom"/>
            <w:shd w:val="clear" w:color="auto" w:fill="CCEEFF"/>
          </w:tcPr>
          <w:p>
            <w:pPr>
              <w:ind w:left="1080"/>
              <w:spacing w:after="0" w:line="203" w:lineRule="exact"/>
              <w:rPr>
                <w:sz w:val="20"/>
                <w:szCs w:val="20"/>
                <w:color w:val="auto"/>
              </w:rPr>
            </w:pPr>
            <w:r>
              <w:rPr>
                <w:rFonts w:ascii="Arial" w:cs="Arial" w:eastAsia="Arial" w:hAnsi="Arial"/>
                <w:sz w:val="18"/>
                <w:szCs w:val="18"/>
                <w:color w:val="auto"/>
              </w:rPr>
              <w:t>Total current assets</w:t>
            </w: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2,493,450</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Property and equipment,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462,773</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24"/>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Goodwill</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11,511,129</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Acquired intangible assets,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6,153,422</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24"/>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tax assets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493,508</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3"/>
        </w:trPr>
        <w:tc>
          <w:tcPr>
            <w:tcW w:w="786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Other non-current assets</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994,315</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2"/>
        </w:trPr>
        <w:tc>
          <w:tcPr>
            <w:tcW w:w="7860" w:type="dxa"/>
            <w:vAlign w:val="bottom"/>
            <w:tcBorders>
              <w:bottom w:val="single" w:sz="8" w:color="CCEEFF"/>
            </w:tcBorders>
            <w:shd w:val="clear" w:color="auto" w:fill="CCEEFF"/>
          </w:tcPr>
          <w:p>
            <w:pPr>
              <w:ind w:left="1080"/>
              <w:spacing w:after="0" w:line="203" w:lineRule="exact"/>
              <w:rPr>
                <w:sz w:val="20"/>
                <w:szCs w:val="20"/>
                <w:color w:val="auto"/>
              </w:rPr>
            </w:pPr>
            <w:r>
              <w:rPr>
                <w:rFonts w:ascii="Arial" w:cs="Arial" w:eastAsia="Arial" w:hAnsi="Arial"/>
                <w:sz w:val="18"/>
                <w:szCs w:val="18"/>
                <w:color w:val="auto"/>
              </w:rPr>
              <w:t>Total assets</w:t>
            </w: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22,108,597</w:t>
            </w:r>
          </w:p>
        </w:tc>
        <w:tc>
          <w:tcPr>
            <w:tcW w:w="2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8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r>
      <w:tr>
        <w:trPr>
          <w:trHeight w:val="157"/>
        </w:trPr>
        <w:tc>
          <w:tcPr>
            <w:tcW w:w="78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00" w:type="dxa"/>
            <w:vAlign w:val="bottom"/>
          </w:tcPr>
          <w:p>
            <w:pPr>
              <w:spacing w:after="0"/>
              <w:rPr>
                <w:sz w:val="13"/>
                <w:szCs w:val="13"/>
                <w:color w:val="auto"/>
              </w:rPr>
            </w:pPr>
          </w:p>
        </w:tc>
      </w:tr>
      <w:tr>
        <w:trPr>
          <w:trHeight w:val="223"/>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Liabilities and Stockholders’ Equity</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Current liabilities:</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Accounts payable</w:t>
            </w: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461,509</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23"/>
        </w:trPr>
        <w:tc>
          <w:tcPr>
            <w:tcW w:w="7860" w:type="dxa"/>
            <w:vAlign w:val="bottom"/>
          </w:tcPr>
          <w:p>
            <w:pPr>
              <w:ind w:left="660"/>
              <w:spacing w:after="0"/>
              <w:rPr>
                <w:sz w:val="20"/>
                <w:szCs w:val="20"/>
                <w:color w:val="auto"/>
              </w:rPr>
            </w:pPr>
            <w:r>
              <w:rPr>
                <w:rFonts w:ascii="Arial" w:cs="Arial" w:eastAsia="Arial" w:hAnsi="Arial"/>
                <w:sz w:val="18"/>
                <w:szCs w:val="18"/>
                <w:color w:val="auto"/>
              </w:rPr>
              <w:t>Accrued liabilities</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622,561</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Accrued employee compensation</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241,306</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23"/>
        </w:trPr>
        <w:tc>
          <w:tcPr>
            <w:tcW w:w="786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Short-term debt</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63,166</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r>
      <w:tr>
        <w:trPr>
          <w:trHeight w:val="217"/>
        </w:trPr>
        <w:tc>
          <w:tcPr>
            <w:tcW w:w="7860" w:type="dxa"/>
            <w:vAlign w:val="bottom"/>
            <w:shd w:val="clear" w:color="auto" w:fill="CCEEFF"/>
          </w:tcPr>
          <w:p>
            <w:pPr>
              <w:ind w:left="1080"/>
              <w:spacing w:after="0" w:line="203" w:lineRule="exact"/>
              <w:rPr>
                <w:sz w:val="20"/>
                <w:szCs w:val="20"/>
                <w:color w:val="auto"/>
              </w:rPr>
            </w:pPr>
            <w:r>
              <w:rPr>
                <w:rFonts w:ascii="Arial" w:cs="Arial" w:eastAsia="Arial" w:hAnsi="Arial"/>
                <w:sz w:val="18"/>
                <w:szCs w:val="18"/>
                <w:color w:val="auto"/>
              </w:rPr>
              <w:t>Total current liabilities</w:t>
            </w: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1,388,542</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Long-term debt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4,484,811</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4"/>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Other non-current liabilities</w:t>
            </w: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533,147</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16"/>
        </w:trPr>
        <w:tc>
          <w:tcPr>
            <w:tcW w:w="7860" w:type="dxa"/>
            <w:vAlign w:val="bottom"/>
            <w:tcBorders>
              <w:bottom w:val="single" w:sz="8" w:color="CCEEFF"/>
            </w:tcBorders>
          </w:tcPr>
          <w:p>
            <w:pPr>
              <w:ind w:left="1080"/>
              <w:spacing w:after="0" w:line="203" w:lineRule="exact"/>
              <w:rPr>
                <w:sz w:val="20"/>
                <w:szCs w:val="20"/>
                <w:color w:val="auto"/>
              </w:rPr>
            </w:pPr>
            <w:r>
              <w:rPr>
                <w:rFonts w:ascii="Arial" w:cs="Arial" w:eastAsia="Arial" w:hAnsi="Arial"/>
                <w:sz w:val="18"/>
                <w:szCs w:val="18"/>
                <w:color w:val="auto"/>
              </w:rPr>
              <w:t>Total liabilities</w:t>
            </w:r>
          </w:p>
        </w:tc>
        <w:tc>
          <w:tcPr>
            <w:tcW w:w="26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6,406,500</w:t>
            </w:r>
          </w:p>
        </w:tc>
        <w:tc>
          <w:tcPr>
            <w:tcW w:w="26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191"/>
        </w:trPr>
        <w:tc>
          <w:tcPr>
            <w:tcW w:w="786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3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300" w:type="dxa"/>
            <w:vAlign w:val="bottom"/>
            <w:shd w:val="clear" w:color="auto" w:fill="CCEEFF"/>
          </w:tcPr>
          <w:p>
            <w:pPr>
              <w:spacing w:after="0"/>
              <w:rPr>
                <w:sz w:val="16"/>
                <w:szCs w:val="16"/>
                <w:color w:val="auto"/>
              </w:rPr>
            </w:pPr>
          </w:p>
        </w:tc>
      </w:tr>
      <w:tr>
        <w:trPr>
          <w:trHeight w:val="223"/>
        </w:trPr>
        <w:tc>
          <w:tcPr>
            <w:tcW w:w="7860" w:type="dxa"/>
            <w:vAlign w:val="bottom"/>
          </w:tcPr>
          <w:p>
            <w:pPr>
              <w:ind w:left="220"/>
              <w:spacing w:after="0"/>
              <w:rPr>
                <w:sz w:val="20"/>
                <w:szCs w:val="20"/>
                <w:color w:val="auto"/>
              </w:rPr>
            </w:pPr>
            <w:r>
              <w:rPr>
                <w:rFonts w:ascii="Arial" w:cs="Arial" w:eastAsia="Arial" w:hAnsi="Arial"/>
                <w:sz w:val="18"/>
                <w:szCs w:val="18"/>
                <w:color w:val="auto"/>
              </w:rPr>
              <w:t>Stockholders’ equity:</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Common stock</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1,692</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23"/>
        </w:trPr>
        <w:tc>
          <w:tcPr>
            <w:tcW w:w="7860" w:type="dxa"/>
            <w:vAlign w:val="bottom"/>
          </w:tcPr>
          <w:p>
            <w:pPr>
              <w:ind w:left="660"/>
              <w:spacing w:after="0"/>
              <w:rPr>
                <w:sz w:val="20"/>
                <w:szCs w:val="20"/>
                <w:color w:val="auto"/>
              </w:rPr>
            </w:pPr>
            <w:r>
              <w:rPr>
                <w:rFonts w:ascii="Arial" w:cs="Arial" w:eastAsia="Arial" w:hAnsi="Arial"/>
                <w:sz w:val="18"/>
                <w:szCs w:val="18"/>
                <w:color w:val="auto"/>
              </w:rPr>
              <w:t>Additional paid-in capital</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14,209,047</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24"/>
        </w:trPr>
        <w:tc>
          <w:tcPr>
            <w:tcW w:w="78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Retained earnings</w:t>
            </w: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1,491,358</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16"/>
        </w:trPr>
        <w:tc>
          <w:tcPr>
            <w:tcW w:w="7860" w:type="dxa"/>
            <w:vAlign w:val="bottom"/>
            <w:tcBorders>
              <w:bottom w:val="single" w:sz="8" w:color="CCEEFF"/>
            </w:tcBorders>
          </w:tcPr>
          <w:p>
            <w:pPr>
              <w:ind w:left="1080"/>
              <w:spacing w:after="0" w:line="203" w:lineRule="exact"/>
              <w:rPr>
                <w:sz w:val="20"/>
                <w:szCs w:val="20"/>
                <w:color w:val="auto"/>
              </w:rPr>
            </w:pPr>
            <w:r>
              <w:rPr>
                <w:rFonts w:ascii="Arial" w:cs="Arial" w:eastAsia="Arial" w:hAnsi="Arial"/>
                <w:sz w:val="18"/>
                <w:szCs w:val="18"/>
                <w:color w:val="auto"/>
              </w:rPr>
              <w:t>Total stockholders’ equity</w:t>
            </w:r>
          </w:p>
        </w:tc>
        <w:tc>
          <w:tcPr>
            <w:tcW w:w="26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15,702,097</w:t>
            </w:r>
          </w:p>
        </w:tc>
        <w:tc>
          <w:tcPr>
            <w:tcW w:w="26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2"/>
        </w:trPr>
        <w:tc>
          <w:tcPr>
            <w:tcW w:w="7860" w:type="dxa"/>
            <w:vAlign w:val="bottom"/>
            <w:tcBorders>
              <w:bottom w:val="single" w:sz="8" w:color="CCEEFF"/>
            </w:tcBorders>
            <w:shd w:val="clear" w:color="auto" w:fill="CCEEFF"/>
          </w:tcPr>
          <w:p>
            <w:pPr>
              <w:ind w:left="1080"/>
              <w:spacing w:after="0" w:line="203" w:lineRule="exact"/>
              <w:rPr>
                <w:sz w:val="20"/>
                <w:szCs w:val="20"/>
                <w:color w:val="auto"/>
              </w:rPr>
            </w:pPr>
            <w:r>
              <w:rPr>
                <w:rFonts w:ascii="Arial" w:cs="Arial" w:eastAsia="Arial" w:hAnsi="Arial"/>
                <w:sz w:val="18"/>
                <w:szCs w:val="18"/>
                <w:color w:val="auto"/>
              </w:rPr>
              <w:t>Total liabilities and stockholders’ equity</w:t>
            </w: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22,108,597</w:t>
            </w:r>
          </w:p>
        </w:tc>
        <w:tc>
          <w:tcPr>
            <w:tcW w:w="2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8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1343" w:right="3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53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84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6"/>
                <w:szCs w:val="16"/>
                <w:color w:val="auto"/>
              </w:rPr>
            </w:pPr>
          </w:p>
        </w:tc>
        <w:tc>
          <w:tcPr>
            <w:tcW w:w="162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532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0" w:lineRule="exact"/>
              <w:rPr>
                <w:sz w:val="20"/>
                <w:szCs w:val="20"/>
                <w:color w:val="auto"/>
              </w:rPr>
            </w:pPr>
            <w:r>
              <w:rPr>
                <w:rFonts w:ascii="Arial" w:cs="Arial" w:eastAsia="Arial" w:hAnsi="Arial"/>
                <w:sz w:val="14"/>
                <w:szCs w:val="14"/>
                <w:b w:val="1"/>
                <w:bCs w:val="1"/>
                <w:color w:val="auto"/>
              </w:rPr>
              <w:t>January 29,</w:t>
            </w:r>
          </w:p>
        </w:tc>
        <w:tc>
          <w:tcPr>
            <w:tcW w:w="22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213"/>
              <w:spacing w:after="0" w:line="130" w:lineRule="exact"/>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320" w:type="dxa"/>
            <w:vAlign w:val="bottom"/>
            <w:tcBorders>
              <w:top w:val="single" w:sz="8" w:color="auto"/>
            </w:tcBorders>
            <w:gridSpan w:val="2"/>
          </w:tcPr>
          <w:p>
            <w:pPr>
              <w:ind w:left="120"/>
              <w:spacing w:after="0" w:line="130" w:lineRule="exact"/>
              <w:rPr>
                <w:sz w:val="20"/>
                <w:szCs w:val="20"/>
                <w:color w:val="auto"/>
              </w:rPr>
            </w:pPr>
            <w:r>
              <w:rPr>
                <w:rFonts w:ascii="Arial" w:cs="Arial" w:eastAsia="Arial" w:hAnsi="Arial"/>
                <w:sz w:val="14"/>
                <w:szCs w:val="14"/>
                <w:b w:val="1"/>
                <w:bCs w:val="1"/>
                <w:color w:val="auto"/>
              </w:rPr>
              <w:t>January 29,</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jc w:val="right"/>
              <w:ind w:right="233"/>
              <w:spacing w:after="0" w:line="130" w:lineRule="exact"/>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83"/>
        </w:trPr>
        <w:tc>
          <w:tcPr>
            <w:tcW w:w="532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2022</w:t>
            </w:r>
          </w:p>
        </w:tc>
        <w:tc>
          <w:tcPr>
            <w:tcW w:w="16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3"/>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2022</w:t>
            </w:r>
          </w:p>
        </w:tc>
        <w:tc>
          <w:tcPr>
            <w:tcW w:w="180" w:type="dxa"/>
            <w:vAlign w:val="bottom"/>
            <w:tcBorders>
              <w:bottom w:val="single" w:sz="8" w:color="CCEEFF"/>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04"/>
        </w:trPr>
        <w:tc>
          <w:tcPr>
            <w:tcW w:w="532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532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6,168</w:t>
            </w:r>
          </w:p>
        </w:tc>
        <w:tc>
          <w:tcPr>
            <w:tcW w:w="160" w:type="dxa"/>
            <w:vAlign w:val="bottom"/>
          </w:tcPr>
          <w:p>
            <w:pPr>
              <w:spacing w:after="0"/>
              <w:rPr>
                <w:sz w:val="19"/>
                <w:szCs w:val="19"/>
                <w:color w:val="auto"/>
              </w:rPr>
            </w:pPr>
          </w:p>
        </w:tc>
        <w:tc>
          <w:tcPr>
            <w:tcW w:w="220" w:type="dxa"/>
            <w:vAlign w:val="bottom"/>
          </w:tcPr>
          <w:p>
            <w:pPr>
              <w:jc w:val="right"/>
              <w:ind w:right="12"/>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16,536</w:t>
            </w:r>
          </w:p>
        </w:tc>
        <w:tc>
          <w:tcPr>
            <w:tcW w:w="20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(421,034)</w:t>
            </w:r>
          </w:p>
        </w:tc>
        <w:tc>
          <w:tcPr>
            <w:tcW w:w="180" w:type="dxa"/>
            <w:vAlign w:val="bottom"/>
          </w:tcPr>
          <w:p>
            <w:pPr>
              <w:spacing w:after="0"/>
              <w:rPr>
                <w:sz w:val="19"/>
                <w:szCs w:val="19"/>
                <w:color w:val="auto"/>
              </w:rPr>
            </w:pPr>
          </w:p>
        </w:tc>
        <w:tc>
          <w:tcPr>
            <w:tcW w:w="300" w:type="dxa"/>
            <w:vAlign w:val="bottom"/>
          </w:tcPr>
          <w:p>
            <w:pPr>
              <w:jc w:val="right"/>
              <w:ind w:right="92"/>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(277,298)</w:t>
            </w:r>
          </w:p>
        </w:tc>
        <w:tc>
          <w:tcPr>
            <w:tcW w:w="0" w:type="dxa"/>
            <w:vAlign w:val="bottom"/>
          </w:tcPr>
          <w:p>
            <w:pPr>
              <w:spacing w:after="0"/>
              <w:rPr>
                <w:sz w:val="1"/>
                <w:szCs w:val="1"/>
                <w:color w:val="auto"/>
              </w:rPr>
            </w:pPr>
          </w:p>
        </w:tc>
      </w:tr>
      <w:tr>
        <w:trPr>
          <w:trHeight w:val="172"/>
        </w:trPr>
        <w:tc>
          <w:tcPr>
            <w:tcW w:w="5320" w:type="dxa"/>
            <w:vAlign w:val="bottom"/>
            <w:shd w:val="clear" w:color="auto" w:fill="CCEEFF"/>
          </w:tcPr>
          <w:p>
            <w:pPr>
              <w:ind w:left="220"/>
              <w:spacing w:after="0" w:line="172" w:lineRule="exact"/>
              <w:rPr>
                <w:sz w:val="20"/>
                <w:szCs w:val="20"/>
                <w:color w:val="auto"/>
              </w:rPr>
            </w:pPr>
            <w:r>
              <w:rPr>
                <w:rFonts w:ascii="Arial" w:cs="Arial" w:eastAsia="Arial" w:hAnsi="Arial"/>
                <w:sz w:val="18"/>
                <w:szCs w:val="18"/>
                <w:color w:val="auto"/>
                <w:w w:val="95"/>
              </w:rPr>
              <w:t>Adjustments to reconcile net income (loss) to net cash provided by</w:t>
            </w:r>
          </w:p>
        </w:tc>
        <w:tc>
          <w:tcPr>
            <w:tcW w:w="20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06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activities: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76,257</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47,990</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265,934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197,912</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134,757</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59,479</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460,679</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241,539</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294,784</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109,682</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979,377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443,616</w:t>
            </w:r>
          </w:p>
        </w:tc>
        <w:tc>
          <w:tcPr>
            <w:tcW w:w="0" w:type="dxa"/>
            <w:vAlign w:val="bottom"/>
          </w:tcPr>
          <w:p>
            <w:pPr>
              <w:spacing w:after="0"/>
              <w:rPr>
                <w:sz w:val="1"/>
                <w:szCs w:val="1"/>
                <w:color w:val="auto"/>
              </w:rPr>
            </w:pPr>
          </w:p>
        </w:tc>
      </w:tr>
      <w:tr>
        <w:trPr>
          <w:trHeight w:val="172"/>
        </w:trPr>
        <w:tc>
          <w:tcPr>
            <w:tcW w:w="5320" w:type="dxa"/>
            <w:vAlign w:val="bottom"/>
            <w:shd w:val="clear" w:color="auto" w:fill="CCEEFF"/>
          </w:tcPr>
          <w:p>
            <w:pPr>
              <w:ind w:left="660"/>
              <w:spacing w:after="0" w:line="172" w:lineRule="exact"/>
              <w:rPr>
                <w:sz w:val="20"/>
                <w:szCs w:val="20"/>
                <w:color w:val="auto"/>
              </w:rPr>
            </w:pPr>
            <w:r>
              <w:rPr>
                <w:rFonts w:ascii="Arial" w:cs="Arial" w:eastAsia="Arial" w:hAnsi="Arial"/>
                <w:sz w:val="18"/>
                <w:szCs w:val="18"/>
                <w:color w:val="auto"/>
              </w:rPr>
              <w:t>Amortization of inventory fair value adjustment associated</w:t>
            </w:r>
          </w:p>
        </w:tc>
        <w:tc>
          <w:tcPr>
            <w:tcW w:w="200" w:type="dxa"/>
            <w:vAlign w:val="bottom"/>
            <w:shd w:val="clear" w:color="auto" w:fill="CCEEFF"/>
          </w:tcPr>
          <w:p>
            <w:pPr>
              <w:spacing w:after="0"/>
              <w:rPr>
                <w:sz w:val="14"/>
                <w:szCs w:val="14"/>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3,243</w:t>
            </w:r>
          </w:p>
        </w:tc>
        <w:tc>
          <w:tcPr>
            <w:tcW w:w="16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32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4"/>
                <w:szCs w:val="14"/>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194,273</w:t>
            </w:r>
          </w:p>
        </w:tc>
        <w:tc>
          <w:tcPr>
            <w:tcW w:w="18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17,284</w:t>
            </w: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with acquisitions</w:t>
            </w: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32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5320" w:type="dxa"/>
            <w:vAlign w:val="bottom"/>
          </w:tcPr>
          <w:p>
            <w:pPr>
              <w:ind w:left="660"/>
              <w:spacing w:after="0" w:line="172" w:lineRule="exact"/>
              <w:rPr>
                <w:sz w:val="20"/>
                <w:szCs w:val="20"/>
                <w:color w:val="auto"/>
              </w:rPr>
            </w:pPr>
            <w:r>
              <w:rPr>
                <w:rFonts w:ascii="Arial" w:cs="Arial" w:eastAsia="Arial" w:hAnsi="Arial"/>
                <w:sz w:val="18"/>
                <w:szCs w:val="18"/>
                <w:color w:val="auto"/>
              </w:rPr>
              <w:t>Amortization of deferred debt issuance costs and debt</w:t>
            </w:r>
          </w:p>
        </w:tc>
        <w:tc>
          <w:tcPr>
            <w:tcW w:w="200" w:type="dxa"/>
            <w:vAlign w:val="bottom"/>
          </w:tcPr>
          <w:p>
            <w:pPr>
              <w:spacing w:after="0"/>
              <w:rPr>
                <w:sz w:val="14"/>
                <w:szCs w:val="14"/>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2,526</w:t>
            </w:r>
          </w:p>
        </w:tc>
        <w:tc>
          <w:tcPr>
            <w:tcW w:w="1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vMerge w:val="restart"/>
          </w:tcPr>
          <w:p>
            <w:pPr>
              <w:jc w:val="right"/>
              <w:spacing w:after="0"/>
              <w:rPr>
                <w:sz w:val="20"/>
                <w:szCs w:val="20"/>
                <w:color w:val="auto"/>
              </w:rPr>
            </w:pPr>
            <w:r>
              <w:rPr>
                <w:rFonts w:ascii="Arial" w:cs="Arial" w:eastAsia="Arial" w:hAnsi="Arial"/>
                <w:sz w:val="18"/>
                <w:szCs w:val="18"/>
                <w:color w:val="auto"/>
              </w:rPr>
              <w:t>6,809</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21,557</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10,026</w:t>
            </w:r>
          </w:p>
        </w:tc>
        <w:tc>
          <w:tcPr>
            <w:tcW w:w="0" w:type="dxa"/>
            <w:vAlign w:val="bottom"/>
          </w:tcPr>
          <w:p>
            <w:pPr>
              <w:spacing w:after="0"/>
              <w:rPr>
                <w:sz w:val="1"/>
                <w:szCs w:val="1"/>
                <w:color w:val="auto"/>
              </w:rPr>
            </w:pPr>
          </w:p>
        </w:tc>
      </w:tr>
      <w:tr>
        <w:trPr>
          <w:trHeight w:val="222"/>
        </w:trPr>
        <w:tc>
          <w:tcPr>
            <w:tcW w:w="5320" w:type="dxa"/>
            <w:vAlign w:val="bottom"/>
          </w:tcPr>
          <w:p>
            <w:pPr>
              <w:ind w:left="660"/>
              <w:spacing w:after="0"/>
              <w:rPr>
                <w:sz w:val="20"/>
                <w:szCs w:val="20"/>
                <w:color w:val="auto"/>
              </w:rPr>
            </w:pPr>
            <w:r>
              <w:rPr>
                <w:rFonts w:ascii="Arial" w:cs="Arial" w:eastAsia="Arial" w:hAnsi="Arial"/>
                <w:sz w:val="18"/>
                <w:szCs w:val="18"/>
                <w:color w:val="auto"/>
              </w:rPr>
              <w:t>discounts</w:t>
            </w:r>
          </w:p>
        </w:tc>
        <w:tc>
          <w:tcPr>
            <w:tcW w:w="20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995</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7,344</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6,200</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130,903</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(26,324)</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(39,906)</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(93,894)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(39,491)</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5,475</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69,163</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24,923</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Accounts receivable</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(67,635)</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(46,397)</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(409,079)</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(44,322)</w:t>
            </w:r>
          </w:p>
        </w:tc>
        <w:tc>
          <w:tcPr>
            <w:tcW w:w="0" w:type="dxa"/>
            <w:vAlign w:val="bottom"/>
          </w:tcPr>
          <w:p>
            <w:pPr>
              <w:spacing w:after="0"/>
              <w:rPr>
                <w:sz w:val="1"/>
                <w:szCs w:val="1"/>
                <w:color w:val="auto"/>
              </w:rPr>
            </w:pPr>
          </w:p>
        </w:tc>
      </w:tr>
      <w:tr>
        <w:trPr>
          <w:trHeight w:val="223"/>
        </w:trPr>
        <w:tc>
          <w:tcPr>
            <w:tcW w:w="5320" w:type="dxa"/>
            <w:vAlign w:val="bottom"/>
          </w:tcPr>
          <w:p>
            <w:pPr>
              <w:ind w:left="1080"/>
              <w:spacing w:after="0"/>
              <w:rPr>
                <w:sz w:val="20"/>
                <w:szCs w:val="20"/>
                <w:color w:val="auto"/>
              </w:rPr>
            </w:pPr>
            <w:r>
              <w:rPr>
                <w:rFonts w:ascii="Arial" w:cs="Arial" w:eastAsia="Arial" w:hAnsi="Arial"/>
                <w:sz w:val="18"/>
                <w:szCs w:val="18"/>
                <w:color w:val="auto"/>
              </w:rPr>
              <w:t>Inventories</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(91,211)</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96</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(291,886)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29,913</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(96,467)</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(32,942)</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(161,806)</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(41,634)</w:t>
            </w:r>
          </w:p>
        </w:tc>
        <w:tc>
          <w:tcPr>
            <w:tcW w:w="0" w:type="dxa"/>
            <w:vAlign w:val="bottom"/>
          </w:tcPr>
          <w:p>
            <w:pPr>
              <w:spacing w:after="0"/>
              <w:rPr>
                <w:sz w:val="1"/>
                <w:szCs w:val="1"/>
                <w:color w:val="auto"/>
              </w:rPr>
            </w:pPr>
          </w:p>
        </w:tc>
      </w:tr>
      <w:tr>
        <w:trPr>
          <w:trHeight w:val="223"/>
        </w:trPr>
        <w:tc>
          <w:tcPr>
            <w:tcW w:w="5320" w:type="dxa"/>
            <w:vAlign w:val="bottom"/>
          </w:tcPr>
          <w:p>
            <w:pPr>
              <w:ind w:left="1080"/>
              <w:spacing w:after="0"/>
              <w:rPr>
                <w:sz w:val="20"/>
                <w:szCs w:val="20"/>
                <w:color w:val="auto"/>
              </w:rPr>
            </w:pPr>
            <w:r>
              <w:rPr>
                <w:rFonts w:ascii="Arial" w:cs="Arial" w:eastAsia="Arial" w:hAnsi="Arial"/>
                <w:sz w:val="18"/>
                <w:szCs w:val="18"/>
                <w:color w:val="auto"/>
              </w:rPr>
              <w:t>Accounts payable</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(631)</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4,895</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93,157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39,663</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84,152</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17,795</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77,148</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44,612</w:t>
            </w:r>
          </w:p>
        </w:tc>
        <w:tc>
          <w:tcPr>
            <w:tcW w:w="0" w:type="dxa"/>
            <w:vAlign w:val="bottom"/>
          </w:tcPr>
          <w:p>
            <w:pPr>
              <w:spacing w:after="0"/>
              <w:rPr>
                <w:sz w:val="1"/>
                <w:szCs w:val="1"/>
                <w:color w:val="auto"/>
              </w:rPr>
            </w:pPr>
          </w:p>
        </w:tc>
      </w:tr>
      <w:tr>
        <w:trPr>
          <w:trHeight w:val="223"/>
        </w:trPr>
        <w:tc>
          <w:tcPr>
            <w:tcW w:w="532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16,599</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1,439</w:t>
            </w:r>
          </w:p>
        </w:tc>
        <w:tc>
          <w:tcPr>
            <w:tcW w:w="2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29,579</w:t>
            </w:r>
          </w:p>
        </w:tc>
        <w:tc>
          <w:tcPr>
            <w:tcW w:w="18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39,641</w:t>
            </w: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operating activities</w:t>
            </w:r>
          </w:p>
        </w:tc>
        <w:tc>
          <w:tcPr>
            <w:tcW w:w="20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346,323</w:t>
            </w:r>
          </w:p>
        </w:tc>
        <w:tc>
          <w:tcPr>
            <w:tcW w:w="16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158,295</w:t>
            </w:r>
          </w:p>
        </w:tc>
        <w:tc>
          <w:tcPr>
            <w:tcW w:w="2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819,368</w:t>
            </w:r>
          </w:p>
        </w:tc>
        <w:tc>
          <w:tcPr>
            <w:tcW w:w="180" w:type="dxa"/>
            <w:vAlign w:val="bottom"/>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817,287</w:t>
            </w:r>
          </w:p>
        </w:tc>
        <w:tc>
          <w:tcPr>
            <w:tcW w:w="0" w:type="dxa"/>
            <w:vAlign w:val="bottom"/>
          </w:tcPr>
          <w:p>
            <w:pPr>
              <w:spacing w:after="0"/>
              <w:rPr>
                <w:sz w:val="1"/>
                <w:szCs w:val="1"/>
                <w:color w:val="auto"/>
              </w:rPr>
            </w:pPr>
          </w:p>
        </w:tc>
      </w:tr>
      <w:tr>
        <w:trPr>
          <w:trHeight w:val="203"/>
        </w:trPr>
        <w:tc>
          <w:tcPr>
            <w:tcW w:w="532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(8,426)</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(4,232)</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(17,797)</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(12,708)</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(38,841)</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(18,556)</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(169,324)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(106,798)</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Acquisitions, net of cash acquired</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(15,207)</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(3,554,936)</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53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net</w:t>
            </w: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(616)</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w:t>
            </w:r>
          </w:p>
        </w:tc>
        <w:tc>
          <w:tcPr>
            <w:tcW w:w="2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(3,073)</w:t>
            </w:r>
          </w:p>
        </w:tc>
        <w:tc>
          <w:tcPr>
            <w:tcW w:w="18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used in investing activities</w:t>
            </w:r>
          </w:p>
        </w:tc>
        <w:tc>
          <w:tcPr>
            <w:tcW w:w="20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(63,090)</w:t>
            </w:r>
          </w:p>
        </w:tc>
        <w:tc>
          <w:tcPr>
            <w:tcW w:w="16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(23,149)</w:t>
            </w:r>
          </w:p>
        </w:tc>
        <w:tc>
          <w:tcPr>
            <w:tcW w:w="2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(3,745,130)</w:t>
            </w:r>
          </w:p>
        </w:tc>
        <w:tc>
          <w:tcPr>
            <w:tcW w:w="180" w:type="dxa"/>
            <w:vAlign w:val="bottom"/>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(119,644)</w:t>
            </w:r>
          </w:p>
        </w:tc>
        <w:tc>
          <w:tcPr>
            <w:tcW w:w="0" w:type="dxa"/>
            <w:vAlign w:val="bottom"/>
          </w:tcPr>
          <w:p>
            <w:pPr>
              <w:spacing w:after="0"/>
              <w:rPr>
                <w:sz w:val="1"/>
                <w:szCs w:val="1"/>
                <w:color w:val="auto"/>
              </w:rPr>
            </w:pPr>
          </w:p>
        </w:tc>
      </w:tr>
      <w:tr>
        <w:trPr>
          <w:trHeight w:val="203"/>
        </w:trPr>
        <w:tc>
          <w:tcPr>
            <w:tcW w:w="532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41,700</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36,145</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84,484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86,635</w:t>
            </w:r>
          </w:p>
        </w:tc>
        <w:tc>
          <w:tcPr>
            <w:tcW w:w="0" w:type="dxa"/>
            <w:vAlign w:val="bottom"/>
          </w:tcPr>
          <w:p>
            <w:pPr>
              <w:spacing w:after="0"/>
              <w:rPr>
                <w:sz w:val="1"/>
                <w:szCs w:val="1"/>
                <w:color w:val="auto"/>
              </w:rPr>
            </w:pPr>
          </w:p>
        </w:tc>
      </w:tr>
      <w:tr>
        <w:trPr>
          <w:trHeight w:val="172"/>
        </w:trPr>
        <w:tc>
          <w:tcPr>
            <w:tcW w:w="5320" w:type="dxa"/>
            <w:vAlign w:val="bottom"/>
            <w:shd w:val="clear" w:color="auto" w:fill="CCEEFF"/>
          </w:tcPr>
          <w:p>
            <w:pPr>
              <w:ind w:left="660"/>
              <w:spacing w:after="0" w:line="172" w:lineRule="exact"/>
              <w:rPr>
                <w:sz w:val="20"/>
                <w:szCs w:val="20"/>
                <w:color w:val="auto"/>
              </w:rPr>
            </w:pPr>
            <w:r>
              <w:rPr>
                <w:rFonts w:ascii="Arial" w:cs="Arial" w:eastAsia="Arial" w:hAnsi="Arial"/>
                <w:sz w:val="18"/>
                <w:szCs w:val="18"/>
                <w:color w:val="auto"/>
              </w:rPr>
              <w:t>Tax withholding paid on behalf of employees for net share</w:t>
            </w:r>
          </w:p>
        </w:tc>
        <w:tc>
          <w:tcPr>
            <w:tcW w:w="200" w:type="dxa"/>
            <w:vAlign w:val="bottom"/>
            <w:shd w:val="clear" w:color="auto" w:fill="CCEEFF"/>
          </w:tcPr>
          <w:p>
            <w:pPr>
              <w:spacing w:after="0"/>
              <w:rPr>
                <w:sz w:val="14"/>
                <w:szCs w:val="14"/>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(136,656)</w:t>
            </w:r>
          </w:p>
        </w:tc>
        <w:tc>
          <w:tcPr>
            <w:tcW w:w="16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1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(25,468)</w:t>
            </w:r>
          </w:p>
        </w:tc>
        <w:tc>
          <w:tcPr>
            <w:tcW w:w="2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(305,657)</w:t>
            </w:r>
          </w:p>
        </w:tc>
        <w:tc>
          <w:tcPr>
            <w:tcW w:w="18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(108,094)</w:t>
            </w: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settlement</w:t>
            </w: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Dividend payments to stockholders</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(50,731)</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(40,463)</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(191,049)</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(160,574)</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(36,577)</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(23,224)</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(134,435)</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(100,018)</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Proceeds from issuance of debt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90,000</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3,896,096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(100,938)</w:t>
            </w:r>
          </w:p>
        </w:tc>
        <w:tc>
          <w:tcPr>
            <w:tcW w:w="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(526,876)</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(250,000)</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w w:val="95"/>
              </w:rPr>
              <w:t>Payment for repurchases and settlement of convertible notes</w:t>
            </w:r>
          </w:p>
        </w:tc>
        <w:tc>
          <w:tcPr>
            <w:tcW w:w="200" w:type="dxa"/>
            <w:vAlign w:val="bottom"/>
          </w:tcPr>
          <w:p>
            <w:pPr>
              <w:spacing w:after="0"/>
              <w:rPr>
                <w:sz w:val="19"/>
                <w:szCs w:val="19"/>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(181,207)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capped calls</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160,319</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5320" w:type="dxa"/>
            <w:vAlign w:val="bottom"/>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tcPr>
          <w:p>
            <w:pPr>
              <w:spacing w:after="0"/>
              <w:rPr>
                <w:sz w:val="19"/>
                <w:szCs w:val="19"/>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(15,710)</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(11,850)</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(38,023)</w:t>
            </w:r>
          </w:p>
        </w:tc>
        <w:tc>
          <w:tcPr>
            <w:tcW w:w="0" w:type="dxa"/>
            <w:vAlign w:val="bottom"/>
          </w:tcPr>
          <w:p>
            <w:pPr>
              <w:spacing w:after="0"/>
              <w:rPr>
                <w:sz w:val="1"/>
                <w:szCs w:val="1"/>
                <w:color w:val="auto"/>
              </w:rPr>
            </w:pPr>
          </w:p>
        </w:tc>
      </w:tr>
      <w:tr>
        <w:trPr>
          <w:trHeight w:val="224"/>
        </w:trPr>
        <w:tc>
          <w:tcPr>
            <w:tcW w:w="53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1,003</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(1,504)</w:t>
            </w:r>
          </w:p>
        </w:tc>
        <w:tc>
          <w:tcPr>
            <w:tcW w:w="0" w:type="dxa"/>
            <w:vAlign w:val="bottom"/>
          </w:tcPr>
          <w:p>
            <w:pPr>
              <w:spacing w:after="0"/>
              <w:rPr>
                <w:sz w:val="1"/>
                <w:szCs w:val="1"/>
                <w:color w:val="auto"/>
              </w:rPr>
            </w:pPr>
          </w:p>
        </w:tc>
      </w:tr>
      <w:tr>
        <w:trPr>
          <w:trHeight w:val="216"/>
        </w:trPr>
        <w:tc>
          <w:tcPr>
            <w:tcW w:w="5320" w:type="dxa"/>
            <w:vAlign w:val="bottom"/>
            <w:tcBorders>
              <w:bottom w:val="single" w:sz="8" w:color="CCEEFF"/>
            </w:tcBorders>
          </w:tcPr>
          <w:p>
            <w:pPr>
              <w:ind w:left="1480"/>
              <w:spacing w:after="0" w:line="203" w:lineRule="exact"/>
              <w:rPr>
                <w:sz w:val="20"/>
                <w:szCs w:val="20"/>
                <w:color w:val="auto"/>
              </w:rPr>
            </w:pPr>
            <w:r>
              <w:rPr>
                <w:rFonts w:ascii="Arial" w:cs="Arial" w:eastAsia="Arial" w:hAnsi="Arial"/>
                <w:sz w:val="18"/>
                <w:szCs w:val="18"/>
                <w:color w:val="auto"/>
                <w:w w:val="96"/>
              </w:rPr>
              <w:t>Net cash provided by (used in) financing activities</w:t>
            </w:r>
          </w:p>
        </w:tc>
        <w:tc>
          <w:tcPr>
            <w:tcW w:w="20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(193,202)</w:t>
            </w:r>
          </w:p>
        </w:tc>
        <w:tc>
          <w:tcPr>
            <w:tcW w:w="16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(218,720)</w:t>
            </w:r>
          </w:p>
        </w:tc>
        <w:tc>
          <w:tcPr>
            <w:tcW w:w="20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2,790,828</w:t>
            </w:r>
          </w:p>
        </w:tc>
        <w:tc>
          <w:tcPr>
            <w:tcW w:w="180" w:type="dxa"/>
            <w:vAlign w:val="bottom"/>
            <w:tcBorders>
              <w:bottom w:val="single" w:sz="8" w:color="CCEEFF"/>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(596,780)</w:t>
            </w: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90,031</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(83,574)</w:t>
            </w: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(134,934)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100,863</w:t>
            </w:r>
          </w:p>
        </w:tc>
        <w:tc>
          <w:tcPr>
            <w:tcW w:w="0" w:type="dxa"/>
            <w:vAlign w:val="bottom"/>
          </w:tcPr>
          <w:p>
            <w:pPr>
              <w:spacing w:after="0"/>
              <w:rPr>
                <w:sz w:val="1"/>
                <w:szCs w:val="1"/>
                <w:color w:val="auto"/>
              </w:rPr>
            </w:pPr>
          </w:p>
        </w:tc>
      </w:tr>
      <w:tr>
        <w:trPr>
          <w:trHeight w:val="223"/>
        </w:trPr>
        <w:tc>
          <w:tcPr>
            <w:tcW w:w="532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523,502</w:t>
            </w:r>
          </w:p>
        </w:tc>
        <w:tc>
          <w:tcPr>
            <w:tcW w:w="16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832,041</w:t>
            </w:r>
          </w:p>
        </w:tc>
        <w:tc>
          <w:tcPr>
            <w:tcW w:w="2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18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c>
          <w:tcPr>
            <w:tcW w:w="0" w:type="dxa"/>
            <w:vAlign w:val="bottom"/>
          </w:tcPr>
          <w:p>
            <w:pPr>
              <w:spacing w:after="0"/>
              <w:rPr>
                <w:sz w:val="1"/>
                <w:szCs w:val="1"/>
                <w:color w:val="auto"/>
              </w:rPr>
            </w:pPr>
          </w:p>
        </w:tc>
      </w:tr>
      <w:tr>
        <w:trPr>
          <w:trHeight w:val="242"/>
        </w:trPr>
        <w:tc>
          <w:tcPr>
            <w:tcW w:w="532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613,533</w:t>
            </w:r>
          </w:p>
        </w:tc>
        <w:tc>
          <w:tcPr>
            <w:tcW w:w="16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2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613,533</w:t>
            </w:r>
          </w:p>
        </w:tc>
        <w:tc>
          <w:tcPr>
            <w:tcW w:w="18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0" w:type="dxa"/>
            <w:vAlign w:val="bottom"/>
          </w:tcPr>
          <w:p>
            <w:pPr>
              <w:spacing w:after="0"/>
              <w:rPr>
                <w:sz w:val="1"/>
                <w:szCs w:val="1"/>
                <w:color w:val="auto"/>
              </w:rPr>
            </w:pPr>
          </w:p>
        </w:tc>
      </w:tr>
      <w:tr>
        <w:trPr>
          <w:trHeight w:val="20"/>
        </w:trPr>
        <w:tc>
          <w:tcPr>
            <w:tcW w:w="5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343" w:right="339" w:bottom="1440" w:gutter="0" w:footer="0" w:header="0"/>
        </w:sectPr>
      </w:pPr>
    </w:p>
    <w:bookmarkStart w:id="10" w:name="page11"/>
    <w:bookmarkEnd w:id="10"/>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37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37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6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rPr>
              <w:t>January 29,</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October 30,</w:t>
            </w:r>
          </w:p>
        </w:tc>
        <w:tc>
          <w:tcPr>
            <w:tcW w:w="200" w:type="dxa"/>
            <w:vAlign w:val="bottom"/>
          </w:tcPr>
          <w:p>
            <w:pPr>
              <w:spacing w:after="0"/>
              <w:rPr>
                <w:sz w:val="11"/>
                <w:szCs w:val="11"/>
                <w:color w:val="auto"/>
              </w:rPr>
            </w:pPr>
          </w:p>
        </w:tc>
        <w:tc>
          <w:tcPr>
            <w:tcW w:w="110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January 30,</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340" w:type="dxa"/>
            <w:vAlign w:val="bottom"/>
            <w:gridSpan w:val="2"/>
          </w:tcPr>
          <w:p>
            <w:pPr>
              <w:ind w:left="120"/>
              <w:spacing w:after="0" w:line="130" w:lineRule="exact"/>
              <w:rPr>
                <w:sz w:val="20"/>
                <w:szCs w:val="20"/>
                <w:color w:val="auto"/>
              </w:rPr>
            </w:pPr>
            <w:r>
              <w:rPr>
                <w:rFonts w:ascii="Arial" w:cs="Arial" w:eastAsia="Arial" w:hAnsi="Arial"/>
                <w:sz w:val="14"/>
                <w:szCs w:val="14"/>
                <w:b w:val="1"/>
                <w:bCs w:val="1"/>
                <w:color w:val="auto"/>
              </w:rPr>
              <w:t>January 29,</w:t>
            </w:r>
          </w:p>
        </w:tc>
        <w:tc>
          <w:tcPr>
            <w:tcW w:w="300" w:type="dxa"/>
            <w:vAlign w:val="bottom"/>
          </w:tcPr>
          <w:p>
            <w:pPr>
              <w:spacing w:after="0"/>
              <w:rPr>
                <w:sz w:val="11"/>
                <w:szCs w:val="11"/>
                <w:color w:val="auto"/>
              </w:rPr>
            </w:pPr>
          </w:p>
        </w:tc>
        <w:tc>
          <w:tcPr>
            <w:tcW w:w="1080" w:type="dxa"/>
            <w:vAlign w:val="bottom"/>
          </w:tcPr>
          <w:p>
            <w:pPr>
              <w:jc w:val="right"/>
              <w:ind w:right="254"/>
              <w:spacing w:after="0" w:line="130" w:lineRule="exact"/>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83"/>
        </w:trPr>
        <w:tc>
          <w:tcPr>
            <w:tcW w:w="372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6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2022</w:t>
            </w:r>
          </w:p>
        </w:tc>
        <w:tc>
          <w:tcPr>
            <w:tcW w:w="1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1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2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2022</w:t>
            </w:r>
          </w:p>
        </w:tc>
        <w:tc>
          <w:tcPr>
            <w:tcW w:w="160" w:type="dxa"/>
            <w:vAlign w:val="bottom"/>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08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33"/>
        </w:trPr>
        <w:tc>
          <w:tcPr>
            <w:tcW w:w="3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3"/>
        </w:trPr>
        <w:tc>
          <w:tcPr>
            <w:tcW w:w="37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GAAP gross profit:</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686,434</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587,820</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421,132</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2,064,225</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0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1,488,350</w:t>
            </w:r>
          </w:p>
        </w:tc>
        <w:tc>
          <w:tcPr>
            <w:tcW w:w="0" w:type="dxa"/>
            <w:vAlign w:val="bottom"/>
          </w:tcPr>
          <w:p>
            <w:pPr>
              <w:spacing w:after="0"/>
              <w:rPr>
                <w:sz w:val="1"/>
                <w:szCs w:val="1"/>
                <w:color w:val="auto"/>
              </w:rPr>
            </w:pPr>
          </w:p>
        </w:tc>
      </w:tr>
      <w:tr>
        <w:trPr>
          <w:trHeight w:val="223"/>
        </w:trPr>
        <w:tc>
          <w:tcPr>
            <w:tcW w:w="3720" w:type="dxa"/>
            <w:vAlign w:val="bottom"/>
          </w:tcPr>
          <w:p>
            <w:pPr>
              <w:ind w:left="20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9,243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9,370</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4,265</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31,081</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16,320</w:t>
            </w:r>
          </w:p>
        </w:tc>
        <w:tc>
          <w:tcPr>
            <w:tcW w:w="0" w:type="dxa"/>
            <w:vAlign w:val="bottom"/>
          </w:tcPr>
          <w:p>
            <w:pPr>
              <w:spacing w:after="0"/>
              <w:rPr>
                <w:sz w:val="1"/>
                <w:szCs w:val="1"/>
                <w:color w:val="auto"/>
              </w:rPr>
            </w:pPr>
          </w:p>
        </w:tc>
      </w:tr>
      <w:tr>
        <w:trPr>
          <w:trHeight w:val="172"/>
        </w:trPr>
        <w:tc>
          <w:tcPr>
            <w:tcW w:w="3720" w:type="dxa"/>
            <w:vAlign w:val="bottom"/>
          </w:tcPr>
          <w:p>
            <w:pPr>
              <w:ind w:left="640"/>
              <w:spacing w:after="0" w:line="172"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4"/>
                <w:szCs w:val="14"/>
                <w:color w:val="auto"/>
              </w:rPr>
            </w:pPr>
          </w:p>
        </w:tc>
        <w:tc>
          <w:tcPr>
            <w:tcW w:w="1160" w:type="dxa"/>
            <w:vAlign w:val="bottom"/>
            <w:vMerge w:val="restart"/>
          </w:tcPr>
          <w:p>
            <w:pPr>
              <w:jc w:val="right"/>
              <w:ind w:right="134"/>
              <w:spacing w:after="0"/>
              <w:rPr>
                <w:sz w:val="20"/>
                <w:szCs w:val="20"/>
                <w:color w:val="auto"/>
              </w:rPr>
            </w:pPr>
            <w:r>
              <w:rPr>
                <w:rFonts w:ascii="Arial" w:cs="Arial" w:eastAsia="Arial" w:hAnsi="Arial"/>
                <w:sz w:val="18"/>
                <w:szCs w:val="18"/>
                <w:color w:val="auto"/>
              </w:rPr>
              <w:t>178,725</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vMerge w:val="restart"/>
          </w:tcPr>
          <w:p>
            <w:pPr>
              <w:jc w:val="right"/>
              <w:ind w:right="134"/>
              <w:spacing w:after="0"/>
              <w:rPr>
                <w:sz w:val="20"/>
                <w:szCs w:val="20"/>
                <w:color w:val="auto"/>
              </w:rPr>
            </w:pPr>
            <w:r>
              <w:rPr>
                <w:rFonts w:ascii="Arial" w:cs="Arial" w:eastAsia="Arial" w:hAnsi="Arial"/>
                <w:sz w:val="18"/>
                <w:szCs w:val="18"/>
                <w:color w:val="auto"/>
              </w:rPr>
              <w:t>169,691</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vMerge w:val="restart"/>
          </w:tcPr>
          <w:p>
            <w:pPr>
              <w:jc w:val="right"/>
              <w:ind w:right="134"/>
              <w:spacing w:after="0"/>
              <w:rPr>
                <w:sz w:val="20"/>
                <w:szCs w:val="20"/>
                <w:color w:val="auto"/>
              </w:rPr>
            </w:pPr>
            <w:r>
              <w:rPr>
                <w:rFonts w:ascii="Arial" w:cs="Arial" w:eastAsia="Arial" w:hAnsi="Arial"/>
                <w:sz w:val="18"/>
                <w:szCs w:val="18"/>
                <w:color w:val="auto"/>
              </w:rPr>
              <w:t>83,327</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vMerge w:val="restart"/>
          </w:tcPr>
          <w:p>
            <w:pPr>
              <w:jc w:val="right"/>
              <w:ind w:right="134"/>
              <w:spacing w:after="0"/>
              <w:rPr>
                <w:sz w:val="20"/>
                <w:szCs w:val="20"/>
                <w:color w:val="auto"/>
              </w:rPr>
            </w:pPr>
            <w:r>
              <w:rPr>
                <w:rFonts w:ascii="Arial" w:cs="Arial" w:eastAsia="Arial" w:hAnsi="Arial"/>
                <w:sz w:val="18"/>
                <w:szCs w:val="18"/>
                <w:color w:val="auto"/>
              </w:rPr>
              <w:t>609,481</w:t>
            </w: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80" w:type="dxa"/>
            <w:vAlign w:val="bottom"/>
            <w:vMerge w:val="restart"/>
          </w:tcPr>
          <w:p>
            <w:pPr>
              <w:jc w:val="right"/>
              <w:ind w:right="134"/>
              <w:spacing w:after="0"/>
              <w:rPr>
                <w:sz w:val="20"/>
                <w:szCs w:val="20"/>
                <w:color w:val="auto"/>
              </w:rPr>
            </w:pPr>
            <w:r>
              <w:rPr>
                <w:rFonts w:ascii="Arial" w:cs="Arial" w:eastAsia="Arial" w:hAnsi="Arial"/>
                <w:sz w:val="18"/>
                <w:szCs w:val="18"/>
                <w:color w:val="auto"/>
              </w:rPr>
              <w:t>338,197</w:t>
            </w:r>
          </w:p>
        </w:tc>
        <w:tc>
          <w:tcPr>
            <w:tcW w:w="0" w:type="dxa"/>
            <w:vAlign w:val="bottom"/>
          </w:tcPr>
          <w:p>
            <w:pPr>
              <w:spacing w:after="0"/>
              <w:rPr>
                <w:sz w:val="1"/>
                <w:szCs w:val="1"/>
                <w:color w:val="auto"/>
              </w:rPr>
            </w:pPr>
          </w:p>
        </w:tc>
      </w:tr>
      <w:tr>
        <w:trPr>
          <w:trHeight w:val="222"/>
        </w:trPr>
        <w:tc>
          <w:tcPr>
            <w:tcW w:w="3720" w:type="dxa"/>
            <w:vAlign w:val="bottom"/>
          </w:tcPr>
          <w:p>
            <w:pPr>
              <w:ind w:left="64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Other cost of goods sold (a)</w:t>
            </w:r>
          </w:p>
        </w:tc>
        <w:tc>
          <w:tcPr>
            <w:tcW w:w="20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2,490</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21,470</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796</w:t>
            </w:r>
          </w:p>
        </w:tc>
        <w:tc>
          <w:tcPr>
            <w:tcW w:w="2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193,523</w:t>
            </w:r>
          </w:p>
        </w:tc>
        <w:tc>
          <w:tcPr>
            <w:tcW w:w="16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35,284</w:t>
            </w:r>
          </w:p>
        </w:tc>
        <w:tc>
          <w:tcPr>
            <w:tcW w:w="0" w:type="dxa"/>
            <w:vAlign w:val="bottom"/>
          </w:tcPr>
          <w:p>
            <w:pPr>
              <w:spacing w:after="0"/>
              <w:rPr>
                <w:sz w:val="1"/>
                <w:szCs w:val="1"/>
                <w:color w:val="auto"/>
              </w:rPr>
            </w:pPr>
          </w:p>
        </w:tc>
      </w:tr>
      <w:tr>
        <w:trPr>
          <w:trHeight w:val="216"/>
        </w:trPr>
        <w:tc>
          <w:tcPr>
            <w:tcW w:w="3720" w:type="dxa"/>
            <w:vAlign w:val="bottom"/>
            <w:tcBorders>
              <w:bottom w:val="single" w:sz="8" w:color="CCEEFF"/>
            </w:tcBorders>
          </w:tcPr>
          <w:p>
            <w:pPr>
              <w:ind w:left="200"/>
              <w:spacing w:after="0" w:line="203" w:lineRule="exact"/>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190,458</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200,531</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88,388</w:t>
            </w:r>
          </w:p>
        </w:tc>
        <w:tc>
          <w:tcPr>
            <w:tcW w:w="2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8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834,085</w:t>
            </w:r>
          </w:p>
        </w:tc>
        <w:tc>
          <w:tcPr>
            <w:tcW w:w="16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389,801</w:t>
            </w:r>
          </w:p>
        </w:tc>
        <w:tc>
          <w:tcPr>
            <w:tcW w:w="0" w:type="dxa"/>
            <w:vAlign w:val="bottom"/>
          </w:tcPr>
          <w:p>
            <w:pPr>
              <w:spacing w:after="0"/>
              <w:rPr>
                <w:sz w:val="1"/>
                <w:szCs w:val="1"/>
                <w:color w:val="auto"/>
              </w:rPr>
            </w:pPr>
          </w:p>
        </w:tc>
      </w:tr>
      <w:tr>
        <w:trPr>
          <w:trHeight w:val="237"/>
        </w:trPr>
        <w:tc>
          <w:tcPr>
            <w:tcW w:w="3720" w:type="dxa"/>
            <w:vAlign w:val="bottom"/>
            <w:shd w:val="clear" w:color="auto" w:fill="CCEEFF"/>
          </w:tcPr>
          <w:p>
            <w:pPr>
              <w:ind w:left="200"/>
              <w:spacing w:after="0" w:line="203" w:lineRule="exact"/>
              <w:rPr>
                <w:sz w:val="20"/>
                <w:szCs w:val="20"/>
                <w:color w:val="auto"/>
              </w:rPr>
            </w:pPr>
            <w:r>
              <w:rPr>
                <w:rFonts w:ascii="Arial" w:cs="Arial" w:eastAsia="Arial" w:hAnsi="Arial"/>
                <w:sz w:val="18"/>
                <w:szCs w:val="18"/>
                <w:color w:val="auto"/>
              </w:rPr>
              <w:t>Non-GAAP gross profit</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876,892</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788,351</w:t>
            </w:r>
          </w:p>
        </w:tc>
        <w:tc>
          <w:tcPr>
            <w:tcW w:w="14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509,520</w:t>
            </w:r>
          </w:p>
        </w:tc>
        <w:tc>
          <w:tcPr>
            <w:tcW w:w="24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2,898,310</w:t>
            </w:r>
          </w:p>
        </w:tc>
        <w:tc>
          <w:tcPr>
            <w:tcW w:w="16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10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1,878,151</w:t>
            </w:r>
          </w:p>
        </w:tc>
        <w:tc>
          <w:tcPr>
            <w:tcW w:w="0" w:type="dxa"/>
            <w:vAlign w:val="bottom"/>
          </w:tcPr>
          <w:p>
            <w:pPr>
              <w:spacing w:after="0"/>
              <w:rPr>
                <w:sz w:val="1"/>
                <w:szCs w:val="1"/>
                <w:color w:val="auto"/>
              </w:rPr>
            </w:pPr>
          </w:p>
        </w:tc>
      </w:tr>
      <w:tr>
        <w:trPr>
          <w:trHeight w:val="20"/>
        </w:trPr>
        <w:tc>
          <w:tcPr>
            <w:tcW w:w="37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37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GAAP gross margin</w:t>
            </w:r>
          </w:p>
        </w:tc>
        <w:tc>
          <w:tcPr>
            <w:tcW w:w="200" w:type="dxa"/>
            <w:vAlign w:val="bottom"/>
            <w:tcBorders>
              <w:bottom w:val="single" w:sz="8" w:color="auto"/>
            </w:tcBorders>
            <w:shd w:val="clear" w:color="auto" w:fill="CCEEFF"/>
          </w:tcPr>
          <w:p>
            <w:pPr>
              <w:spacing w:after="0"/>
              <w:rPr>
                <w:sz w:val="21"/>
                <w:szCs w:val="21"/>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51.1 %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48.5 %</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52.8 %</w:t>
            </w:r>
          </w:p>
        </w:tc>
        <w:tc>
          <w:tcPr>
            <w:tcW w:w="2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46.3 %</w:t>
            </w:r>
          </w:p>
        </w:tc>
        <w:tc>
          <w:tcPr>
            <w:tcW w:w="16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50.1 %</w:t>
            </w:r>
          </w:p>
        </w:tc>
        <w:tc>
          <w:tcPr>
            <w:tcW w:w="0" w:type="dxa"/>
            <w:vAlign w:val="bottom"/>
          </w:tcPr>
          <w:p>
            <w:pPr>
              <w:spacing w:after="0"/>
              <w:rPr>
                <w:sz w:val="1"/>
                <w:szCs w:val="1"/>
                <w:color w:val="auto"/>
              </w:rPr>
            </w:pPr>
          </w:p>
        </w:tc>
      </w:tr>
      <w:tr>
        <w:trPr>
          <w:trHeight w:val="20"/>
        </w:trPr>
        <w:tc>
          <w:tcPr>
            <w:tcW w:w="3720" w:type="dxa"/>
            <w:vAlign w:val="bottom"/>
            <w:tcBorders>
              <w:top w:val="single" w:sz="8" w:color="CCEEFF"/>
              <w:bottom w:val="single" w:sz="8" w:color="CCEEFF"/>
            </w:tcBorders>
            <w:vMerge w:val="restart"/>
          </w:tcPr>
          <w:p>
            <w:pPr>
              <w:ind w:left="200"/>
              <w:spacing w:after="0"/>
              <w:rPr>
                <w:sz w:val="20"/>
                <w:szCs w:val="20"/>
                <w:color w:val="auto"/>
              </w:rPr>
            </w:pPr>
            <w:r>
              <w:rPr>
                <w:rFonts w:ascii="Arial" w:cs="Arial" w:eastAsia="Arial" w:hAnsi="Arial"/>
                <w:sz w:val="18"/>
                <w:szCs w:val="18"/>
                <w:color w:val="auto"/>
              </w:rPr>
              <w:t>Non-GAAP gross margin</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720" w:type="dxa"/>
            <w:vAlign w:val="bottom"/>
            <w:vMerge w:val="continue"/>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65.3 %</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65.1 %</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63.9 %</w:t>
            </w:r>
          </w:p>
        </w:tc>
        <w:tc>
          <w:tcPr>
            <w:tcW w:w="2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64.9 %</w:t>
            </w:r>
          </w:p>
        </w:tc>
        <w:tc>
          <w:tcPr>
            <w:tcW w:w="16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63.3 %</w:t>
            </w:r>
          </w:p>
        </w:tc>
        <w:tc>
          <w:tcPr>
            <w:tcW w:w="0" w:type="dxa"/>
            <w:vAlign w:val="bottom"/>
          </w:tcPr>
          <w:p>
            <w:pPr>
              <w:spacing w:after="0"/>
              <w:rPr>
                <w:sz w:val="1"/>
                <w:szCs w:val="1"/>
                <w:color w:val="auto"/>
              </w:rPr>
            </w:pPr>
          </w:p>
        </w:tc>
      </w:tr>
      <w:tr>
        <w:trPr>
          <w:trHeight w:val="20"/>
        </w:trPr>
        <w:tc>
          <w:tcPr>
            <w:tcW w:w="37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37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37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37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6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0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3720" w:type="dxa"/>
            <w:vAlign w:val="bottom"/>
          </w:tcPr>
          <w:p>
            <w:pPr>
              <w:ind w:left="200"/>
              <w:spacing w:after="0"/>
              <w:rPr>
                <w:sz w:val="20"/>
                <w:szCs w:val="20"/>
                <w:color w:val="auto"/>
              </w:rPr>
            </w:pPr>
            <w:r>
              <w:rPr>
                <w:rFonts w:ascii="Arial" w:cs="Arial" w:eastAsia="Arial" w:hAnsi="Arial"/>
                <w:sz w:val="18"/>
                <w:szCs w:val="18"/>
                <w:color w:val="auto"/>
              </w:rPr>
              <w:t>Total GAAP operating expenses</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134"/>
              <w:spacing w:after="0"/>
              <w:rPr>
                <w:sz w:val="20"/>
                <w:szCs w:val="20"/>
                <w:color w:val="auto"/>
              </w:rPr>
            </w:pPr>
            <w:r>
              <w:rPr>
                <w:rFonts w:ascii="Arial" w:cs="Arial" w:eastAsia="Arial" w:hAnsi="Arial"/>
                <w:sz w:val="18"/>
                <w:szCs w:val="18"/>
                <w:color w:val="auto"/>
              </w:rPr>
              <w:t>651,782</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34"/>
              <w:spacing w:after="0"/>
              <w:rPr>
                <w:sz w:val="20"/>
                <w:szCs w:val="20"/>
                <w:color w:val="auto"/>
              </w:rPr>
            </w:pPr>
            <w:r>
              <w:rPr>
                <w:rFonts w:ascii="Arial" w:cs="Arial" w:eastAsia="Arial" w:hAnsi="Arial"/>
                <w:sz w:val="18"/>
                <w:szCs w:val="18"/>
                <w:color w:val="auto"/>
              </w:rPr>
              <w:t>621,161</w:t>
            </w:r>
          </w:p>
        </w:tc>
        <w:tc>
          <w:tcPr>
            <w:tcW w:w="14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422,868</w:t>
            </w:r>
          </w:p>
        </w:tc>
        <w:tc>
          <w:tcPr>
            <w:tcW w:w="24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134"/>
              <w:spacing w:after="0"/>
              <w:rPr>
                <w:sz w:val="20"/>
                <w:szCs w:val="20"/>
                <w:color w:val="auto"/>
              </w:rPr>
            </w:pPr>
            <w:r>
              <w:rPr>
                <w:rFonts w:ascii="Arial" w:cs="Arial" w:eastAsia="Arial" w:hAnsi="Arial"/>
                <w:sz w:val="18"/>
                <w:szCs w:val="18"/>
                <w:color w:val="auto"/>
              </w:rPr>
              <w:t>2,411,893</w:t>
            </w:r>
          </w:p>
        </w:tc>
        <w:tc>
          <w:tcPr>
            <w:tcW w:w="160" w:type="dxa"/>
            <w:vAlign w:val="bottom"/>
          </w:tcPr>
          <w:p>
            <w:pPr>
              <w:spacing w:after="0"/>
              <w:rPr>
                <w:sz w:val="19"/>
                <w:szCs w:val="19"/>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1080" w:type="dxa"/>
            <w:vAlign w:val="bottom"/>
          </w:tcPr>
          <w:p>
            <w:pPr>
              <w:jc w:val="right"/>
              <w:ind w:right="134"/>
              <w:spacing w:after="0"/>
              <w:rPr>
                <w:sz w:val="20"/>
                <w:szCs w:val="20"/>
                <w:color w:val="auto"/>
              </w:rPr>
            </w:pPr>
            <w:r>
              <w:rPr>
                <w:rFonts w:ascii="Arial" w:cs="Arial" w:eastAsia="Arial" w:hAnsi="Arial"/>
                <w:sz w:val="18"/>
                <w:szCs w:val="18"/>
                <w:color w:val="auto"/>
              </w:rPr>
              <w:t>1,746,739</w:t>
            </w: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Special items: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3720" w:type="dxa"/>
            <w:vAlign w:val="bottom"/>
          </w:tcPr>
          <w:p>
            <w:pPr>
              <w:ind w:left="64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19"/>
                <w:szCs w:val="19"/>
                <w:color w:val="auto"/>
              </w:rPr>
            </w:pPr>
          </w:p>
        </w:tc>
        <w:tc>
          <w:tcPr>
            <w:tcW w:w="1160" w:type="dxa"/>
            <w:vAlign w:val="bottom"/>
          </w:tcPr>
          <w:p>
            <w:pPr>
              <w:jc w:val="right"/>
              <w:ind w:right="94"/>
              <w:spacing w:after="0"/>
              <w:rPr>
                <w:sz w:val="20"/>
                <w:szCs w:val="20"/>
                <w:color w:val="auto"/>
              </w:rPr>
            </w:pPr>
            <w:r>
              <w:rPr>
                <w:rFonts w:ascii="Arial" w:cs="Arial" w:eastAsia="Arial" w:hAnsi="Arial"/>
                <w:sz w:val="18"/>
                <w:szCs w:val="18"/>
                <w:color w:val="auto"/>
              </w:rPr>
              <w:t>(125,514)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4"/>
              <w:spacing w:after="0"/>
              <w:rPr>
                <w:sz w:val="20"/>
                <w:szCs w:val="20"/>
                <w:color w:val="auto"/>
              </w:rPr>
            </w:pPr>
            <w:r>
              <w:rPr>
                <w:rFonts w:ascii="Arial" w:cs="Arial" w:eastAsia="Arial" w:hAnsi="Arial"/>
                <w:sz w:val="18"/>
                <w:szCs w:val="18"/>
                <w:color w:val="auto"/>
              </w:rPr>
              <w:t>(109,720)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94"/>
              <w:spacing w:after="0"/>
              <w:rPr>
                <w:sz w:val="20"/>
                <w:szCs w:val="20"/>
                <w:color w:val="auto"/>
              </w:rPr>
            </w:pPr>
            <w:r>
              <w:rPr>
                <w:rFonts w:ascii="Arial" w:cs="Arial" w:eastAsia="Arial" w:hAnsi="Arial"/>
                <w:sz w:val="18"/>
                <w:szCs w:val="18"/>
                <w:color w:val="auto"/>
              </w:rPr>
              <w:t>(55,214)</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ind w:right="94"/>
              <w:spacing w:after="0"/>
              <w:rPr>
                <w:sz w:val="20"/>
                <w:szCs w:val="20"/>
                <w:color w:val="auto"/>
              </w:rPr>
            </w:pPr>
            <w:r>
              <w:rPr>
                <w:rFonts w:ascii="Arial" w:cs="Arial" w:eastAsia="Arial" w:hAnsi="Arial"/>
                <w:sz w:val="18"/>
                <w:szCs w:val="18"/>
                <w:color w:val="auto"/>
              </w:rPr>
              <w:t>(446,464)</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tcPr>
          <w:p>
            <w:pPr>
              <w:jc w:val="right"/>
              <w:ind w:right="94"/>
              <w:spacing w:after="0"/>
              <w:rPr>
                <w:sz w:val="20"/>
                <w:szCs w:val="20"/>
                <w:color w:val="auto"/>
              </w:rPr>
            </w:pPr>
            <w:r>
              <w:rPr>
                <w:rFonts w:ascii="Arial" w:cs="Arial" w:eastAsia="Arial" w:hAnsi="Arial"/>
                <w:sz w:val="18"/>
                <w:szCs w:val="18"/>
                <w:color w:val="auto"/>
              </w:rPr>
              <w:t>(225,219)</w:t>
            </w: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Restructuring related charges (b)</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(1,301)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(5,861)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(9,570)</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(32,342)</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(170,759)</w:t>
            </w:r>
          </w:p>
        </w:tc>
        <w:tc>
          <w:tcPr>
            <w:tcW w:w="0" w:type="dxa"/>
            <w:vAlign w:val="bottom"/>
          </w:tcPr>
          <w:p>
            <w:pPr>
              <w:spacing w:after="0"/>
              <w:rPr>
                <w:sz w:val="1"/>
                <w:szCs w:val="1"/>
                <w:color w:val="auto"/>
              </w:rPr>
            </w:pPr>
          </w:p>
        </w:tc>
      </w:tr>
      <w:tr>
        <w:trPr>
          <w:trHeight w:val="172"/>
        </w:trPr>
        <w:tc>
          <w:tcPr>
            <w:tcW w:w="3720" w:type="dxa"/>
            <w:vAlign w:val="bottom"/>
          </w:tcPr>
          <w:p>
            <w:pPr>
              <w:ind w:left="640"/>
              <w:spacing w:after="0" w:line="172"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4"/>
                <w:szCs w:val="14"/>
                <w:color w:val="auto"/>
              </w:rPr>
            </w:pPr>
          </w:p>
        </w:tc>
        <w:tc>
          <w:tcPr>
            <w:tcW w:w="1160" w:type="dxa"/>
            <w:vAlign w:val="bottom"/>
            <w:vMerge w:val="restart"/>
          </w:tcPr>
          <w:p>
            <w:pPr>
              <w:jc w:val="right"/>
              <w:ind w:right="94"/>
              <w:spacing w:after="0"/>
              <w:rPr>
                <w:sz w:val="20"/>
                <w:szCs w:val="20"/>
                <w:color w:val="auto"/>
              </w:rPr>
            </w:pPr>
            <w:r>
              <w:rPr>
                <w:rFonts w:ascii="Arial" w:cs="Arial" w:eastAsia="Arial" w:hAnsi="Arial"/>
                <w:sz w:val="18"/>
                <w:szCs w:val="18"/>
                <w:color w:val="auto"/>
              </w:rPr>
              <w:t>(116,059)</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vMerge w:val="restart"/>
          </w:tcPr>
          <w:p>
            <w:pPr>
              <w:jc w:val="right"/>
              <w:ind w:right="94"/>
              <w:spacing w:after="0"/>
              <w:rPr>
                <w:sz w:val="20"/>
                <w:szCs w:val="20"/>
                <w:color w:val="auto"/>
              </w:rPr>
            </w:pPr>
            <w:r>
              <w:rPr>
                <w:rFonts w:ascii="Arial" w:cs="Arial" w:eastAsia="Arial" w:hAnsi="Arial"/>
                <w:sz w:val="18"/>
                <w:szCs w:val="18"/>
                <w:color w:val="auto"/>
              </w:rPr>
              <w:t>(109,591)</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vMerge w:val="restart"/>
          </w:tcPr>
          <w:p>
            <w:pPr>
              <w:jc w:val="right"/>
              <w:ind w:right="94"/>
              <w:spacing w:after="0"/>
              <w:rPr>
                <w:sz w:val="20"/>
                <w:szCs w:val="20"/>
                <w:color w:val="auto"/>
              </w:rPr>
            </w:pPr>
            <w:r>
              <w:rPr>
                <w:rFonts w:ascii="Arial" w:cs="Arial" w:eastAsia="Arial" w:hAnsi="Arial"/>
                <w:sz w:val="18"/>
                <w:szCs w:val="18"/>
                <w:color w:val="auto"/>
              </w:rPr>
              <w:t>(26,355)</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vMerge w:val="restart"/>
          </w:tcPr>
          <w:p>
            <w:pPr>
              <w:jc w:val="right"/>
              <w:ind w:right="94"/>
              <w:spacing w:after="0"/>
              <w:rPr>
                <w:sz w:val="20"/>
                <w:szCs w:val="20"/>
                <w:color w:val="auto"/>
              </w:rPr>
            </w:pPr>
            <w:r>
              <w:rPr>
                <w:rFonts w:ascii="Arial" w:cs="Arial" w:eastAsia="Arial" w:hAnsi="Arial"/>
                <w:sz w:val="18"/>
                <w:szCs w:val="18"/>
                <w:color w:val="auto"/>
              </w:rPr>
              <w:t>(369,896)</w:t>
            </w: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80" w:type="dxa"/>
            <w:vAlign w:val="bottom"/>
            <w:vMerge w:val="restart"/>
          </w:tcPr>
          <w:p>
            <w:pPr>
              <w:jc w:val="right"/>
              <w:ind w:right="94"/>
              <w:spacing w:after="0"/>
              <w:rPr>
                <w:sz w:val="20"/>
                <w:szCs w:val="20"/>
                <w:color w:val="auto"/>
              </w:rPr>
            </w:pPr>
            <w:r>
              <w:rPr>
                <w:rFonts w:ascii="Arial" w:cs="Arial" w:eastAsia="Arial" w:hAnsi="Arial"/>
                <w:sz w:val="18"/>
                <w:szCs w:val="18"/>
                <w:color w:val="auto"/>
              </w:rPr>
              <w:t>(105,419)</w:t>
            </w:r>
          </w:p>
        </w:tc>
        <w:tc>
          <w:tcPr>
            <w:tcW w:w="0" w:type="dxa"/>
            <w:vAlign w:val="bottom"/>
          </w:tcPr>
          <w:p>
            <w:pPr>
              <w:spacing w:after="0"/>
              <w:rPr>
                <w:sz w:val="1"/>
                <w:szCs w:val="1"/>
                <w:color w:val="auto"/>
              </w:rPr>
            </w:pPr>
          </w:p>
        </w:tc>
      </w:tr>
      <w:tr>
        <w:trPr>
          <w:trHeight w:val="222"/>
        </w:trPr>
        <w:tc>
          <w:tcPr>
            <w:tcW w:w="3720" w:type="dxa"/>
            <w:vAlign w:val="bottom"/>
          </w:tcPr>
          <w:p>
            <w:pPr>
              <w:ind w:left="64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Legal settlement (c)</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(36,000)</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(36,000)</w:t>
            </w:r>
          </w:p>
        </w:tc>
        <w:tc>
          <w:tcPr>
            <w:tcW w:w="0" w:type="dxa"/>
            <w:vAlign w:val="bottom"/>
          </w:tcPr>
          <w:p>
            <w:pPr>
              <w:spacing w:after="0"/>
              <w:rPr>
                <w:sz w:val="1"/>
                <w:szCs w:val="1"/>
                <w:color w:val="auto"/>
              </w:rPr>
            </w:pPr>
          </w:p>
        </w:tc>
      </w:tr>
      <w:tr>
        <w:trPr>
          <w:trHeight w:val="223"/>
        </w:trPr>
        <w:tc>
          <w:tcPr>
            <w:tcW w:w="372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Other operating expenses (d)</w:t>
            </w: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(19,043)</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(25,460)</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(12,480)</w:t>
            </w:r>
          </w:p>
        </w:tc>
        <w:tc>
          <w:tcPr>
            <w:tcW w:w="2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(130,135)</w:t>
            </w:r>
          </w:p>
        </w:tc>
        <w:tc>
          <w:tcPr>
            <w:tcW w:w="16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(49,498)</w:t>
            </w:r>
          </w:p>
        </w:tc>
        <w:tc>
          <w:tcPr>
            <w:tcW w:w="0" w:type="dxa"/>
            <w:vAlign w:val="bottom"/>
          </w:tcPr>
          <w:p>
            <w:pPr>
              <w:spacing w:after="0"/>
              <w:rPr>
                <w:sz w:val="1"/>
                <w:szCs w:val="1"/>
                <w:color w:val="auto"/>
              </w:rPr>
            </w:pPr>
          </w:p>
        </w:tc>
      </w:tr>
      <w:tr>
        <w:trPr>
          <w:trHeight w:val="217"/>
        </w:trPr>
        <w:tc>
          <w:tcPr>
            <w:tcW w:w="3720" w:type="dxa"/>
            <w:vAlign w:val="bottom"/>
            <w:shd w:val="clear" w:color="auto" w:fill="CCEEFF"/>
          </w:tcPr>
          <w:p>
            <w:pPr>
              <w:ind w:left="200"/>
              <w:spacing w:after="0" w:line="203" w:lineRule="exact"/>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(261,917)</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(250,632)</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(139,619)</w:t>
            </w:r>
          </w:p>
        </w:tc>
        <w:tc>
          <w:tcPr>
            <w:tcW w:w="2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8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(978,837)</w:t>
            </w:r>
          </w:p>
        </w:tc>
        <w:tc>
          <w:tcPr>
            <w:tcW w:w="160" w:type="dxa"/>
            <w:vAlign w:val="bottom"/>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(586,895)</w:t>
            </w:r>
          </w:p>
        </w:tc>
        <w:tc>
          <w:tcPr>
            <w:tcW w:w="0" w:type="dxa"/>
            <w:vAlign w:val="bottom"/>
          </w:tcPr>
          <w:p>
            <w:pPr>
              <w:spacing w:after="0"/>
              <w:rPr>
                <w:sz w:val="1"/>
                <w:szCs w:val="1"/>
                <w:color w:val="auto"/>
              </w:rPr>
            </w:pPr>
          </w:p>
        </w:tc>
      </w:tr>
      <w:tr>
        <w:trPr>
          <w:trHeight w:val="216"/>
        </w:trPr>
        <w:tc>
          <w:tcPr>
            <w:tcW w:w="3720" w:type="dxa"/>
            <w:vAlign w:val="bottom"/>
          </w:tcPr>
          <w:p>
            <w:pPr>
              <w:ind w:left="200"/>
              <w:spacing w:after="0" w:line="203" w:lineRule="exact"/>
              <w:rPr>
                <w:sz w:val="20"/>
                <w:szCs w:val="20"/>
                <w:color w:val="auto"/>
              </w:rPr>
            </w:pPr>
            <w:r>
              <w:rPr>
                <w:rFonts w:ascii="Arial" w:cs="Arial" w:eastAsia="Arial" w:hAnsi="Arial"/>
                <w:sz w:val="18"/>
                <w:szCs w:val="18"/>
                <w:color w:val="auto"/>
              </w:rPr>
              <w:t>Total non-GAAP operating expenses</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134"/>
              <w:spacing w:after="0"/>
              <w:rPr>
                <w:sz w:val="20"/>
                <w:szCs w:val="20"/>
                <w:color w:val="auto"/>
              </w:rPr>
            </w:pPr>
            <w:r>
              <w:rPr>
                <w:rFonts w:ascii="Arial" w:cs="Arial" w:eastAsia="Arial" w:hAnsi="Arial"/>
                <w:sz w:val="18"/>
                <w:szCs w:val="18"/>
                <w:color w:val="auto"/>
              </w:rPr>
              <w:t>389,865</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34"/>
              <w:spacing w:after="0"/>
              <w:rPr>
                <w:sz w:val="20"/>
                <w:szCs w:val="20"/>
                <w:color w:val="auto"/>
              </w:rPr>
            </w:pPr>
            <w:r>
              <w:rPr>
                <w:rFonts w:ascii="Arial" w:cs="Arial" w:eastAsia="Arial" w:hAnsi="Arial"/>
                <w:sz w:val="18"/>
                <w:szCs w:val="18"/>
                <w:color w:val="auto"/>
              </w:rPr>
              <w:t>370,529</w:t>
            </w:r>
          </w:p>
        </w:tc>
        <w:tc>
          <w:tcPr>
            <w:tcW w:w="140" w:type="dxa"/>
            <w:vAlign w:val="bottom"/>
          </w:tcPr>
          <w:p>
            <w:pPr>
              <w:spacing w:after="0"/>
              <w:rPr>
                <w:sz w:val="18"/>
                <w:szCs w:val="18"/>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283,249</w:t>
            </w:r>
          </w:p>
        </w:tc>
        <w:tc>
          <w:tcPr>
            <w:tcW w:w="240" w:type="dxa"/>
            <w:vAlign w:val="bottom"/>
          </w:tcPr>
          <w:p>
            <w:pPr>
              <w:spacing w:after="0"/>
              <w:rPr>
                <w:sz w:val="18"/>
                <w:szCs w:val="18"/>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134"/>
              <w:spacing w:after="0"/>
              <w:rPr>
                <w:sz w:val="20"/>
                <w:szCs w:val="20"/>
                <w:color w:val="auto"/>
              </w:rPr>
            </w:pPr>
            <w:r>
              <w:rPr>
                <w:rFonts w:ascii="Arial" w:cs="Arial" w:eastAsia="Arial" w:hAnsi="Arial"/>
                <w:sz w:val="18"/>
                <w:szCs w:val="18"/>
                <w:color w:val="auto"/>
              </w:rPr>
              <w:t>1,433,056</w:t>
            </w:r>
          </w:p>
        </w:tc>
        <w:tc>
          <w:tcPr>
            <w:tcW w:w="160" w:type="dxa"/>
            <w:vAlign w:val="bottom"/>
          </w:tcPr>
          <w:p>
            <w:pPr>
              <w:spacing w:after="0"/>
              <w:rPr>
                <w:sz w:val="18"/>
                <w:szCs w:val="18"/>
                <w:color w:val="auto"/>
              </w:rPr>
            </w:pP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1080" w:type="dxa"/>
            <w:vAlign w:val="bottom"/>
          </w:tcPr>
          <w:p>
            <w:pPr>
              <w:jc w:val="right"/>
              <w:ind w:right="134"/>
              <w:spacing w:after="0"/>
              <w:rPr>
                <w:sz w:val="20"/>
                <w:szCs w:val="20"/>
                <w:color w:val="auto"/>
              </w:rPr>
            </w:pPr>
            <w:r>
              <w:rPr>
                <w:rFonts w:ascii="Arial" w:cs="Arial" w:eastAsia="Arial" w:hAnsi="Arial"/>
                <w:sz w:val="18"/>
                <w:szCs w:val="18"/>
                <w:color w:val="auto"/>
              </w:rPr>
              <w:t>1,159,844</w:t>
            </w:r>
          </w:p>
        </w:tc>
        <w:tc>
          <w:tcPr>
            <w:tcW w:w="0" w:type="dxa"/>
            <w:vAlign w:val="bottom"/>
          </w:tcPr>
          <w:p>
            <w:pPr>
              <w:spacing w:after="0"/>
              <w:rPr>
                <w:sz w:val="1"/>
                <w:szCs w:val="1"/>
                <w:color w:val="auto"/>
              </w:rPr>
            </w:pPr>
          </w:p>
        </w:tc>
      </w:tr>
      <w:tr>
        <w:trPr>
          <w:trHeight w:val="20"/>
        </w:trPr>
        <w:tc>
          <w:tcPr>
            <w:tcW w:w="372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3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37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0"/>
        </w:trPr>
        <w:tc>
          <w:tcPr>
            <w:tcW w:w="37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00" w:type="dxa"/>
            <w:vAlign w:val="bottom"/>
            <w:shd w:val="clear" w:color="auto" w:fill="CCEEFF"/>
          </w:tcPr>
          <w:p>
            <w:pPr>
              <w:spacing w:after="0"/>
              <w:rPr>
                <w:sz w:val="21"/>
                <w:szCs w:val="21"/>
                <w:color w:val="auto"/>
              </w:rPr>
            </w:pPr>
          </w:p>
        </w:tc>
        <w:tc>
          <w:tcPr>
            <w:tcW w:w="24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30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3720" w:type="dxa"/>
            <w:vAlign w:val="bottom"/>
          </w:tcPr>
          <w:p>
            <w:pPr>
              <w:ind w:left="200"/>
              <w:spacing w:after="0"/>
              <w:rPr>
                <w:sz w:val="20"/>
                <w:szCs w:val="20"/>
                <w:color w:val="auto"/>
              </w:rPr>
            </w:pPr>
            <w:r>
              <w:rPr>
                <w:rFonts w:ascii="Arial" w:cs="Arial" w:eastAsia="Arial" w:hAnsi="Arial"/>
                <w:sz w:val="18"/>
                <w:szCs w:val="18"/>
                <w:color w:val="auto"/>
              </w:rPr>
              <w:t>GAAP operating margin</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2.6 %</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(2.8)%</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(7.8)%</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Other cost of goods sold (a)</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3"/>
        </w:trPr>
        <w:tc>
          <w:tcPr>
            <w:tcW w:w="3720" w:type="dxa"/>
            <w:vAlign w:val="bottom"/>
          </w:tcPr>
          <w:p>
            <w:pPr>
              <w:ind w:left="64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10.0 %</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9.8 %</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7.5 %</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10.7 %</w:t>
            </w: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8.1 %</w:t>
            </w: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Restructuring related charges (b)</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0.7 %</w:t>
            </w:r>
          </w:p>
        </w:tc>
        <w:tc>
          <w:tcPr>
            <w:tcW w:w="1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5.8 %</w:t>
            </w:r>
          </w:p>
        </w:tc>
        <w:tc>
          <w:tcPr>
            <w:tcW w:w="0" w:type="dxa"/>
            <w:vAlign w:val="bottom"/>
          </w:tcPr>
          <w:p>
            <w:pPr>
              <w:spacing w:after="0"/>
              <w:rPr>
                <w:sz w:val="1"/>
                <w:szCs w:val="1"/>
                <w:color w:val="auto"/>
              </w:rPr>
            </w:pPr>
          </w:p>
        </w:tc>
      </w:tr>
      <w:tr>
        <w:trPr>
          <w:trHeight w:val="172"/>
        </w:trPr>
        <w:tc>
          <w:tcPr>
            <w:tcW w:w="3720" w:type="dxa"/>
            <w:vAlign w:val="bottom"/>
          </w:tcPr>
          <w:p>
            <w:pPr>
              <w:ind w:left="640"/>
              <w:spacing w:after="0" w:line="172"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4"/>
                <w:szCs w:val="14"/>
                <w:color w:val="auto"/>
              </w:rPr>
            </w:pPr>
          </w:p>
        </w:tc>
        <w:tc>
          <w:tcPr>
            <w:tcW w:w="1160" w:type="dxa"/>
            <w:vAlign w:val="bottom"/>
            <w:vMerge w:val="restart"/>
          </w:tcPr>
          <w:p>
            <w:pPr>
              <w:jc w:val="right"/>
              <w:spacing w:after="0"/>
              <w:rPr>
                <w:sz w:val="20"/>
                <w:szCs w:val="20"/>
                <w:color w:val="auto"/>
              </w:rPr>
            </w:pPr>
            <w:r>
              <w:rPr>
                <w:rFonts w:ascii="Arial" w:cs="Arial" w:eastAsia="Arial" w:hAnsi="Arial"/>
                <w:sz w:val="18"/>
                <w:szCs w:val="18"/>
                <w:color w:val="auto"/>
              </w:rPr>
              <w:t>22.0 %</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20" w:type="dxa"/>
            <w:vAlign w:val="bottom"/>
            <w:vMerge w:val="restart"/>
          </w:tcPr>
          <w:p>
            <w:pPr>
              <w:jc w:val="right"/>
              <w:spacing w:after="0"/>
              <w:rPr>
                <w:sz w:val="20"/>
                <w:szCs w:val="20"/>
                <w:color w:val="auto"/>
              </w:rPr>
            </w:pPr>
            <w:r>
              <w:rPr>
                <w:rFonts w:ascii="Arial" w:cs="Arial" w:eastAsia="Arial" w:hAnsi="Arial"/>
                <w:sz w:val="18"/>
                <w:szCs w:val="18"/>
                <w:color w:val="auto"/>
              </w:rPr>
              <w:t>23.1 %</w:t>
            </w: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13.7 %</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vMerge w:val="restart"/>
          </w:tcPr>
          <w:p>
            <w:pPr>
              <w:jc w:val="right"/>
              <w:spacing w:after="0"/>
              <w:rPr>
                <w:sz w:val="20"/>
                <w:szCs w:val="20"/>
                <w:color w:val="auto"/>
              </w:rPr>
            </w:pPr>
            <w:r>
              <w:rPr>
                <w:rFonts w:ascii="Arial" w:cs="Arial" w:eastAsia="Arial" w:hAnsi="Arial"/>
                <w:sz w:val="18"/>
                <w:szCs w:val="18"/>
                <w:color w:val="auto"/>
              </w:rPr>
              <w:t>21.9 %</w:t>
            </w: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14.9 %</w:t>
            </w:r>
          </w:p>
        </w:tc>
        <w:tc>
          <w:tcPr>
            <w:tcW w:w="0" w:type="dxa"/>
            <w:vAlign w:val="bottom"/>
          </w:tcPr>
          <w:p>
            <w:pPr>
              <w:spacing w:after="0"/>
              <w:rPr>
                <w:sz w:val="1"/>
                <w:szCs w:val="1"/>
                <w:color w:val="auto"/>
              </w:rPr>
            </w:pPr>
          </w:p>
        </w:tc>
      </w:tr>
      <w:tr>
        <w:trPr>
          <w:trHeight w:val="222"/>
        </w:trPr>
        <w:tc>
          <w:tcPr>
            <w:tcW w:w="3720" w:type="dxa"/>
            <w:vAlign w:val="bottom"/>
          </w:tcPr>
          <w:p>
            <w:pPr>
              <w:ind w:left="64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3720" w:type="dxa"/>
            <w:vAlign w:val="bottom"/>
            <w:shd w:val="clear" w:color="auto" w:fill="CCEEFF"/>
          </w:tcPr>
          <w:p>
            <w:pPr>
              <w:ind w:left="640"/>
              <w:spacing w:after="0"/>
              <w:rPr>
                <w:sz w:val="20"/>
                <w:szCs w:val="20"/>
                <w:color w:val="auto"/>
              </w:rPr>
            </w:pPr>
            <w:r>
              <w:rPr>
                <w:rFonts w:ascii="Arial" w:cs="Arial" w:eastAsia="Arial" w:hAnsi="Arial"/>
                <w:sz w:val="18"/>
                <w:szCs w:val="18"/>
                <w:color w:val="auto"/>
              </w:rPr>
              <w:t>Legal settlement (c)</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 %</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4.5 %</w:t>
            </w:r>
          </w:p>
        </w:tc>
        <w:tc>
          <w:tcPr>
            <w:tcW w:w="2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ind w:left="780"/>
              <w:spacing w:after="0"/>
              <w:rPr>
                <w:sz w:val="20"/>
                <w:szCs w:val="20"/>
                <w:color w:val="auto"/>
              </w:rPr>
            </w:pPr>
            <w:r>
              <w:rPr>
                <w:rFonts w:ascii="Arial" w:cs="Arial" w:eastAsia="Arial" w:hAnsi="Arial"/>
                <w:sz w:val="18"/>
                <w:szCs w:val="18"/>
                <w:color w:val="auto"/>
              </w:rPr>
              <w:t>— %</w:t>
            </w:r>
          </w:p>
        </w:tc>
        <w:tc>
          <w:tcPr>
            <w:tcW w:w="3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3"/>
        </w:trPr>
        <w:tc>
          <w:tcPr>
            <w:tcW w:w="372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Other operating expenses (d)</w:t>
            </w: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1.4 %</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2.1 %</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1.6 %</w:t>
            </w:r>
          </w:p>
        </w:tc>
        <w:tc>
          <w:tcPr>
            <w:tcW w:w="2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3.0 %</w:t>
            </w:r>
          </w:p>
        </w:tc>
        <w:tc>
          <w:tcPr>
            <w:tcW w:w="16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1.7 %</w:t>
            </w:r>
          </w:p>
        </w:tc>
        <w:tc>
          <w:tcPr>
            <w:tcW w:w="0" w:type="dxa"/>
            <w:vAlign w:val="bottom"/>
          </w:tcPr>
          <w:p>
            <w:pPr>
              <w:spacing w:after="0"/>
              <w:rPr>
                <w:sz w:val="1"/>
                <w:szCs w:val="1"/>
                <w:color w:val="auto"/>
              </w:rPr>
            </w:pPr>
          </w:p>
        </w:tc>
      </w:tr>
      <w:tr>
        <w:trPr>
          <w:trHeight w:val="242"/>
        </w:trPr>
        <w:tc>
          <w:tcPr>
            <w:tcW w:w="372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Non-GAAP operating margin</w:t>
            </w:r>
          </w:p>
        </w:tc>
        <w:tc>
          <w:tcPr>
            <w:tcW w:w="200" w:type="dxa"/>
            <w:vAlign w:val="bottom"/>
            <w:tcBorders>
              <w:bottom w:val="single" w:sz="8" w:color="auto"/>
            </w:tcBorders>
            <w:shd w:val="clear" w:color="auto" w:fill="CCEEFF"/>
          </w:tcPr>
          <w:p>
            <w:pPr>
              <w:spacing w:after="0"/>
              <w:rPr>
                <w:sz w:val="20"/>
                <w:szCs w:val="20"/>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36.3 %</w:t>
            </w: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34.5 %</w:t>
            </w: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28.4 %</w:t>
            </w:r>
          </w:p>
        </w:tc>
        <w:tc>
          <w:tcPr>
            <w:tcW w:w="2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spacing w:after="0"/>
              <w:rPr>
                <w:sz w:val="20"/>
                <w:szCs w:val="20"/>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32.8 %</w:t>
            </w:r>
          </w:p>
        </w:tc>
        <w:tc>
          <w:tcPr>
            <w:tcW w:w="16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auto"/>
            </w:tcBorders>
            <w:shd w:val="clear" w:color="auto" w:fill="CCEEFF"/>
          </w:tcPr>
          <w:p>
            <w:pPr>
              <w:spacing w:after="0"/>
              <w:rPr>
                <w:sz w:val="20"/>
                <w:szCs w:val="20"/>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24.2 %</w:t>
            </w:r>
          </w:p>
        </w:tc>
        <w:tc>
          <w:tcPr>
            <w:tcW w:w="0" w:type="dxa"/>
            <w:vAlign w:val="bottom"/>
          </w:tcPr>
          <w:p>
            <w:pPr>
              <w:spacing w:after="0"/>
              <w:rPr>
                <w:sz w:val="1"/>
                <w:szCs w:val="1"/>
                <w:color w:val="auto"/>
              </w:rPr>
            </w:pPr>
          </w:p>
        </w:tc>
      </w:tr>
      <w:tr>
        <w:trPr>
          <w:trHeight w:val="20"/>
        </w:trPr>
        <w:tc>
          <w:tcPr>
            <w:tcW w:w="37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3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37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6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0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80" w:top="1107" w:right="379" w:bottom="1440" w:gutter="0" w:footer="0" w:header="0"/>
        </w:sectPr>
      </w:pPr>
    </w:p>
    <w:bookmarkStart w:id="11" w:name="page12"/>
    <w:bookmarkEnd w:id="11"/>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0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gridSpan w:val="4"/>
          </w:tcPr>
          <w:p>
            <w:pPr>
              <w:ind w:left="8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2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40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0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January 29,</w:t>
            </w:r>
          </w:p>
        </w:tc>
        <w:tc>
          <w:tcPr>
            <w:tcW w:w="1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020" w:type="dxa"/>
            <w:vAlign w:val="bottom"/>
          </w:tcPr>
          <w:p>
            <w:pPr>
              <w:jc w:val="right"/>
              <w:ind w:right="154"/>
              <w:spacing w:after="0" w:line="130" w:lineRule="exact"/>
              <w:rPr>
                <w:sz w:val="20"/>
                <w:szCs w:val="20"/>
                <w:color w:val="auto"/>
              </w:rPr>
            </w:pPr>
            <w:r>
              <w:rPr>
                <w:rFonts w:ascii="Arial" w:cs="Arial" w:eastAsia="Arial" w:hAnsi="Arial"/>
                <w:sz w:val="14"/>
                <w:szCs w:val="14"/>
                <w:b w:val="1"/>
                <w:bCs w:val="1"/>
                <w:color w:val="auto"/>
                <w:w w:val="98"/>
              </w:rPr>
              <w:t>January 30,</w:t>
            </w:r>
          </w:p>
        </w:tc>
        <w:tc>
          <w:tcPr>
            <w:tcW w:w="2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January 29,</w:t>
            </w:r>
          </w:p>
        </w:tc>
        <w:tc>
          <w:tcPr>
            <w:tcW w:w="300" w:type="dxa"/>
            <w:vAlign w:val="bottom"/>
          </w:tcPr>
          <w:p>
            <w:pPr>
              <w:spacing w:after="0"/>
              <w:rPr>
                <w:sz w:val="11"/>
                <w:szCs w:val="11"/>
                <w:color w:val="auto"/>
              </w:rPr>
            </w:pPr>
          </w:p>
        </w:tc>
        <w:tc>
          <w:tcPr>
            <w:tcW w:w="102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w w:val="90"/>
              </w:rPr>
              <w:t>January 30,</w:t>
            </w:r>
          </w:p>
        </w:tc>
        <w:tc>
          <w:tcPr>
            <w:tcW w:w="0" w:type="dxa"/>
            <w:vAlign w:val="bottom"/>
          </w:tcPr>
          <w:p>
            <w:pPr>
              <w:spacing w:after="0"/>
              <w:rPr>
                <w:sz w:val="1"/>
                <w:szCs w:val="1"/>
                <w:color w:val="auto"/>
              </w:rPr>
            </w:pPr>
          </w:p>
        </w:tc>
      </w:tr>
      <w:tr>
        <w:trPr>
          <w:trHeight w:val="183"/>
        </w:trPr>
        <w:tc>
          <w:tcPr>
            <w:tcW w:w="408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2022</w:t>
            </w:r>
          </w:p>
        </w:tc>
        <w:tc>
          <w:tcPr>
            <w:tcW w:w="16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2021</w:t>
            </w:r>
          </w:p>
        </w:tc>
        <w:tc>
          <w:tcPr>
            <w:tcW w:w="16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2021</w:t>
            </w:r>
          </w:p>
        </w:tc>
        <w:tc>
          <w:tcPr>
            <w:tcW w:w="28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2022</w:t>
            </w:r>
          </w:p>
        </w:tc>
        <w:tc>
          <w:tcPr>
            <w:tcW w:w="140" w:type="dxa"/>
            <w:vAlign w:val="bottom"/>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33"/>
        </w:trPr>
        <w:tc>
          <w:tcPr>
            <w:tcW w:w="4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3"/>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GAAP interest and other income (loss), net</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(32,578)</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(135,827)</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(63,779)</w:t>
            </w:r>
          </w:p>
        </w:tc>
        <w:tc>
          <w:tcPr>
            <w:tcW w:w="0" w:type="dxa"/>
            <w:vAlign w:val="bottom"/>
          </w:tcPr>
          <w:p>
            <w:pPr>
              <w:spacing w:after="0"/>
              <w:rPr>
                <w:sz w:val="1"/>
                <w:szCs w:val="1"/>
                <w:color w:val="auto"/>
              </w:rPr>
            </w:pPr>
          </w:p>
        </w:tc>
      </w:tr>
      <w:tr>
        <w:trPr>
          <w:trHeight w:val="223"/>
        </w:trPr>
        <w:tc>
          <w:tcPr>
            <w:tcW w:w="4080" w:type="dxa"/>
            <w:vAlign w:val="bottom"/>
          </w:tcPr>
          <w:p>
            <w:pPr>
              <w:ind w:left="20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0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Debt issuance related costs and other (e)</w:t>
            </w: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(3,196)</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16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6,017</w:t>
            </w:r>
          </w:p>
        </w:tc>
        <w:tc>
          <w:tcPr>
            <w:tcW w:w="2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16,629</w:t>
            </w:r>
          </w:p>
        </w:tc>
        <w:tc>
          <w:tcPr>
            <w:tcW w:w="1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5,902</w:t>
            </w:r>
          </w:p>
        </w:tc>
        <w:tc>
          <w:tcPr>
            <w:tcW w:w="0" w:type="dxa"/>
            <w:vAlign w:val="bottom"/>
          </w:tcPr>
          <w:p>
            <w:pPr>
              <w:spacing w:after="0"/>
              <w:rPr>
                <w:sz w:val="1"/>
                <w:szCs w:val="1"/>
                <w:color w:val="auto"/>
              </w:rPr>
            </w:pPr>
          </w:p>
        </w:tc>
      </w:tr>
      <w:tr>
        <w:trPr>
          <w:trHeight w:val="216"/>
        </w:trPr>
        <w:tc>
          <w:tcPr>
            <w:tcW w:w="4080" w:type="dxa"/>
            <w:vAlign w:val="bottom"/>
            <w:tcBorders>
              <w:bottom w:val="single" w:sz="8" w:color="CCEEFF"/>
            </w:tcBorders>
          </w:tcPr>
          <w:p>
            <w:pPr>
              <w:ind w:left="200"/>
              <w:spacing w:after="0" w:line="203" w:lineRule="exact"/>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(3,196)</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w:t>
            </w:r>
          </w:p>
        </w:tc>
        <w:tc>
          <w:tcPr>
            <w:tcW w:w="16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6,017</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16,629</w:t>
            </w:r>
          </w:p>
        </w:tc>
        <w:tc>
          <w:tcPr>
            <w:tcW w:w="14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5,902</w:t>
            </w:r>
          </w:p>
        </w:tc>
        <w:tc>
          <w:tcPr>
            <w:tcW w:w="0" w:type="dxa"/>
            <w:vAlign w:val="bottom"/>
          </w:tcPr>
          <w:p>
            <w:pPr>
              <w:spacing w:after="0"/>
              <w:rPr>
                <w:sz w:val="1"/>
                <w:szCs w:val="1"/>
                <w:color w:val="auto"/>
              </w:rPr>
            </w:pPr>
          </w:p>
        </w:tc>
      </w:tr>
      <w:tr>
        <w:trPr>
          <w:trHeight w:val="152"/>
        </w:trPr>
        <w:tc>
          <w:tcPr>
            <w:tcW w:w="4080" w:type="dxa"/>
            <w:vAlign w:val="bottom"/>
            <w:shd w:val="clear" w:color="auto" w:fill="CCEEFF"/>
          </w:tcPr>
          <w:p>
            <w:pPr>
              <w:ind w:left="200"/>
              <w:spacing w:after="0" w:line="152" w:lineRule="exact"/>
              <w:rPr>
                <w:sz w:val="20"/>
                <w:szCs w:val="20"/>
                <w:color w:val="auto"/>
              </w:rPr>
            </w:pPr>
            <w:r>
              <w:rPr>
                <w:rFonts w:ascii="Arial" w:cs="Arial" w:eastAsia="Arial" w:hAnsi="Arial"/>
                <w:sz w:val="16"/>
                <w:szCs w:val="16"/>
                <w:color w:val="auto"/>
              </w:rPr>
              <w:t>Total non-GAAP interest and other income (loss),</w:t>
            </w:r>
          </w:p>
        </w:tc>
        <w:tc>
          <w:tcPr>
            <w:tcW w:w="200" w:type="dxa"/>
            <w:vAlign w:val="bottom"/>
            <w:vMerge w:val="restart"/>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(35,774)</w:t>
            </w:r>
          </w:p>
        </w:tc>
        <w:tc>
          <w:tcPr>
            <w:tcW w:w="34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(34,333)</w:t>
            </w:r>
          </w:p>
        </w:tc>
        <w:tc>
          <w:tcPr>
            <w:tcW w:w="160" w:type="dxa"/>
            <w:vAlign w:val="bottom"/>
            <w:shd w:val="clear" w:color="auto" w:fill="CCEEFF"/>
          </w:tcPr>
          <w:p>
            <w:pPr>
              <w:spacing w:after="0"/>
              <w:rPr>
                <w:sz w:val="13"/>
                <w:szCs w:val="13"/>
                <w:color w:val="auto"/>
              </w:rPr>
            </w:pPr>
          </w:p>
        </w:tc>
        <w:tc>
          <w:tcPr>
            <w:tcW w:w="160" w:type="dxa"/>
            <w:vAlign w:val="bottom"/>
            <w:vMerge w:val="restart"/>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(15,087)</w:t>
            </w:r>
          </w:p>
        </w:tc>
        <w:tc>
          <w:tcPr>
            <w:tcW w:w="280" w:type="dxa"/>
            <w:vAlign w:val="bottom"/>
            <w:shd w:val="clear" w:color="auto" w:fill="CCEEFF"/>
          </w:tcPr>
          <w:p>
            <w:pPr>
              <w:spacing w:after="0"/>
              <w:rPr>
                <w:sz w:val="13"/>
                <w:szCs w:val="13"/>
                <w:color w:val="auto"/>
              </w:rPr>
            </w:pPr>
          </w:p>
        </w:tc>
        <w:tc>
          <w:tcPr>
            <w:tcW w:w="180" w:type="dxa"/>
            <w:vAlign w:val="bottom"/>
            <w:vMerge w:val="restart"/>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(119,198)</w:t>
            </w:r>
          </w:p>
        </w:tc>
        <w:tc>
          <w:tcPr>
            <w:tcW w:w="140" w:type="dxa"/>
            <w:vAlign w:val="bottom"/>
            <w:shd w:val="clear" w:color="auto" w:fill="CCEEFF"/>
          </w:tcPr>
          <w:p>
            <w:pPr>
              <w:spacing w:after="0"/>
              <w:rPr>
                <w:sz w:val="13"/>
                <w:szCs w:val="13"/>
                <w:color w:val="auto"/>
              </w:rPr>
            </w:pPr>
          </w:p>
        </w:tc>
        <w:tc>
          <w:tcPr>
            <w:tcW w:w="300" w:type="dxa"/>
            <w:vAlign w:val="bottom"/>
            <w:vMerge w:val="restart"/>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(57,877)</w:t>
            </w: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200"/>
              <w:spacing w:after="0" w:line="196" w:lineRule="exact"/>
              <w:rPr>
                <w:sz w:val="20"/>
                <w:szCs w:val="20"/>
                <w:color w:val="auto"/>
              </w:rPr>
            </w:pPr>
            <w:r>
              <w:rPr>
                <w:rFonts w:ascii="Arial" w:cs="Arial" w:eastAsia="Arial" w:hAnsi="Arial"/>
                <w:sz w:val="18"/>
                <w:szCs w:val="18"/>
                <w:color w:val="auto"/>
              </w:rPr>
              <w:t>net</w:t>
            </w:r>
          </w:p>
        </w:tc>
        <w:tc>
          <w:tcPr>
            <w:tcW w:w="200" w:type="dxa"/>
            <w:vAlign w:val="bottom"/>
            <w:vMerge w:val="continue"/>
            <w:shd w:val="clear" w:color="auto" w:fill="CCEEFF"/>
          </w:tcPr>
          <w:p>
            <w:pPr>
              <w:spacing w:after="0"/>
              <w:rPr>
                <w:sz w:val="18"/>
                <w:szCs w:val="18"/>
                <w:color w:val="auto"/>
              </w:rPr>
            </w:pPr>
          </w:p>
        </w:tc>
        <w:tc>
          <w:tcPr>
            <w:tcW w:w="1100" w:type="dxa"/>
            <w:vAlign w:val="bottom"/>
            <w:vMerge w:val="continue"/>
            <w:shd w:val="clear" w:color="auto" w:fill="CCEEFF"/>
          </w:tcPr>
          <w:p>
            <w:pPr>
              <w:spacing w:after="0"/>
              <w:rPr>
                <w:sz w:val="18"/>
                <w:szCs w:val="18"/>
                <w:color w:val="auto"/>
              </w:rPr>
            </w:pPr>
          </w:p>
        </w:tc>
        <w:tc>
          <w:tcPr>
            <w:tcW w:w="340" w:type="dxa"/>
            <w:vAlign w:val="bottom"/>
            <w:gridSpan w:val="2"/>
            <w:vMerge w:val="continue"/>
            <w:shd w:val="clear" w:color="auto" w:fill="CCEEFF"/>
          </w:tcPr>
          <w:p>
            <w:pPr>
              <w:spacing w:after="0"/>
              <w:rPr>
                <w:sz w:val="18"/>
                <w:szCs w:val="18"/>
                <w:color w:val="auto"/>
              </w:rPr>
            </w:pPr>
          </w:p>
        </w:tc>
        <w:tc>
          <w:tcPr>
            <w:tcW w:w="1040" w:type="dxa"/>
            <w:vAlign w:val="bottom"/>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1020" w:type="dxa"/>
            <w:vAlign w:val="bottom"/>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1120" w:type="dxa"/>
            <w:vAlign w:val="bottom"/>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vMerge w:val="continue"/>
            <w:shd w:val="clear" w:color="auto" w:fill="CCEEFF"/>
          </w:tcPr>
          <w:p>
            <w:pPr>
              <w:spacing w:after="0"/>
              <w:rPr>
                <w:sz w:val="18"/>
                <w:szCs w:val="18"/>
                <w:color w:val="auto"/>
              </w:rPr>
            </w:pPr>
          </w:p>
        </w:tc>
        <w:tc>
          <w:tcPr>
            <w:tcW w:w="102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08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0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0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GAAP net income (loss)</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6,168</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16,536</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(421,034)</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(277,298)</w:t>
            </w:r>
          </w:p>
        </w:tc>
        <w:tc>
          <w:tcPr>
            <w:tcW w:w="0" w:type="dxa"/>
            <w:vAlign w:val="bottom"/>
          </w:tcPr>
          <w:p>
            <w:pPr>
              <w:spacing w:after="0"/>
              <w:rPr>
                <w:sz w:val="1"/>
                <w:szCs w:val="1"/>
                <w:color w:val="auto"/>
              </w:rPr>
            </w:pPr>
          </w:p>
        </w:tc>
      </w:tr>
      <w:tr>
        <w:trPr>
          <w:trHeight w:val="223"/>
        </w:trPr>
        <w:tc>
          <w:tcPr>
            <w:tcW w:w="4080" w:type="dxa"/>
            <w:vAlign w:val="bottom"/>
          </w:tcPr>
          <w:p>
            <w:pPr>
              <w:ind w:left="20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0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Other cost of goods sold (a)</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2,490</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21,470</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193,523</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35,284</w:t>
            </w:r>
          </w:p>
        </w:tc>
        <w:tc>
          <w:tcPr>
            <w:tcW w:w="0" w:type="dxa"/>
            <w:vAlign w:val="bottom"/>
          </w:tcPr>
          <w:p>
            <w:pPr>
              <w:spacing w:after="0"/>
              <w:rPr>
                <w:sz w:val="1"/>
                <w:szCs w:val="1"/>
                <w:color w:val="auto"/>
              </w:rPr>
            </w:pPr>
          </w:p>
        </w:tc>
      </w:tr>
      <w:tr>
        <w:trPr>
          <w:trHeight w:val="223"/>
        </w:trPr>
        <w:tc>
          <w:tcPr>
            <w:tcW w:w="4080" w:type="dxa"/>
            <w:vAlign w:val="bottom"/>
          </w:tcPr>
          <w:p>
            <w:pPr>
              <w:ind w:left="64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134,757</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119,090</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59,479</w:t>
            </w: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477,545</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241,539</w:t>
            </w:r>
          </w:p>
        </w:tc>
        <w:tc>
          <w:tcPr>
            <w:tcW w:w="0" w:type="dxa"/>
            <w:vAlign w:val="bottom"/>
          </w:tcPr>
          <w:p>
            <w:pPr>
              <w:spacing w:after="0"/>
              <w:rPr>
                <w:sz w:val="1"/>
                <w:szCs w:val="1"/>
                <w:color w:val="auto"/>
              </w:rPr>
            </w:pPr>
          </w:p>
        </w:tc>
      </w:tr>
      <w:tr>
        <w:trPr>
          <w:trHeight w:val="224"/>
        </w:trPr>
        <w:tc>
          <w:tcPr>
            <w:tcW w:w="40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Restructuring related charges (b)</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1,301</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9,570</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32,342</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170,759</w:t>
            </w:r>
          </w:p>
        </w:tc>
        <w:tc>
          <w:tcPr>
            <w:tcW w:w="0" w:type="dxa"/>
            <w:vAlign w:val="bottom"/>
          </w:tcPr>
          <w:p>
            <w:pPr>
              <w:spacing w:after="0"/>
              <w:rPr>
                <w:sz w:val="1"/>
                <w:szCs w:val="1"/>
                <w:color w:val="auto"/>
              </w:rPr>
            </w:pPr>
          </w:p>
        </w:tc>
      </w:tr>
      <w:tr>
        <w:trPr>
          <w:trHeight w:val="223"/>
        </w:trPr>
        <w:tc>
          <w:tcPr>
            <w:tcW w:w="4080" w:type="dxa"/>
            <w:vAlign w:val="bottom"/>
          </w:tcPr>
          <w:p>
            <w:pPr>
              <w:ind w:left="640"/>
              <w:spacing w:after="0"/>
              <w:rPr>
                <w:sz w:val="20"/>
                <w:szCs w:val="20"/>
                <w:color w:val="auto"/>
              </w:rPr>
            </w:pPr>
            <w:r>
              <w:rPr>
                <w:rFonts w:ascii="Arial" w:cs="Arial" w:eastAsia="Arial" w:hAnsi="Arial"/>
                <w:sz w:val="18"/>
                <w:szCs w:val="18"/>
                <w:color w:val="auto"/>
              </w:rPr>
              <w:t>Legal settlement (c)</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36,000</w:t>
            </w: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36,000</w:t>
            </w:r>
          </w:p>
        </w:tc>
        <w:tc>
          <w:tcPr>
            <w:tcW w:w="0" w:type="dxa"/>
            <w:vAlign w:val="bottom"/>
          </w:tcPr>
          <w:p>
            <w:pPr>
              <w:spacing w:after="0"/>
              <w:rPr>
                <w:sz w:val="1"/>
                <w:szCs w:val="1"/>
                <w:color w:val="auto"/>
              </w:rPr>
            </w:pPr>
          </w:p>
        </w:tc>
      </w:tr>
      <w:tr>
        <w:trPr>
          <w:trHeight w:val="224"/>
        </w:trPr>
        <w:tc>
          <w:tcPr>
            <w:tcW w:w="40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Other operating expenses (d)</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19,043</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25,460</w:t>
            </w: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12,480</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130,135</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49,498</w:t>
            </w:r>
          </w:p>
        </w:tc>
        <w:tc>
          <w:tcPr>
            <w:tcW w:w="0" w:type="dxa"/>
            <w:vAlign w:val="bottom"/>
          </w:tcPr>
          <w:p>
            <w:pPr>
              <w:spacing w:after="0"/>
              <w:rPr>
                <w:sz w:val="1"/>
                <w:szCs w:val="1"/>
                <w:color w:val="auto"/>
              </w:rPr>
            </w:pPr>
          </w:p>
        </w:tc>
      </w:tr>
      <w:tr>
        <w:trPr>
          <w:trHeight w:val="223"/>
        </w:trPr>
        <w:tc>
          <w:tcPr>
            <w:tcW w:w="4080" w:type="dxa"/>
            <w:vAlign w:val="bottom"/>
          </w:tcPr>
          <w:p>
            <w:pPr>
              <w:ind w:left="64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294,784</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279,282</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109,682</w:t>
            </w: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979,377</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443,616</w:t>
            </w:r>
          </w:p>
        </w:tc>
        <w:tc>
          <w:tcPr>
            <w:tcW w:w="0" w:type="dxa"/>
            <w:vAlign w:val="bottom"/>
          </w:tcPr>
          <w:p>
            <w:pPr>
              <w:spacing w:after="0"/>
              <w:rPr>
                <w:sz w:val="1"/>
                <w:szCs w:val="1"/>
                <w:color w:val="auto"/>
              </w:rPr>
            </w:pPr>
          </w:p>
        </w:tc>
      </w:tr>
      <w:tr>
        <w:trPr>
          <w:trHeight w:val="224"/>
        </w:trPr>
        <w:tc>
          <w:tcPr>
            <w:tcW w:w="40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Debt issuance related costs and other (e)</w:t>
            </w: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(3,196)</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16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6,017</w:t>
            </w:r>
          </w:p>
        </w:tc>
        <w:tc>
          <w:tcPr>
            <w:tcW w:w="2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16,629</w:t>
            </w:r>
          </w:p>
        </w:tc>
        <w:tc>
          <w:tcPr>
            <w:tcW w:w="1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5,902</w:t>
            </w:r>
          </w:p>
        </w:tc>
        <w:tc>
          <w:tcPr>
            <w:tcW w:w="0" w:type="dxa"/>
            <w:vAlign w:val="bottom"/>
          </w:tcPr>
          <w:p>
            <w:pPr>
              <w:spacing w:after="0"/>
              <w:rPr>
                <w:sz w:val="1"/>
                <w:szCs w:val="1"/>
                <w:color w:val="auto"/>
              </w:rPr>
            </w:pPr>
          </w:p>
        </w:tc>
      </w:tr>
      <w:tr>
        <w:trPr>
          <w:trHeight w:val="216"/>
        </w:trPr>
        <w:tc>
          <w:tcPr>
            <w:tcW w:w="4080" w:type="dxa"/>
            <w:vAlign w:val="bottom"/>
            <w:tcBorders>
              <w:bottom w:val="single" w:sz="8" w:color="CCEEFF"/>
            </w:tcBorders>
          </w:tcPr>
          <w:p>
            <w:pPr>
              <w:ind w:left="200"/>
              <w:spacing w:after="0" w:line="203" w:lineRule="exact"/>
              <w:rPr>
                <w:sz w:val="20"/>
                <w:szCs w:val="20"/>
                <w:color w:val="auto"/>
              </w:rPr>
            </w:pPr>
            <w:r>
              <w:rPr>
                <w:rFonts w:ascii="Arial" w:cs="Arial" w:eastAsia="Arial" w:hAnsi="Arial"/>
                <w:sz w:val="18"/>
                <w:szCs w:val="18"/>
                <w:color w:val="auto"/>
              </w:rPr>
              <w:t>Pre-tax total special items</w:t>
            </w: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449,179</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451,065</w:t>
            </w:r>
          </w:p>
        </w:tc>
        <w:tc>
          <w:tcPr>
            <w:tcW w:w="16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234,024</w:t>
            </w:r>
          </w:p>
        </w:tc>
        <w:tc>
          <w:tcPr>
            <w:tcW w:w="28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1,829,551</w:t>
            </w:r>
          </w:p>
        </w:tc>
        <w:tc>
          <w:tcPr>
            <w:tcW w:w="14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982,598</w:t>
            </w:r>
          </w:p>
        </w:tc>
        <w:tc>
          <w:tcPr>
            <w:tcW w:w="0" w:type="dxa"/>
            <w:vAlign w:val="bottom"/>
          </w:tcPr>
          <w:p>
            <w:pPr>
              <w:spacing w:after="0"/>
              <w:rPr>
                <w:sz w:val="1"/>
                <w:szCs w:val="1"/>
                <w:color w:val="auto"/>
              </w:rPr>
            </w:pPr>
          </w:p>
        </w:tc>
      </w:tr>
      <w:tr>
        <w:trPr>
          <w:trHeight w:val="217"/>
        </w:trPr>
        <w:tc>
          <w:tcPr>
            <w:tcW w:w="4080" w:type="dxa"/>
            <w:vAlign w:val="bottom"/>
            <w:shd w:val="clear" w:color="auto" w:fill="CCEEFF"/>
          </w:tcPr>
          <w:p>
            <w:pPr>
              <w:ind w:left="200"/>
              <w:spacing w:after="0" w:line="203" w:lineRule="exact"/>
              <w:rPr>
                <w:sz w:val="20"/>
                <w:szCs w:val="20"/>
                <w:color w:val="auto"/>
              </w:rPr>
            </w:pPr>
            <w:r>
              <w:rPr>
                <w:rFonts w:ascii="Arial" w:cs="Arial" w:eastAsia="Arial" w:hAnsi="Arial"/>
                <w:sz w:val="18"/>
                <w:szCs w:val="18"/>
                <w:color w:val="auto"/>
              </w:rPr>
              <w:t>Other income tax effects and adjustments (f)</w:t>
            </w: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(26,657)</w:t>
            </w:r>
          </w:p>
        </w:tc>
        <w:tc>
          <w:tcPr>
            <w:tcW w:w="1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(24,218)</w:t>
            </w:r>
          </w:p>
        </w:tc>
        <w:tc>
          <w:tcPr>
            <w:tcW w:w="16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(49,936)</w:t>
            </w: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(129,763)</w:t>
            </w:r>
          </w:p>
        </w:tc>
        <w:tc>
          <w:tcPr>
            <w:tcW w:w="140" w:type="dxa"/>
            <w:vAlign w:val="bottom"/>
            <w:shd w:val="clear" w:color="auto" w:fill="CCEEFF"/>
          </w:tcPr>
          <w:p>
            <w:pPr>
              <w:spacing w:after="0"/>
              <w:rPr>
                <w:sz w:val="18"/>
                <w:szCs w:val="18"/>
                <w:color w:val="auto"/>
              </w:rPr>
            </w:pPr>
          </w:p>
        </w:tc>
        <w:tc>
          <w:tcPr>
            <w:tcW w:w="30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(77,893)</w:t>
            </w:r>
          </w:p>
        </w:tc>
        <w:tc>
          <w:tcPr>
            <w:tcW w:w="0" w:type="dxa"/>
            <w:vAlign w:val="bottom"/>
          </w:tcPr>
          <w:p>
            <w:pPr>
              <w:spacing w:after="0"/>
              <w:rPr>
                <w:sz w:val="1"/>
                <w:szCs w:val="1"/>
                <w:color w:val="auto"/>
              </w:rPr>
            </w:pPr>
          </w:p>
        </w:tc>
      </w:tr>
      <w:tr>
        <w:trPr>
          <w:trHeight w:val="216"/>
        </w:trPr>
        <w:tc>
          <w:tcPr>
            <w:tcW w:w="4080" w:type="dxa"/>
            <w:vAlign w:val="bottom"/>
          </w:tcPr>
          <w:p>
            <w:pPr>
              <w:ind w:left="200"/>
              <w:spacing w:after="0" w:line="203" w:lineRule="exact"/>
              <w:rPr>
                <w:sz w:val="20"/>
                <w:szCs w:val="20"/>
                <w:color w:val="auto"/>
              </w:rPr>
            </w:pPr>
            <w:r>
              <w:rPr>
                <w:rFonts w:ascii="Arial" w:cs="Arial" w:eastAsia="Arial" w:hAnsi="Arial"/>
                <w:sz w:val="18"/>
                <w:szCs w:val="18"/>
                <w:color w:val="auto"/>
              </w:rPr>
              <w:t>Non-GAAP net income</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428,690</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364,315</w:t>
            </w:r>
          </w:p>
        </w:tc>
        <w:tc>
          <w:tcPr>
            <w:tcW w:w="160" w:type="dxa"/>
            <w:vAlign w:val="bottom"/>
          </w:tcPr>
          <w:p>
            <w:pPr>
              <w:spacing w:after="0"/>
              <w:rPr>
                <w:sz w:val="18"/>
                <w:szCs w:val="18"/>
                <w:color w:val="auto"/>
              </w:rPr>
            </w:pP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200,624</w:t>
            </w:r>
          </w:p>
        </w:tc>
        <w:tc>
          <w:tcPr>
            <w:tcW w:w="280" w:type="dxa"/>
            <w:vAlign w:val="bottom"/>
          </w:tcPr>
          <w:p>
            <w:pPr>
              <w:spacing w:after="0"/>
              <w:rPr>
                <w:sz w:val="18"/>
                <w:szCs w:val="18"/>
                <w:color w:val="auto"/>
              </w:rPr>
            </w:pPr>
          </w:p>
        </w:tc>
        <w:tc>
          <w:tcPr>
            <w:tcW w:w="180" w:type="dxa"/>
            <w:vAlign w:val="bottom"/>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1,278,754</w:t>
            </w:r>
          </w:p>
        </w:tc>
        <w:tc>
          <w:tcPr>
            <w:tcW w:w="140" w:type="dxa"/>
            <w:vAlign w:val="bottom"/>
          </w:tcPr>
          <w:p>
            <w:pPr>
              <w:spacing w:after="0"/>
              <w:rPr>
                <w:sz w:val="18"/>
                <w:szCs w:val="18"/>
                <w:color w:val="auto"/>
              </w:rPr>
            </w:pPr>
          </w:p>
        </w:tc>
        <w:tc>
          <w:tcPr>
            <w:tcW w:w="300" w:type="dxa"/>
            <w:vAlign w:val="bottom"/>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627,407</w:t>
            </w:r>
          </w:p>
        </w:tc>
        <w:tc>
          <w:tcPr>
            <w:tcW w:w="0" w:type="dxa"/>
            <w:vAlign w:val="bottom"/>
          </w:tcPr>
          <w:p>
            <w:pPr>
              <w:spacing w:after="0"/>
              <w:rPr>
                <w:sz w:val="1"/>
                <w:szCs w:val="1"/>
                <w:color w:val="auto"/>
              </w:rPr>
            </w:pPr>
          </w:p>
        </w:tc>
      </w:tr>
      <w:tr>
        <w:trPr>
          <w:trHeight w:val="20"/>
        </w:trPr>
        <w:tc>
          <w:tcPr>
            <w:tcW w:w="408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0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0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08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080" w:type="dxa"/>
            <w:vAlign w:val="bottom"/>
          </w:tcPr>
          <w:p>
            <w:pPr>
              <w:ind w:left="200"/>
              <w:spacing w:after="0"/>
              <w:rPr>
                <w:sz w:val="20"/>
                <w:szCs w:val="20"/>
                <w:color w:val="auto"/>
              </w:rPr>
            </w:pPr>
            <w:r>
              <w:rPr>
                <w:rFonts w:ascii="Arial" w:cs="Arial" w:eastAsia="Arial" w:hAnsi="Arial"/>
                <w:sz w:val="18"/>
                <w:szCs w:val="18"/>
                <w:color w:val="auto"/>
              </w:rPr>
              <w:t>GAAP weighted average shares — basic</w:t>
            </w: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844,419</w:t>
            </w:r>
          </w:p>
        </w:tc>
        <w:tc>
          <w:tcPr>
            <w:tcW w:w="16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828,635</w:t>
            </w:r>
          </w:p>
        </w:tc>
        <w:tc>
          <w:tcPr>
            <w:tcW w:w="1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673,529</w:t>
            </w:r>
          </w:p>
        </w:tc>
        <w:tc>
          <w:tcPr>
            <w:tcW w:w="28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796,855</w:t>
            </w:r>
          </w:p>
        </w:tc>
        <w:tc>
          <w:tcPr>
            <w:tcW w:w="14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668,772</w:t>
            </w:r>
          </w:p>
        </w:tc>
        <w:tc>
          <w:tcPr>
            <w:tcW w:w="0" w:type="dxa"/>
            <w:vAlign w:val="bottom"/>
          </w:tcPr>
          <w:p>
            <w:pPr>
              <w:spacing w:after="0"/>
              <w:rPr>
                <w:sz w:val="1"/>
                <w:szCs w:val="1"/>
                <w:color w:val="auto"/>
              </w:rPr>
            </w:pPr>
          </w:p>
        </w:tc>
      </w:tr>
      <w:tr>
        <w:trPr>
          <w:trHeight w:val="20"/>
        </w:trPr>
        <w:tc>
          <w:tcPr>
            <w:tcW w:w="408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4080" w:type="dxa"/>
            <w:vAlign w:val="bottom"/>
            <w:tcBorders>
              <w:bottom w:val="single" w:sz="8" w:color="CCEEFF"/>
            </w:tcBorders>
            <w:shd w:val="clear" w:color="auto" w:fill="CCEEFF"/>
          </w:tcPr>
          <w:p>
            <w:pPr>
              <w:ind w:left="200"/>
              <w:spacing w:after="0" w:line="202" w:lineRule="exact"/>
              <w:rPr>
                <w:sz w:val="20"/>
                <w:szCs w:val="20"/>
                <w:color w:val="auto"/>
              </w:rPr>
            </w:pPr>
            <w:r>
              <w:rPr>
                <w:rFonts w:ascii="Arial" w:cs="Arial" w:eastAsia="Arial" w:hAnsi="Arial"/>
                <w:sz w:val="18"/>
                <w:szCs w:val="18"/>
                <w:color w:val="auto"/>
              </w:rPr>
              <w:t>GAAP weighted average shares — diluted</w:t>
            </w:r>
          </w:p>
        </w:tc>
        <w:tc>
          <w:tcPr>
            <w:tcW w:w="200" w:type="dxa"/>
            <w:vAlign w:val="bottom"/>
            <w:tcBorders>
              <w:bottom w:val="single" w:sz="8" w:color="auto"/>
            </w:tcBorders>
            <w:shd w:val="clear" w:color="auto" w:fill="CCEEFF"/>
          </w:tcPr>
          <w:p>
            <w:pPr>
              <w:spacing w:after="0"/>
              <w:rPr>
                <w:sz w:val="20"/>
                <w:szCs w:val="20"/>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862,062</w:t>
            </w:r>
          </w:p>
        </w:tc>
        <w:tc>
          <w:tcPr>
            <w:tcW w:w="16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828,635</w:t>
            </w:r>
          </w:p>
        </w:tc>
        <w:tc>
          <w:tcPr>
            <w:tcW w:w="16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687,959</w:t>
            </w:r>
          </w:p>
        </w:tc>
        <w:tc>
          <w:tcPr>
            <w:tcW w:w="28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796,855</w:t>
            </w:r>
          </w:p>
        </w:tc>
        <w:tc>
          <w:tcPr>
            <w:tcW w:w="14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auto"/>
            </w:tcBorders>
            <w:shd w:val="clear" w:color="auto" w:fill="CCEEFF"/>
          </w:tcPr>
          <w:p>
            <w:pPr>
              <w:spacing w:after="0"/>
              <w:rPr>
                <w:sz w:val="20"/>
                <w:szCs w:val="20"/>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668,772</w:t>
            </w:r>
          </w:p>
        </w:tc>
        <w:tc>
          <w:tcPr>
            <w:tcW w:w="0" w:type="dxa"/>
            <w:vAlign w:val="bottom"/>
          </w:tcPr>
          <w:p>
            <w:pPr>
              <w:spacing w:after="0"/>
              <w:rPr>
                <w:sz w:val="1"/>
                <w:szCs w:val="1"/>
                <w:color w:val="auto"/>
              </w:rPr>
            </w:pPr>
          </w:p>
        </w:tc>
      </w:tr>
      <w:tr>
        <w:trPr>
          <w:trHeight w:val="20"/>
        </w:trPr>
        <w:tc>
          <w:tcPr>
            <w:tcW w:w="4080" w:type="dxa"/>
            <w:vAlign w:val="bottom"/>
            <w:tcBorders>
              <w:top w:val="single" w:sz="8" w:color="CCEEFF"/>
              <w:bottom w:val="single" w:sz="8" w:color="CCEEFF"/>
            </w:tcBorders>
            <w:vMerge w:val="restart"/>
          </w:tcPr>
          <w:p>
            <w:pPr>
              <w:ind w:left="200"/>
              <w:spacing w:after="0"/>
              <w:rPr>
                <w:sz w:val="20"/>
                <w:szCs w:val="20"/>
                <w:color w:val="auto"/>
              </w:rPr>
            </w:pPr>
            <w:r>
              <w:rPr>
                <w:rFonts w:ascii="Arial" w:cs="Arial" w:eastAsia="Arial" w:hAnsi="Arial"/>
                <w:sz w:val="18"/>
                <w:szCs w:val="18"/>
                <w:color w:val="auto"/>
                <w:w w:val="95"/>
              </w:rPr>
              <w:t>Non-GAAP weighted average shares — diluted (g)</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080" w:type="dxa"/>
            <w:vAlign w:val="bottom"/>
            <w:vMerge w:val="continue"/>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862,062</w:t>
            </w:r>
          </w:p>
        </w:tc>
        <w:tc>
          <w:tcPr>
            <w:tcW w:w="16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845,937</w:t>
            </w:r>
          </w:p>
        </w:tc>
        <w:tc>
          <w:tcPr>
            <w:tcW w:w="16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687,959</w:t>
            </w:r>
          </w:p>
        </w:tc>
        <w:tc>
          <w:tcPr>
            <w:tcW w:w="28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813,094</w:t>
            </w:r>
          </w:p>
        </w:tc>
        <w:tc>
          <w:tcPr>
            <w:tcW w:w="14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679,944</w:t>
            </w:r>
          </w:p>
        </w:tc>
        <w:tc>
          <w:tcPr>
            <w:tcW w:w="0" w:type="dxa"/>
            <w:vAlign w:val="bottom"/>
          </w:tcPr>
          <w:p>
            <w:pPr>
              <w:spacing w:after="0"/>
              <w:rPr>
                <w:sz w:val="1"/>
                <w:szCs w:val="1"/>
                <w:color w:val="auto"/>
              </w:rPr>
            </w:pPr>
          </w:p>
        </w:tc>
      </w:tr>
      <w:tr>
        <w:trPr>
          <w:trHeight w:val="20"/>
        </w:trPr>
        <w:tc>
          <w:tcPr>
            <w:tcW w:w="408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2"/>
        </w:trPr>
        <w:tc>
          <w:tcPr>
            <w:tcW w:w="408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4080" w:type="dxa"/>
            <w:vAlign w:val="bottom"/>
          </w:tcPr>
          <w:p>
            <w:pPr>
              <w:ind w:left="200"/>
              <w:spacing w:after="0"/>
              <w:rPr>
                <w:sz w:val="20"/>
                <w:szCs w:val="20"/>
                <w:color w:val="auto"/>
              </w:rPr>
            </w:pPr>
            <w:r>
              <w:rPr>
                <w:rFonts w:ascii="Arial" w:cs="Arial" w:eastAsia="Arial" w:hAnsi="Arial"/>
                <w:sz w:val="18"/>
                <w:szCs w:val="18"/>
                <w:color w:val="auto"/>
              </w:rPr>
              <w:t>GAAP diluted net income (loss) per share</w:t>
            </w: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0.01</w:t>
            </w:r>
          </w:p>
        </w:tc>
        <w:tc>
          <w:tcPr>
            <w:tcW w:w="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(0.08)</w:t>
            </w:r>
          </w:p>
        </w:tc>
        <w:tc>
          <w:tcPr>
            <w:tcW w:w="160" w:type="dxa"/>
            <w:vAlign w:val="bottom"/>
          </w:tcPr>
          <w:p>
            <w:pPr>
              <w:spacing w:after="0"/>
              <w:rPr>
                <w:sz w:val="19"/>
                <w:szCs w:val="19"/>
                <w:color w:val="auto"/>
              </w:rPr>
            </w:pP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0.02</w:t>
            </w:r>
          </w:p>
        </w:tc>
        <w:tc>
          <w:tcPr>
            <w:tcW w:w="280" w:type="dxa"/>
            <w:vAlign w:val="bottom"/>
          </w:tcPr>
          <w:p>
            <w:pPr>
              <w:spacing w:after="0"/>
              <w:rPr>
                <w:sz w:val="19"/>
                <w:szCs w:val="19"/>
                <w:color w:val="auto"/>
              </w:rPr>
            </w:pPr>
          </w:p>
        </w:tc>
        <w:tc>
          <w:tcPr>
            <w:tcW w:w="180" w:type="dxa"/>
            <w:vAlign w:val="bottom"/>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(0.53)</w:t>
            </w:r>
          </w:p>
        </w:tc>
        <w:tc>
          <w:tcPr>
            <w:tcW w:w="140" w:type="dxa"/>
            <w:vAlign w:val="bottom"/>
          </w:tcPr>
          <w:p>
            <w:pPr>
              <w:spacing w:after="0"/>
              <w:rPr>
                <w:sz w:val="19"/>
                <w:szCs w:val="19"/>
                <w:color w:val="auto"/>
              </w:rPr>
            </w:pPr>
          </w:p>
        </w:tc>
        <w:tc>
          <w:tcPr>
            <w:tcW w:w="300" w:type="dxa"/>
            <w:vAlign w:val="bottom"/>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(0.41)</w:t>
            </w:r>
          </w:p>
        </w:tc>
        <w:tc>
          <w:tcPr>
            <w:tcW w:w="0" w:type="dxa"/>
            <w:vAlign w:val="bottom"/>
          </w:tcPr>
          <w:p>
            <w:pPr>
              <w:spacing w:after="0"/>
              <w:rPr>
                <w:sz w:val="1"/>
                <w:szCs w:val="1"/>
                <w:color w:val="auto"/>
              </w:rPr>
            </w:pPr>
          </w:p>
        </w:tc>
      </w:tr>
      <w:tr>
        <w:trPr>
          <w:trHeight w:val="20"/>
        </w:trPr>
        <w:tc>
          <w:tcPr>
            <w:tcW w:w="408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4080" w:type="dxa"/>
            <w:vAlign w:val="bottom"/>
            <w:shd w:val="clear" w:color="auto" w:fill="CCEEFF"/>
          </w:tcPr>
          <w:p>
            <w:pPr>
              <w:ind w:left="200"/>
              <w:spacing w:after="0" w:line="202" w:lineRule="exact"/>
              <w:rPr>
                <w:sz w:val="20"/>
                <w:szCs w:val="20"/>
                <w:color w:val="auto"/>
              </w:rPr>
            </w:pPr>
            <w:r>
              <w:rPr>
                <w:rFonts w:ascii="Arial" w:cs="Arial" w:eastAsia="Arial" w:hAnsi="Arial"/>
                <w:sz w:val="18"/>
                <w:szCs w:val="18"/>
                <w:color w:val="auto"/>
              </w:rPr>
              <w:t>Non-GAAP diluted net income per share</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0.50</w:t>
            </w:r>
          </w:p>
        </w:tc>
        <w:tc>
          <w:tcPr>
            <w:tcW w:w="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0.43</w:t>
            </w:r>
          </w:p>
        </w:tc>
        <w:tc>
          <w:tcPr>
            <w:tcW w:w="160" w:type="dxa"/>
            <w:vAlign w:val="bottom"/>
            <w:shd w:val="clear" w:color="auto" w:fill="CCEEFF"/>
          </w:tcPr>
          <w:p>
            <w:pPr>
              <w:spacing w:after="0"/>
              <w:rPr>
                <w:sz w:val="20"/>
                <w:szCs w:val="20"/>
                <w:color w:val="auto"/>
              </w:rPr>
            </w:pP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280" w:type="dxa"/>
            <w:vAlign w:val="bottom"/>
            <w:shd w:val="clear" w:color="auto" w:fill="CCEEFF"/>
          </w:tcPr>
          <w:p>
            <w:pPr>
              <w:spacing w:after="0"/>
              <w:rPr>
                <w:sz w:val="20"/>
                <w:szCs w:val="20"/>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w:t>
            </w:r>
          </w:p>
        </w:tc>
        <w:tc>
          <w:tcPr>
            <w:tcW w:w="14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0.92</w:t>
            </w:r>
          </w:p>
        </w:tc>
        <w:tc>
          <w:tcPr>
            <w:tcW w:w="0" w:type="dxa"/>
            <w:vAlign w:val="bottom"/>
          </w:tcPr>
          <w:p>
            <w:pPr>
              <w:spacing w:after="0"/>
              <w:rPr>
                <w:sz w:val="1"/>
                <w:szCs w:val="1"/>
                <w:color w:val="auto"/>
              </w:rPr>
            </w:pPr>
          </w:p>
        </w:tc>
      </w:tr>
      <w:tr>
        <w:trPr>
          <w:trHeight w:val="20"/>
        </w:trPr>
        <w:tc>
          <w:tcPr>
            <w:tcW w:w="40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140"/>
          </w:cols>
          <w:pgMar w:left="380" w:top="1107" w:right="379" w:bottom="1440" w:gutter="0" w:footer="0" w:header="0"/>
        </w:sectPr>
      </w:pPr>
    </w:p>
    <w:bookmarkStart w:id="12" w:name="page13"/>
    <w:bookmarkEnd w:id="12"/>
    <w:p>
      <w:pPr>
        <w:ind w:left="437" w:hanging="437"/>
        <w:spacing w:after="0"/>
        <w:tabs>
          <w:tab w:leader="none" w:pos="43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acquired inventory fair value adjustments.</w:t>
      </w:r>
    </w:p>
    <w:p>
      <w:pPr>
        <w:spacing w:after="0" w:line="134" w:lineRule="exact"/>
        <w:rPr>
          <w:rFonts w:ascii="Arial" w:cs="Arial" w:eastAsia="Arial" w:hAnsi="Arial"/>
          <w:sz w:val="18"/>
          <w:szCs w:val="18"/>
          <w:i w:val="1"/>
          <w:iCs w:val="1"/>
          <w:color w:val="auto"/>
        </w:rPr>
      </w:pPr>
    </w:p>
    <w:p>
      <w:pPr>
        <w:ind w:left="437" w:hanging="437"/>
        <w:spacing w:after="0"/>
        <w:tabs>
          <w:tab w:leader="none" w:pos="437"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Restructuring and other related items include asset impairment charges, employee severance costs, facilities related charges, and other.</w:t>
      </w:r>
    </w:p>
    <w:p>
      <w:pPr>
        <w:spacing w:after="0" w:line="144" w:lineRule="exact"/>
        <w:rPr>
          <w:rFonts w:ascii="Arial" w:cs="Arial" w:eastAsia="Arial" w:hAnsi="Arial"/>
          <w:sz w:val="16"/>
          <w:szCs w:val="16"/>
          <w:i w:val="1"/>
          <w:iCs w:val="1"/>
          <w:color w:val="auto"/>
        </w:rPr>
      </w:pPr>
    </w:p>
    <w:p>
      <w:pPr>
        <w:ind w:left="437" w:hanging="437"/>
        <w:spacing w:after="0"/>
        <w:tabs>
          <w:tab w:leader="none" w:pos="43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Represents a legal settlement relating to a commercial agreement.</w:t>
      </w:r>
    </w:p>
    <w:p>
      <w:pPr>
        <w:spacing w:after="0" w:line="134" w:lineRule="exact"/>
        <w:rPr>
          <w:rFonts w:ascii="Arial" w:cs="Arial" w:eastAsia="Arial" w:hAnsi="Arial"/>
          <w:sz w:val="18"/>
          <w:szCs w:val="18"/>
          <w:i w:val="1"/>
          <w:iCs w:val="1"/>
          <w:color w:val="auto"/>
        </w:rPr>
      </w:pPr>
    </w:p>
    <w:p>
      <w:pPr>
        <w:ind w:left="437" w:hanging="437"/>
        <w:spacing w:after="0"/>
        <w:tabs>
          <w:tab w:leader="none" w:pos="43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and merger costs associated with acquisitions.</w:t>
      </w:r>
    </w:p>
    <w:p>
      <w:pPr>
        <w:spacing w:after="0" w:line="134" w:lineRule="exact"/>
        <w:rPr>
          <w:rFonts w:ascii="Arial" w:cs="Arial" w:eastAsia="Arial" w:hAnsi="Arial"/>
          <w:sz w:val="18"/>
          <w:szCs w:val="18"/>
          <w:i w:val="1"/>
          <w:iCs w:val="1"/>
          <w:color w:val="auto"/>
        </w:rPr>
      </w:pPr>
    </w:p>
    <w:p>
      <w:pPr>
        <w:ind w:left="437" w:hanging="437"/>
        <w:spacing w:after="0"/>
        <w:tabs>
          <w:tab w:leader="none" w:pos="43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Debt issuance related costs and other includes the partial term loan repayment and bridge financing.</w:t>
      </w:r>
    </w:p>
    <w:p>
      <w:pPr>
        <w:spacing w:after="0" w:line="121" w:lineRule="exact"/>
        <w:rPr>
          <w:rFonts w:ascii="Arial" w:cs="Arial" w:eastAsia="Arial" w:hAnsi="Arial"/>
          <w:sz w:val="18"/>
          <w:szCs w:val="18"/>
          <w:i w:val="1"/>
          <w:iCs w:val="1"/>
          <w:color w:val="auto"/>
        </w:rPr>
      </w:pPr>
    </w:p>
    <w:p>
      <w:pPr>
        <w:ind w:left="437" w:hanging="437"/>
        <w:spacing w:after="0"/>
        <w:tabs>
          <w:tab w:leader="none" w:pos="43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w:t>
      </w:r>
    </w:p>
    <w:p>
      <w:pPr>
        <w:spacing w:after="0" w:line="134" w:lineRule="exact"/>
        <w:rPr>
          <w:rFonts w:ascii="Arial" w:cs="Arial" w:eastAsia="Arial" w:hAnsi="Arial"/>
          <w:sz w:val="18"/>
          <w:szCs w:val="18"/>
          <w:i w:val="1"/>
          <w:iCs w:val="1"/>
          <w:color w:val="auto"/>
        </w:rPr>
      </w:pPr>
    </w:p>
    <w:p>
      <w:pPr>
        <w:ind w:left="437" w:hanging="437"/>
        <w:spacing w:after="0"/>
        <w:tabs>
          <w:tab w:leader="none" w:pos="437" w:val="left"/>
        </w:tabs>
        <w:numPr>
          <w:ilvl w:val="0"/>
          <w:numId w:val="5"/>
        </w:numPr>
        <w:rPr>
          <w:rFonts w:ascii="Arial" w:cs="Arial" w:eastAsia="Arial" w:hAnsi="Arial"/>
          <w:sz w:val="15"/>
          <w:szCs w:val="15"/>
          <w:i w:val="1"/>
          <w:iCs w:val="1"/>
          <w:color w:val="auto"/>
        </w:rPr>
      </w:pPr>
      <w:r>
        <w:rPr>
          <w:rFonts w:ascii="Arial" w:cs="Arial" w:eastAsia="Arial" w:hAnsi="Arial"/>
          <w:sz w:val="15"/>
          <w:szCs w:val="15"/>
          <w:color w:val="auto"/>
        </w:rPr>
        <w:t>Non-GAAP diluted weighted average shares differs from GAAP diluted weighted average shares due to the non-GAAP net income reported.</w:t>
      </w:r>
    </w:p>
    <w:p>
      <w:pPr>
        <w:sectPr>
          <w:pgSz w:w="11900" w:h="16838" w:orient="portrait"/>
          <w:cols w:equalWidth="0" w:num="1">
            <w:col w:w="10317"/>
          </w:cols>
          <w:pgMar w:left="343" w:top="1113" w:right="1239" w:bottom="1440" w:gutter="0" w:footer="0" w:header="0"/>
        </w:sectPr>
      </w:pPr>
    </w:p>
    <w:bookmarkStart w:id="13" w:name="page14"/>
    <w:bookmarkEnd w:id="13"/>
    <w:p>
      <w:pPr>
        <w:jc w:val="center"/>
        <w:ind w:right="-83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839"/>
        <w:spacing w:after="0"/>
        <w:rPr>
          <w:sz w:val="20"/>
          <w:szCs w:val="20"/>
          <w:color w:val="auto"/>
        </w:rPr>
      </w:pPr>
      <w:r>
        <w:rPr>
          <w:rFonts w:ascii="Arial" w:cs="Arial" w:eastAsia="Arial" w:hAnsi="Arial"/>
          <w:sz w:val="16"/>
          <w:szCs w:val="16"/>
          <w:b w:val="1"/>
          <w:bCs w:val="1"/>
          <w:color w:val="auto"/>
        </w:rPr>
        <w:t>Outlook for the First Quarter of Fiscal Year 2023</w:t>
      </w:r>
    </w:p>
    <w:p>
      <w:pPr>
        <w:spacing w:after="0" w:line="39" w:lineRule="exact"/>
        <w:rPr>
          <w:sz w:val="20"/>
          <w:szCs w:val="20"/>
          <w:color w:val="auto"/>
        </w:rPr>
      </w:pPr>
    </w:p>
    <w:p>
      <w:pPr>
        <w:jc w:val="center"/>
        <w:ind w:right="-79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39" w:lineRule="exact"/>
        <w:rPr>
          <w:sz w:val="20"/>
          <w:szCs w:val="20"/>
          <w:color w:val="auto"/>
        </w:rPr>
      </w:pPr>
    </w:p>
    <w:p>
      <w:pPr>
        <w:jc w:val="center"/>
        <w:ind w:right="-8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20"/>
          </w:cols>
          <w:pgMar w:left="340" w:top="1343" w:right="1139" w:bottom="1440" w:gutter="0" w:footer="0" w:header="0"/>
        </w:sect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-135890</wp:posOffset>
            </wp:positionV>
            <wp:extent cx="7136130" cy="1504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0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costs of goods sold</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87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13970</wp:posOffset>
            </wp:positionV>
            <wp:extent cx="7136130" cy="1416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Share-based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5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Other operating expenses</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250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3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diluted net income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 of goods sold</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6"/>
          <w:szCs w:val="16"/>
          <w:color w:val="auto"/>
        </w:rPr>
        <w:t>Other income tax effects and adjustments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2"/>
          <w:szCs w:val="12"/>
          <w:b w:val="1"/>
          <w:bCs w:val="1"/>
          <w:color w:val="auto"/>
        </w:rPr>
        <w:t>Outlook for Three Months Ended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April 30, 2022</w:t>
      </w:r>
    </w:p>
    <w:p>
      <w:pPr>
        <w:spacing w:after="0" w:line="30" w:lineRule="exact"/>
        <w:rPr>
          <w:sz w:val="20"/>
          <w:szCs w:val="20"/>
          <w:color w:val="auto"/>
        </w:rPr>
      </w:pPr>
    </w:p>
    <w:p>
      <w:pPr>
        <w:ind w:left="520"/>
        <w:spacing w:after="0"/>
        <w:rPr>
          <w:sz w:val="20"/>
          <w:szCs w:val="20"/>
          <w:color w:val="auto"/>
        </w:rPr>
      </w:pPr>
      <w:r>
        <w:rPr>
          <w:rFonts w:ascii="Arial" w:cs="Arial" w:eastAsia="Arial" w:hAnsi="Arial"/>
          <w:sz w:val="18"/>
          <w:szCs w:val="18"/>
          <w:color w:val="auto"/>
        </w:rPr>
        <w:t>$1,425 +/- 3%</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p>
    <w:p>
      <w:pPr>
        <w:spacing w:after="0" w:line="3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$1,425 +/- 3%</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49.6% - 50.6%</w:t>
      </w:r>
    </w:p>
    <w:p>
      <w:pPr>
        <w:spacing w:after="0" w:line="24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0.7%</w:t>
      </w:r>
    </w:p>
    <w:p>
      <w:pPr>
        <w:spacing w:after="0" w:line="16" w:lineRule="exact"/>
        <w:rPr>
          <w:sz w:val="20"/>
          <w:szCs w:val="20"/>
          <w:color w:val="auto"/>
        </w:rPr>
      </w:pPr>
    </w:p>
    <w:p>
      <w:pPr>
        <w:ind w:left="780"/>
        <w:spacing w:after="0"/>
        <w:rPr>
          <w:sz w:val="20"/>
          <w:szCs w:val="20"/>
          <w:color w:val="auto"/>
        </w:rPr>
      </w:pPr>
      <w:r>
        <w:rPr>
          <w:rFonts w:ascii="Arial" w:cs="Arial" w:eastAsia="Arial" w:hAnsi="Arial"/>
          <w:sz w:val="18"/>
          <w:szCs w:val="18"/>
          <w:color w:val="auto"/>
        </w:rPr>
        <w:t>12.9%</w:t>
      </w:r>
    </w:p>
    <w:p>
      <w:pPr>
        <w:spacing w:after="0" w:line="16" w:lineRule="exact"/>
        <w:rPr>
          <w:sz w:val="20"/>
          <w:szCs w:val="20"/>
          <w:color w:val="auto"/>
        </w:rPr>
      </w:pPr>
    </w:p>
    <w:p>
      <w:pPr>
        <w:ind w:left="820"/>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620"/>
        <w:spacing w:after="0"/>
        <w:rPr>
          <w:sz w:val="20"/>
          <w:szCs w:val="20"/>
          <w:color w:val="auto"/>
        </w:rPr>
      </w:pPr>
      <w:r>
        <w:rPr>
          <w:rFonts w:ascii="Arial" w:cs="Arial" w:eastAsia="Arial" w:hAnsi="Arial"/>
          <w:sz w:val="18"/>
          <w:szCs w:val="18"/>
          <w:color w:val="auto"/>
        </w:rPr>
        <w:t>65% - 66%</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$667 - $677</w:t>
      </w:r>
    </w:p>
    <w:p>
      <w:pPr>
        <w:spacing w:after="0" w:line="240" w:lineRule="exact"/>
        <w:rPr>
          <w:sz w:val="20"/>
          <w:szCs w:val="20"/>
          <w:color w:val="auto"/>
        </w:rPr>
      </w:pPr>
    </w:p>
    <w:p>
      <w:pPr>
        <w:ind w:left="880"/>
        <w:spacing w:after="0"/>
        <w:rPr>
          <w:sz w:val="20"/>
          <w:szCs w:val="20"/>
          <w:color w:val="auto"/>
        </w:rPr>
      </w:pPr>
      <w:r>
        <w:rPr>
          <w:rFonts w:ascii="Arial" w:cs="Arial" w:eastAsia="Arial" w:hAnsi="Arial"/>
          <w:sz w:val="18"/>
          <w:szCs w:val="18"/>
          <w:color w:val="auto"/>
        </w:rPr>
        <w:t>121</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99</w:t>
      </w:r>
    </w:p>
    <w:p>
      <w:pPr>
        <w:spacing w:after="0" w:line="16" w:lineRule="exact"/>
        <w:rPr>
          <w:sz w:val="20"/>
          <w:szCs w:val="20"/>
          <w:color w:val="auto"/>
        </w:rPr>
      </w:pPr>
    </w:p>
    <w:p>
      <w:pPr>
        <w:ind w:left="960"/>
        <w:spacing w:after="0"/>
        <w:rPr>
          <w:sz w:val="20"/>
          <w:szCs w:val="20"/>
          <w:color w:val="auto"/>
        </w:rPr>
      </w:pPr>
      <w:r>
        <w:rPr>
          <w:rFonts w:ascii="Arial" w:cs="Arial" w:eastAsia="Arial" w:hAnsi="Arial"/>
          <w:sz w:val="18"/>
          <w:szCs w:val="18"/>
          <w:color w:val="auto"/>
        </w:rPr>
        <w:t>4</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580"/>
        <w:spacing w:after="0"/>
        <w:rPr>
          <w:sz w:val="20"/>
          <w:szCs w:val="20"/>
          <w:color w:val="auto"/>
        </w:rPr>
      </w:pPr>
      <w:r>
        <w:rPr>
          <w:rFonts w:ascii="Arial" w:cs="Arial" w:eastAsia="Arial" w:hAnsi="Arial"/>
          <w:sz w:val="18"/>
          <w:szCs w:val="18"/>
          <w:color w:val="auto"/>
        </w:rPr>
        <w:t>$430 - $435</w:t>
      </w:r>
    </w:p>
    <w:p>
      <w:pPr>
        <w:spacing w:after="0" w:line="200" w:lineRule="exact"/>
        <w:rPr>
          <w:sz w:val="20"/>
          <w:szCs w:val="20"/>
          <w:color w:val="auto"/>
        </w:rPr>
      </w:pPr>
    </w:p>
    <w:p>
      <w:pPr>
        <w:spacing w:after="0" w:line="224" w:lineRule="exact"/>
        <w:rPr>
          <w:sz w:val="20"/>
          <w:szCs w:val="20"/>
          <w:color w:val="auto"/>
        </w:rPr>
      </w:pPr>
    </w:p>
    <w:p>
      <w:pPr>
        <w:ind w:left="500"/>
        <w:spacing w:after="0"/>
        <w:rPr>
          <w:sz w:val="20"/>
          <w:szCs w:val="20"/>
          <w:color w:val="auto"/>
        </w:rPr>
      </w:pPr>
      <w:r>
        <w:rPr>
          <w:rFonts w:ascii="Arial" w:cs="Arial" w:eastAsia="Arial" w:hAnsi="Arial"/>
          <w:sz w:val="18"/>
          <w:szCs w:val="18"/>
          <w:color w:val="auto"/>
        </w:rPr>
        <w:t>$0.01 +/- $0.04</w:t>
      </w:r>
    </w:p>
    <w:p>
      <w:pPr>
        <w:spacing w:after="0" w:line="24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0.15</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0.33</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0.03</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0.02</w:t>
      </w:r>
    </w:p>
    <w:p>
      <w:pPr>
        <w:spacing w:after="0" w:line="16" w:lineRule="exact"/>
        <w:rPr>
          <w:sz w:val="20"/>
          <w:szCs w:val="20"/>
          <w:color w:val="auto"/>
        </w:rPr>
      </w:pPr>
    </w:p>
    <w:p>
      <w:pPr>
        <w:ind w:left="800"/>
        <w:spacing w:after="0"/>
        <w:rPr>
          <w:sz w:val="20"/>
          <w:szCs w:val="20"/>
          <w:color w:val="auto"/>
        </w:rPr>
      </w:pPr>
      <w:r>
        <w:rPr>
          <w:rFonts w:ascii="Arial" w:cs="Arial" w:eastAsia="Arial" w:hAnsi="Arial"/>
          <w:sz w:val="18"/>
          <w:szCs w:val="18"/>
          <w:color w:val="auto"/>
        </w:rPr>
        <w:t>(0.03)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$0.51 +/- $0.03</w:t>
      </w:r>
    </w:p>
    <w:p>
      <w:pPr>
        <w:sectPr>
          <w:pgSz w:w="11900" w:h="16838" w:orient="portrait"/>
          <w:cols w:equalWidth="0" w:num="2">
            <w:col w:w="7680" w:space="720"/>
            <w:col w:w="2020"/>
          </w:cols>
          <w:pgMar w:left="340" w:top="1343" w:right="1139" w:bottom="1440" w:gutter="0" w:footer="0" w:header="0"/>
          <w:type w:val="continuous"/>
        </w:sectPr>
      </w:pPr>
    </w:p>
    <w:bookmarkStart w:id="14" w:name="page15"/>
    <w:bookmarkEnd w:id="14"/>
    <w:p>
      <w:pPr>
        <w:jc w:val="center"/>
        <w:ind w:right="100"/>
        <w:spacing w:after="0"/>
        <w:rPr>
          <w:sz w:val="20"/>
          <w:szCs w:val="20"/>
          <w:color w:val="auto"/>
        </w:rPr>
      </w:pPr>
      <w:r>
        <w:rPr>
          <w:rFonts w:ascii="Arial" w:cs="Arial" w:eastAsia="Arial" w:hAnsi="Arial"/>
          <w:sz w:val="18"/>
          <w:szCs w:val="18"/>
          <w:b w:val="1"/>
          <w:bCs w:val="1"/>
          <w:color w:val="auto"/>
        </w:rPr>
        <w:t>Quarterly Revenue Trend (Unaudited)</w:t>
      </w:r>
    </w:p>
    <w:p>
      <w:pPr>
        <w:spacing w:after="0" w:line="233" w:lineRule="exact"/>
        <w:rPr>
          <w:sz w:val="20"/>
          <w:szCs w:val="20"/>
          <w:color w:val="auto"/>
        </w:rPr>
      </w:pPr>
    </w:p>
    <w:p>
      <w:pPr>
        <w:ind w:right="200" w:firstLine="394"/>
        <w:spacing w:after="0" w:line="289" w:lineRule="auto"/>
        <w:rPr>
          <w:sz w:val="20"/>
          <w:szCs w:val="20"/>
          <w:color w:val="auto"/>
        </w:rPr>
      </w:pPr>
      <w:r>
        <w:rPr>
          <w:rFonts w:ascii="Arial" w:cs="Arial" w:eastAsia="Arial" w:hAnsi="Arial"/>
          <w:sz w:val="16"/>
          <w:szCs w:val="16"/>
          <w:color w:val="auto"/>
        </w:rPr>
        <w:t>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193"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8"/>
                <w:szCs w:val="18"/>
                <w:b w:val="1"/>
                <w:bCs w:val="1"/>
                <w:color w:val="auto"/>
              </w:rPr>
              <w:t>End market</w:t>
            </w:r>
          </w:p>
        </w:tc>
        <w:tc>
          <w:tcPr>
            <w:tcW w:w="400" w:type="dxa"/>
            <w:vAlign w:val="bottom"/>
            <w:tcBorders>
              <w:top w:val="single" w:sz="8" w:color="auto"/>
            </w:tcBorders>
          </w:tcPr>
          <w:p>
            <w:pPr>
              <w:spacing w:after="0"/>
              <w:rPr>
                <w:sz w:val="21"/>
                <w:szCs w:val="21"/>
                <w:color w:val="auto"/>
              </w:rPr>
            </w:pPr>
          </w:p>
        </w:tc>
        <w:tc>
          <w:tcPr>
            <w:tcW w:w="6820" w:type="dxa"/>
            <w:vAlign w:val="bottom"/>
            <w:tcBorders>
              <w:top w:val="single" w:sz="8" w:color="auto"/>
            </w:tcBorders>
          </w:tcPr>
          <w:p>
            <w:pPr>
              <w:ind w:left="20"/>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6820" w:type="dxa"/>
            <w:vAlign w:val="bottom"/>
            <w:tcBorders>
              <w:bottom w:val="single" w:sz="8" w:color="auto"/>
            </w:tcBorders>
          </w:tcPr>
          <w:p>
            <w:pPr>
              <w:spacing w:after="0"/>
              <w:rPr>
                <w:sz w:val="2"/>
                <w:szCs w:val="2"/>
                <w:color w:val="auto"/>
              </w:rPr>
            </w:pP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Data center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Cloud and on-premise Artificial intelligence (AI) systems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network-attached storage (NAS)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servers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systems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Data center interconnect (DCI)</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Carrier infrastructure</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Digital Subscriber Line Access Multiplexers (DSLAMs)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Optical transport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Routers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Wireless radio access network (RAN) systems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Enterprise networking</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Campus and small medium enterprise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Campus and small medium enterprise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Network appliances (firewalls, and load balancers)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Workstations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Consumer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Broadband gateways and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Home data storage</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Home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Printers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Set-top boxes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Automotive/industrial</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Advanced driver-assistance systems (ADAS)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In-vehicle networking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Industrial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United States military and government solutions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Video surveillance</w:t>
            </w:r>
          </w:p>
        </w:tc>
      </w:tr>
    </w:tbl>
    <w:p>
      <w:pPr>
        <w:sectPr>
          <w:pgSz w:w="11900" w:h="16838" w:orient="portrait"/>
          <w:cols w:equalWidth="0" w:num="1">
            <w:col w:w="11340"/>
          </w:cols>
          <w:pgMar w:left="320" w:top="1067" w:right="239" w:bottom="144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000" w:type="dxa"/>
            <w:vAlign w:val="bottom"/>
            <w:gridSpan w:val="15"/>
          </w:tcPr>
          <w:p>
            <w:pPr>
              <w:jc w:val="center"/>
              <w:ind w:right="2040"/>
              <w:spacing w:after="0"/>
              <w:rPr>
                <w:sz w:val="20"/>
                <w:szCs w:val="20"/>
                <w:color w:val="auto"/>
              </w:rPr>
            </w:pPr>
            <w:r>
              <w:rPr>
                <w:rFonts w:ascii="Arial" w:cs="Arial" w:eastAsia="Arial" w:hAnsi="Arial"/>
                <w:sz w:val="18"/>
                <w:szCs w:val="18"/>
                <w:b w:val="1"/>
                <w:bCs w:val="1"/>
                <w:color w:val="auto"/>
                <w:w w:val="90"/>
              </w:rPr>
              <w:t>Quarterly Revenue Trend (Unaudited) (Continued)</w:t>
            </w:r>
          </w:p>
        </w:tc>
        <w:tc>
          <w:tcPr>
            <w:tcW w:w="1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3"/>
        </w:trPr>
        <w:tc>
          <w:tcPr>
            <w:tcW w:w="218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4"/>
          </w:tcPr>
          <w:p>
            <w:pPr>
              <w:ind w:left="40"/>
              <w:spacing w:after="0"/>
              <w:rPr>
                <w:sz w:val="20"/>
                <w:szCs w:val="20"/>
                <w:color w:val="auto"/>
              </w:rPr>
            </w:pPr>
            <w:r>
              <w:rPr>
                <w:rFonts w:ascii="Arial" w:cs="Arial" w:eastAsia="Arial" w:hAnsi="Arial"/>
                <w:sz w:val="18"/>
                <w:szCs w:val="18"/>
                <w:b w:val="1"/>
                <w:bCs w:val="1"/>
                <w:color w:val="auto"/>
                <w:w w:val="96"/>
              </w:rPr>
              <w:t>Three Months Ended</w:t>
            </w:r>
          </w:p>
        </w:tc>
        <w:tc>
          <w:tcPr>
            <w:tcW w:w="220" w:type="dxa"/>
            <w:vAlign w:val="bottom"/>
            <w:tcBorders>
              <w:bottom w:val="single" w:sz="8" w:color="auto"/>
            </w:tcBorders>
          </w:tcPr>
          <w:p>
            <w:pPr>
              <w:spacing w:after="0"/>
              <w:rPr>
                <w:sz w:val="24"/>
                <w:szCs w:val="24"/>
                <w:color w:val="auto"/>
              </w:rPr>
            </w:pPr>
          </w:p>
        </w:tc>
        <w:tc>
          <w:tcPr>
            <w:tcW w:w="14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00" w:type="dxa"/>
            <w:vAlign w:val="bottom"/>
            <w:tcBorders>
              <w:bottom w:val="single" w:sz="8" w:color="auto"/>
            </w:tcBorders>
            <w:gridSpan w:val="5"/>
          </w:tcPr>
          <w:p>
            <w:pPr>
              <w:ind w:left="1460"/>
              <w:spacing w:after="0"/>
              <w:rPr>
                <w:sz w:val="20"/>
                <w:szCs w:val="20"/>
                <w:color w:val="auto"/>
              </w:rPr>
            </w:pPr>
            <w:r>
              <w:rPr>
                <w:rFonts w:ascii="Arial" w:cs="Arial" w:eastAsia="Arial" w:hAnsi="Arial"/>
                <w:sz w:val="18"/>
                <w:szCs w:val="18"/>
                <w:b w:val="1"/>
                <w:bCs w:val="1"/>
                <w:color w:val="auto"/>
                <w:w w:val="94"/>
              </w:rPr>
              <w:t>% Change</w:t>
            </w:r>
          </w:p>
        </w:tc>
        <w:tc>
          <w:tcPr>
            <w:tcW w:w="14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0"/>
              <w:spacing w:after="0" w:line="164" w:lineRule="exact"/>
              <w:rPr>
                <w:sz w:val="20"/>
                <w:szCs w:val="20"/>
                <w:color w:val="auto"/>
              </w:rPr>
            </w:pPr>
            <w:r>
              <w:rPr>
                <w:rFonts w:ascii="Arial" w:cs="Arial" w:eastAsia="Arial" w:hAnsi="Arial"/>
                <w:sz w:val="18"/>
                <w:szCs w:val="18"/>
                <w:b w:val="1"/>
                <w:bCs w:val="1"/>
                <w:color w:val="auto"/>
                <w:w w:val="92"/>
              </w:rPr>
              <w:t>Revenue by End Market (In</w:t>
            </w:r>
          </w:p>
        </w:tc>
        <w:tc>
          <w:tcPr>
            <w:tcW w:w="240" w:type="dxa"/>
            <w:vAlign w:val="bottom"/>
          </w:tcPr>
          <w:p>
            <w:pPr>
              <w:spacing w:after="0"/>
              <w:rPr>
                <w:sz w:val="14"/>
                <w:szCs w:val="14"/>
                <w:color w:val="auto"/>
              </w:rPr>
            </w:pPr>
          </w:p>
        </w:tc>
        <w:tc>
          <w:tcPr>
            <w:tcW w:w="1420" w:type="dxa"/>
            <w:vAlign w:val="bottom"/>
          </w:tcPr>
          <w:p>
            <w:pPr>
              <w:jc w:val="right"/>
              <w:ind w:right="292"/>
              <w:spacing w:after="0" w:line="164" w:lineRule="exact"/>
              <w:rPr>
                <w:sz w:val="20"/>
                <w:szCs w:val="20"/>
                <w:color w:val="auto"/>
              </w:rPr>
            </w:pPr>
            <w:r>
              <w:rPr>
                <w:rFonts w:ascii="Arial" w:cs="Arial" w:eastAsia="Arial" w:hAnsi="Arial"/>
                <w:sz w:val="18"/>
                <w:szCs w:val="18"/>
                <w:b w:val="1"/>
                <w:bCs w:val="1"/>
                <w:color w:val="auto"/>
              </w:rPr>
              <w:t>January 29,</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520" w:type="dxa"/>
            <w:vAlign w:val="bottom"/>
            <w:gridSpan w:val="3"/>
          </w:tcPr>
          <w:p>
            <w:pPr>
              <w:ind w:left="140"/>
              <w:spacing w:after="0" w:line="164" w:lineRule="exact"/>
              <w:rPr>
                <w:sz w:val="20"/>
                <w:szCs w:val="20"/>
                <w:color w:val="auto"/>
              </w:rPr>
            </w:pPr>
            <w:r>
              <w:rPr>
                <w:rFonts w:ascii="Arial" w:cs="Arial" w:eastAsia="Arial" w:hAnsi="Arial"/>
                <w:sz w:val="18"/>
                <w:szCs w:val="18"/>
                <w:b w:val="1"/>
                <w:bCs w:val="1"/>
                <w:color w:val="auto"/>
              </w:rPr>
              <w:t>October 30,</w:t>
            </w:r>
          </w:p>
        </w:tc>
        <w:tc>
          <w:tcPr>
            <w:tcW w:w="220" w:type="dxa"/>
            <w:vAlign w:val="bottom"/>
          </w:tcPr>
          <w:p>
            <w:pPr>
              <w:spacing w:after="0"/>
              <w:rPr>
                <w:sz w:val="14"/>
                <w:szCs w:val="14"/>
                <w:color w:val="auto"/>
              </w:rPr>
            </w:pPr>
          </w:p>
        </w:tc>
        <w:tc>
          <w:tcPr>
            <w:tcW w:w="1460" w:type="dxa"/>
            <w:vAlign w:val="bottom"/>
            <w:gridSpan w:val="2"/>
          </w:tcPr>
          <w:p>
            <w:pPr>
              <w:jc w:val="right"/>
              <w:ind w:right="400"/>
              <w:spacing w:after="0" w:line="164" w:lineRule="exact"/>
              <w:rPr>
                <w:sz w:val="20"/>
                <w:szCs w:val="20"/>
                <w:color w:val="auto"/>
              </w:rPr>
            </w:pPr>
            <w:r>
              <w:rPr>
                <w:rFonts w:ascii="Arial" w:cs="Arial" w:eastAsia="Arial" w:hAnsi="Arial"/>
                <w:sz w:val="18"/>
                <w:szCs w:val="18"/>
                <w:b w:val="1"/>
                <w:bCs w:val="1"/>
                <w:color w:val="auto"/>
              </w:rPr>
              <w:t>January 30,</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0" w:type="dxa"/>
            <w:vAlign w:val="bottom"/>
            <w:gridSpan w:val="2"/>
            <w:vMerge w:val="restart"/>
          </w:tcPr>
          <w:p>
            <w:pPr>
              <w:ind w:left="740"/>
              <w:spacing w:after="0"/>
              <w:rPr>
                <w:sz w:val="20"/>
                <w:szCs w:val="20"/>
                <w:color w:val="auto"/>
              </w:rPr>
            </w:pPr>
            <w:r>
              <w:rPr>
                <w:rFonts w:ascii="Arial" w:cs="Arial" w:eastAsia="Arial" w:hAnsi="Arial"/>
                <w:sz w:val="18"/>
                <w:szCs w:val="18"/>
                <w:b w:val="1"/>
                <w:bCs w:val="1"/>
                <w:color w:val="auto"/>
              </w:rPr>
              <w:t>YoY</w:t>
            </w:r>
          </w:p>
        </w:tc>
        <w:tc>
          <w:tcPr>
            <w:tcW w:w="120" w:type="dxa"/>
            <w:vAlign w:val="bottom"/>
            <w:gridSpan w:val="2"/>
            <w:vMerge w:val="restart"/>
          </w:tcPr>
          <w:p>
            <w:pPr>
              <w:spacing w:after="0"/>
              <w:rPr>
                <w:sz w:val="14"/>
                <w:szCs w:val="14"/>
                <w:color w:val="auto"/>
              </w:rPr>
            </w:pPr>
          </w:p>
        </w:tc>
        <w:tc>
          <w:tcPr>
            <w:tcW w:w="380" w:type="dxa"/>
            <w:vAlign w:val="bottom"/>
            <w:vMerge w:val="restart"/>
          </w:tcPr>
          <w:p>
            <w:pPr>
              <w:spacing w:after="0"/>
              <w:rPr>
                <w:sz w:val="14"/>
                <w:szCs w:val="14"/>
                <w:color w:val="auto"/>
              </w:rPr>
            </w:pPr>
          </w:p>
        </w:tc>
        <w:tc>
          <w:tcPr>
            <w:tcW w:w="1400" w:type="dxa"/>
            <w:vAlign w:val="bottom"/>
            <w:vMerge w:val="restart"/>
          </w:tcPr>
          <w:p>
            <w:pPr>
              <w:jc w:val="center"/>
              <w:ind w:right="312"/>
              <w:spacing w:after="0"/>
              <w:rPr>
                <w:sz w:val="20"/>
                <w:szCs w:val="20"/>
                <w:color w:val="auto"/>
              </w:rPr>
            </w:pPr>
            <w:r>
              <w:rPr>
                <w:rFonts w:ascii="Arial" w:cs="Arial" w:eastAsia="Arial" w:hAnsi="Arial"/>
                <w:sz w:val="18"/>
                <w:szCs w:val="18"/>
                <w:b w:val="1"/>
                <w:bCs w:val="1"/>
                <w:color w:val="auto"/>
                <w:w w:val="92"/>
              </w:rPr>
              <w:t>QoQ</w:t>
            </w:r>
          </w:p>
        </w:tc>
        <w:tc>
          <w:tcPr>
            <w:tcW w:w="0" w:type="dxa"/>
            <w:vAlign w:val="bottom"/>
          </w:tcPr>
          <w:p>
            <w:pPr>
              <w:spacing w:after="0"/>
              <w:rPr>
                <w:sz w:val="1"/>
                <w:szCs w:val="1"/>
                <w:color w:val="auto"/>
              </w:rPr>
            </w:pPr>
          </w:p>
        </w:tc>
      </w:tr>
      <w:tr>
        <w:trPr>
          <w:trHeight w:val="223"/>
        </w:trPr>
        <w:tc>
          <w:tcPr>
            <w:tcW w:w="2180" w:type="dxa"/>
            <w:vAlign w:val="bottom"/>
            <w:tcBorders>
              <w:bottom w:val="single" w:sz="8" w:color="CCEEFF"/>
            </w:tcBorders>
          </w:tcPr>
          <w:p>
            <w:pPr>
              <w:ind w:left="20"/>
              <w:spacing w:after="0"/>
              <w:rPr>
                <w:sz w:val="20"/>
                <w:szCs w:val="20"/>
                <w:color w:val="auto"/>
              </w:rPr>
            </w:pPr>
            <w:r>
              <w:rPr>
                <w:rFonts w:ascii="Arial" w:cs="Arial" w:eastAsia="Arial" w:hAnsi="Arial"/>
                <w:sz w:val="18"/>
                <w:szCs w:val="18"/>
                <w:b w:val="1"/>
                <w:bCs w:val="1"/>
                <w:color w:val="auto"/>
              </w:rPr>
              <w:t>thousands)</w:t>
            </w:r>
          </w:p>
        </w:tc>
        <w:tc>
          <w:tcPr>
            <w:tcW w:w="240" w:type="dxa"/>
            <w:vAlign w:val="bottom"/>
            <w:tcBorders>
              <w:bottom w:val="single" w:sz="8" w:color="auto"/>
            </w:tcBorders>
          </w:tcPr>
          <w:p>
            <w:pPr>
              <w:spacing w:after="0"/>
              <w:rPr>
                <w:sz w:val="19"/>
                <w:szCs w:val="19"/>
                <w:color w:val="auto"/>
              </w:rPr>
            </w:pPr>
          </w:p>
        </w:tc>
        <w:tc>
          <w:tcPr>
            <w:tcW w:w="1420" w:type="dxa"/>
            <w:vAlign w:val="bottom"/>
            <w:tcBorders>
              <w:bottom w:val="single" w:sz="8" w:color="auto"/>
            </w:tcBorders>
          </w:tcPr>
          <w:p>
            <w:pPr>
              <w:jc w:val="right"/>
              <w:ind w:right="572"/>
              <w:spacing w:after="0"/>
              <w:rPr>
                <w:sz w:val="20"/>
                <w:szCs w:val="20"/>
                <w:color w:val="auto"/>
              </w:rPr>
            </w:pPr>
            <w:r>
              <w:rPr>
                <w:rFonts w:ascii="Arial" w:cs="Arial" w:eastAsia="Arial" w:hAnsi="Arial"/>
                <w:sz w:val="18"/>
                <w:szCs w:val="18"/>
                <w:b w:val="1"/>
                <w:bCs w:val="1"/>
                <w:color w:val="auto"/>
              </w:rPr>
              <w:t>2022</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80" w:type="dxa"/>
            <w:vAlign w:val="bottom"/>
            <w:tcBorders>
              <w:bottom w:val="single" w:sz="8" w:color="auto"/>
            </w:tcBorders>
          </w:tcPr>
          <w:p>
            <w:pPr>
              <w:jc w:val="right"/>
              <w:ind w:right="532"/>
              <w:spacing w:after="0"/>
              <w:rPr>
                <w:sz w:val="20"/>
                <w:szCs w:val="20"/>
                <w:color w:val="auto"/>
              </w:rPr>
            </w:pPr>
            <w:r>
              <w:rPr>
                <w:rFonts w:ascii="Arial" w:cs="Arial" w:eastAsia="Arial" w:hAnsi="Arial"/>
                <w:sz w:val="18"/>
                <w:szCs w:val="18"/>
                <w:b w:val="1"/>
                <w:bCs w:val="1"/>
                <w:color w:val="auto"/>
              </w:rPr>
              <w:t>2021</w:t>
            </w: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440" w:type="dxa"/>
            <w:vAlign w:val="bottom"/>
            <w:tcBorders>
              <w:bottom w:val="single" w:sz="8" w:color="auto"/>
            </w:tcBorders>
          </w:tcPr>
          <w:p>
            <w:pPr>
              <w:jc w:val="right"/>
              <w:ind w:right="552"/>
              <w:spacing w:after="0"/>
              <w:rPr>
                <w:sz w:val="20"/>
                <w:szCs w:val="20"/>
                <w:color w:val="auto"/>
              </w:rPr>
            </w:pPr>
            <w:r>
              <w:rPr>
                <w:rFonts w:ascii="Arial" w:cs="Arial" w:eastAsia="Arial" w:hAnsi="Arial"/>
                <w:sz w:val="18"/>
                <w:szCs w:val="18"/>
                <w:b w:val="1"/>
                <w:bCs w:val="1"/>
                <w:color w:val="auto"/>
              </w:rPr>
              <w:t>2021</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20" w:type="dxa"/>
            <w:vAlign w:val="bottom"/>
            <w:tcBorders>
              <w:bottom w:val="single" w:sz="8" w:color="CCEEFF"/>
            </w:tcBorders>
          </w:tcPr>
          <w:p>
            <w:pPr>
              <w:spacing w:after="0"/>
              <w:rPr>
                <w:sz w:val="19"/>
                <w:szCs w:val="19"/>
                <w:color w:val="auto"/>
              </w:rPr>
            </w:pPr>
          </w:p>
        </w:tc>
        <w:tc>
          <w:tcPr>
            <w:tcW w:w="1800" w:type="dxa"/>
            <w:vAlign w:val="bottom"/>
            <w:tcBorders>
              <w:bottom w:val="single" w:sz="8" w:color="auto"/>
            </w:tcBorders>
            <w:gridSpan w:val="2"/>
            <w:vMerge w:val="continue"/>
          </w:tcPr>
          <w:p>
            <w:pPr>
              <w:spacing w:after="0"/>
              <w:rPr>
                <w:sz w:val="19"/>
                <w:szCs w:val="19"/>
                <w:color w:val="auto"/>
              </w:rPr>
            </w:pPr>
          </w:p>
        </w:tc>
        <w:tc>
          <w:tcPr>
            <w:tcW w:w="120" w:type="dxa"/>
            <w:vAlign w:val="bottom"/>
            <w:tcBorders>
              <w:bottom w:val="single" w:sz="8" w:color="CCEEFF"/>
            </w:tcBorders>
            <w:gridSpan w:val="2"/>
            <w:vMerge w:val="continue"/>
          </w:tcPr>
          <w:p>
            <w:pPr>
              <w:spacing w:after="0"/>
              <w:rPr>
                <w:sz w:val="19"/>
                <w:szCs w:val="19"/>
                <w:color w:val="auto"/>
              </w:rPr>
            </w:pPr>
          </w:p>
        </w:tc>
        <w:tc>
          <w:tcPr>
            <w:tcW w:w="380" w:type="dxa"/>
            <w:vAlign w:val="bottom"/>
            <w:tcBorders>
              <w:bottom w:val="single" w:sz="8" w:color="auto"/>
            </w:tcBorders>
            <w:vMerge w:val="continue"/>
          </w:tcPr>
          <w:p>
            <w:pPr>
              <w:spacing w:after="0"/>
              <w:rPr>
                <w:sz w:val="19"/>
                <w:szCs w:val="19"/>
                <w:color w:val="auto"/>
              </w:rPr>
            </w:pPr>
          </w:p>
        </w:tc>
        <w:tc>
          <w:tcPr>
            <w:tcW w:w="140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574,108</w:t>
            </w:r>
          </w:p>
        </w:tc>
        <w:tc>
          <w:tcPr>
            <w:tcW w:w="3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499,748</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269,180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113 %</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Carrier infrastructure</w:t>
            </w:r>
          </w:p>
        </w:tc>
        <w:tc>
          <w:tcPr>
            <w:tcW w:w="24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241,047</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215,108</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60" w:type="dxa"/>
            <w:vAlign w:val="bottom"/>
            <w:gridSpan w:val="2"/>
          </w:tcPr>
          <w:p>
            <w:pPr>
              <w:jc w:val="right"/>
              <w:ind w:right="20"/>
              <w:spacing w:after="0"/>
              <w:rPr>
                <w:sz w:val="20"/>
                <w:szCs w:val="20"/>
                <w:color w:val="auto"/>
              </w:rPr>
            </w:pPr>
            <w:r>
              <w:rPr>
                <w:rFonts w:ascii="Arial" w:cs="Arial" w:eastAsia="Arial" w:hAnsi="Arial"/>
                <w:sz w:val="18"/>
                <w:szCs w:val="18"/>
                <w:color w:val="auto"/>
              </w:rPr>
              <w:t>166,258</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0" w:type="dxa"/>
            <w:vAlign w:val="bottom"/>
            <w:gridSpan w:val="2"/>
          </w:tcPr>
          <w:p>
            <w:pPr>
              <w:jc w:val="right"/>
              <w:ind w:right="20"/>
              <w:spacing w:after="0"/>
              <w:rPr>
                <w:sz w:val="20"/>
                <w:szCs w:val="20"/>
                <w:color w:val="auto"/>
              </w:rPr>
            </w:pPr>
            <w:r>
              <w:rPr>
                <w:rFonts w:ascii="Arial" w:cs="Arial" w:eastAsia="Arial" w:hAnsi="Arial"/>
                <w:sz w:val="18"/>
                <w:szCs w:val="18"/>
                <w:color w:val="auto"/>
              </w:rPr>
              <w:t>45 %</w:t>
            </w: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4"/>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240" w:type="dxa"/>
            <w:vAlign w:val="bottom"/>
            <w:shd w:val="clear" w:color="auto" w:fill="CCEEFF"/>
          </w:tcPr>
          <w:p>
            <w:pPr>
              <w:spacing w:after="0"/>
              <w:rPr>
                <w:sz w:val="19"/>
                <w:szCs w:val="19"/>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262,950</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247,210</w:t>
            </w: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160,719</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64 %</w:t>
            </w: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Consumer</w:t>
            </w:r>
          </w:p>
        </w:tc>
        <w:tc>
          <w:tcPr>
            <w:tcW w:w="24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185,404</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182,535</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167,697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0" w:type="dxa"/>
            <w:vAlign w:val="bottom"/>
            <w:gridSpan w:val="2"/>
          </w:tcPr>
          <w:p>
            <w:pPr>
              <w:jc w:val="right"/>
              <w:ind w:right="20"/>
              <w:spacing w:after="0"/>
              <w:rPr>
                <w:sz w:val="20"/>
                <w:szCs w:val="20"/>
                <w:color w:val="auto"/>
              </w:rPr>
            </w:pPr>
            <w:r>
              <w:rPr>
                <w:rFonts w:ascii="Arial" w:cs="Arial" w:eastAsia="Arial" w:hAnsi="Arial"/>
                <w:sz w:val="18"/>
                <w:szCs w:val="18"/>
                <w:color w:val="auto"/>
              </w:rPr>
              <w:t>11 %</w:t>
            </w: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2 %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Automotive/industrial</w:t>
            </w:r>
          </w:p>
        </w:tc>
        <w:tc>
          <w:tcPr>
            <w:tcW w:w="240" w:type="dxa"/>
            <w:vAlign w:val="bottom"/>
            <w:tcBorders>
              <w:bottom w:val="single" w:sz="8" w:color="auto"/>
            </w:tcBorders>
            <w:shd w:val="clear" w:color="auto" w:fill="CCEEFF"/>
          </w:tcPr>
          <w:p>
            <w:pPr>
              <w:spacing w:after="0"/>
              <w:rPr>
                <w:sz w:val="19"/>
                <w:szCs w:val="19"/>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79,469</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66,644</w:t>
            </w:r>
          </w:p>
        </w:tc>
        <w:tc>
          <w:tcPr>
            <w:tcW w:w="4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33,965</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8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134 %</w:t>
            </w: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Arial" w:cs="Arial" w:eastAsia="Arial" w:hAnsi="Arial"/>
                <w:sz w:val="18"/>
                <w:szCs w:val="18"/>
                <w:b w:val="1"/>
                <w:bCs w:val="1"/>
                <w:color w:val="auto"/>
              </w:rPr>
              <w:t>Total Net Revenue</w:t>
            </w:r>
          </w:p>
        </w:tc>
        <w:tc>
          <w:tcPr>
            <w:tcW w:w="24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w w:val="79"/>
              </w:rPr>
              <w:t>$</w:t>
            </w: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1,342,978</w:t>
            </w:r>
          </w:p>
        </w:tc>
        <w:tc>
          <w:tcPr>
            <w:tcW w:w="120" w:type="dxa"/>
            <w:vAlign w:val="bottom"/>
          </w:tcPr>
          <w:p>
            <w:pPr>
              <w:spacing w:after="0"/>
              <w:rPr>
                <w:sz w:val="18"/>
                <w:szCs w:val="18"/>
                <w:color w:val="auto"/>
              </w:rPr>
            </w:pPr>
          </w:p>
        </w:tc>
        <w:tc>
          <w:tcPr>
            <w:tcW w:w="26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1,211,245</w:t>
            </w:r>
          </w:p>
        </w:tc>
        <w:tc>
          <w:tcPr>
            <w:tcW w:w="4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797,819</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68 %</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07"/>
        </w:trPr>
        <w:tc>
          <w:tcPr>
            <w:tcW w:w="2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4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gridSpan w:val="5"/>
          </w:tcPr>
          <w:p>
            <w:pPr>
              <w:jc w:val="center"/>
              <w:ind w:right="540"/>
              <w:spacing w:after="0"/>
              <w:rPr>
                <w:sz w:val="20"/>
                <w:szCs w:val="20"/>
                <w:color w:val="auto"/>
              </w:rPr>
            </w:pPr>
            <w:r>
              <w:rPr>
                <w:rFonts w:ascii="Arial" w:cs="Arial" w:eastAsia="Arial" w:hAnsi="Arial"/>
                <w:sz w:val="18"/>
                <w:szCs w:val="18"/>
                <w:b w:val="1"/>
                <w:bCs w:val="1"/>
                <w:color w:val="auto"/>
                <w:w w:val="89"/>
              </w:rPr>
              <w:t>Three Months Ended</w:t>
            </w:r>
          </w:p>
        </w:tc>
        <w:tc>
          <w:tcPr>
            <w:tcW w:w="14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0"/>
              <w:spacing w:after="0" w:line="164" w:lineRule="exact"/>
              <w:rPr>
                <w:sz w:val="20"/>
                <w:szCs w:val="20"/>
                <w:color w:val="auto"/>
              </w:rPr>
            </w:pPr>
            <w:r>
              <w:rPr>
                <w:rFonts w:ascii="Arial" w:cs="Arial" w:eastAsia="Arial" w:hAnsi="Arial"/>
                <w:sz w:val="18"/>
                <w:szCs w:val="18"/>
                <w:b w:val="1"/>
                <w:bCs w:val="1"/>
                <w:color w:val="auto"/>
                <w:w w:val="95"/>
              </w:rPr>
              <w:t>Revenue by End Market %</w:t>
            </w:r>
          </w:p>
        </w:tc>
        <w:tc>
          <w:tcPr>
            <w:tcW w:w="24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80" w:type="dxa"/>
            <w:vAlign w:val="bottom"/>
            <w:gridSpan w:val="4"/>
          </w:tcPr>
          <w:p>
            <w:pPr>
              <w:ind w:left="80"/>
              <w:spacing w:after="0" w:line="164" w:lineRule="exact"/>
              <w:rPr>
                <w:sz w:val="20"/>
                <w:szCs w:val="20"/>
                <w:color w:val="auto"/>
              </w:rPr>
            </w:pPr>
            <w:r>
              <w:rPr>
                <w:rFonts w:ascii="Arial" w:cs="Arial" w:eastAsia="Arial" w:hAnsi="Arial"/>
                <w:sz w:val="18"/>
                <w:szCs w:val="18"/>
                <w:b w:val="1"/>
                <w:bCs w:val="1"/>
                <w:color w:val="auto"/>
              </w:rPr>
              <w:t>January 29,</w:t>
            </w:r>
          </w:p>
        </w:tc>
        <w:tc>
          <w:tcPr>
            <w:tcW w:w="2300" w:type="dxa"/>
            <w:vAlign w:val="bottom"/>
            <w:gridSpan w:val="5"/>
          </w:tcPr>
          <w:p>
            <w:pPr>
              <w:jc w:val="center"/>
              <w:ind w:right="560"/>
              <w:spacing w:after="0" w:line="164" w:lineRule="exact"/>
              <w:rPr>
                <w:sz w:val="20"/>
                <w:szCs w:val="20"/>
                <w:color w:val="auto"/>
              </w:rPr>
            </w:pPr>
            <w:r>
              <w:rPr>
                <w:rFonts w:ascii="Arial" w:cs="Arial" w:eastAsia="Arial" w:hAnsi="Arial"/>
                <w:sz w:val="18"/>
                <w:szCs w:val="18"/>
                <w:b w:val="1"/>
                <w:bCs w:val="1"/>
                <w:color w:val="auto"/>
                <w:w w:val="86"/>
              </w:rPr>
              <w:t>October 30,</w:t>
            </w:r>
          </w:p>
        </w:tc>
        <w:tc>
          <w:tcPr>
            <w:tcW w:w="1400" w:type="dxa"/>
            <w:vAlign w:val="bottom"/>
          </w:tcPr>
          <w:p>
            <w:pPr>
              <w:jc w:val="center"/>
              <w:ind w:right="312"/>
              <w:spacing w:after="0" w:line="164" w:lineRule="exact"/>
              <w:rPr>
                <w:sz w:val="20"/>
                <w:szCs w:val="20"/>
                <w:color w:val="auto"/>
              </w:rPr>
            </w:pPr>
            <w:r>
              <w:rPr>
                <w:rFonts w:ascii="Arial" w:cs="Arial" w:eastAsia="Arial" w:hAnsi="Arial"/>
                <w:sz w:val="18"/>
                <w:szCs w:val="18"/>
                <w:b w:val="1"/>
                <w:bCs w:val="1"/>
                <w:color w:val="auto"/>
                <w:w w:val="88"/>
              </w:rPr>
              <w:t>January 30,</w:t>
            </w:r>
          </w:p>
        </w:tc>
        <w:tc>
          <w:tcPr>
            <w:tcW w:w="0" w:type="dxa"/>
            <w:vAlign w:val="bottom"/>
          </w:tcPr>
          <w:p>
            <w:pPr>
              <w:spacing w:after="0"/>
              <w:rPr>
                <w:sz w:val="1"/>
                <w:szCs w:val="1"/>
                <w:color w:val="auto"/>
              </w:rPr>
            </w:pPr>
          </w:p>
        </w:tc>
      </w:tr>
      <w:tr>
        <w:trPr>
          <w:trHeight w:val="223"/>
        </w:trPr>
        <w:tc>
          <w:tcPr>
            <w:tcW w:w="2180" w:type="dxa"/>
            <w:vAlign w:val="bottom"/>
            <w:tcBorders>
              <w:bottom w:val="single" w:sz="8" w:color="CCEEFF"/>
            </w:tcBorders>
          </w:tcPr>
          <w:p>
            <w:pPr>
              <w:ind w:left="20"/>
              <w:spacing w:after="0"/>
              <w:rPr>
                <w:sz w:val="20"/>
                <w:szCs w:val="20"/>
                <w:color w:val="auto"/>
              </w:rPr>
            </w:pPr>
            <w:r>
              <w:rPr>
                <w:rFonts w:ascii="Arial" w:cs="Arial" w:eastAsia="Arial" w:hAnsi="Arial"/>
                <w:sz w:val="18"/>
                <w:szCs w:val="18"/>
                <w:b w:val="1"/>
                <w:bCs w:val="1"/>
                <w:color w:val="auto"/>
              </w:rPr>
              <w:t>of Total</w:t>
            </w:r>
          </w:p>
        </w:tc>
        <w:tc>
          <w:tcPr>
            <w:tcW w:w="240" w:type="dxa"/>
            <w:vAlign w:val="bottom"/>
            <w:tcBorders>
              <w:bottom w:val="single" w:sz="8" w:color="CCEEFF"/>
            </w:tcBorders>
          </w:tcPr>
          <w:p>
            <w:pPr>
              <w:spacing w:after="0"/>
              <w:rPr>
                <w:sz w:val="19"/>
                <w:szCs w:val="19"/>
                <w:color w:val="auto"/>
              </w:rPr>
            </w:pPr>
          </w:p>
        </w:tc>
        <w:tc>
          <w:tcPr>
            <w:tcW w:w="142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CCEEFF"/>
            </w:tcBorders>
          </w:tcPr>
          <w:p>
            <w:pPr>
              <w:spacing w:after="0"/>
              <w:rPr>
                <w:sz w:val="19"/>
                <w:szCs w:val="19"/>
                <w:color w:val="auto"/>
              </w:rPr>
            </w:pPr>
          </w:p>
        </w:tc>
        <w:tc>
          <w:tcPr>
            <w:tcW w:w="1380" w:type="dxa"/>
            <w:vAlign w:val="bottom"/>
            <w:tcBorders>
              <w:bottom w:val="single" w:sz="8" w:color="CCEEFF"/>
            </w:tcBorders>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440" w:type="dxa"/>
            <w:vAlign w:val="bottom"/>
            <w:tcBorders>
              <w:bottom w:val="single" w:sz="8" w:color="auto"/>
            </w:tcBorders>
          </w:tcPr>
          <w:p>
            <w:pPr>
              <w:jc w:val="right"/>
              <w:ind w:right="652"/>
              <w:spacing w:after="0"/>
              <w:rPr>
                <w:sz w:val="20"/>
                <w:szCs w:val="20"/>
                <w:color w:val="auto"/>
              </w:rPr>
            </w:pPr>
            <w:r>
              <w:rPr>
                <w:rFonts w:ascii="Arial" w:cs="Arial" w:eastAsia="Arial" w:hAnsi="Arial"/>
                <w:sz w:val="18"/>
                <w:szCs w:val="18"/>
                <w:b w:val="1"/>
                <w:bCs w:val="1"/>
                <w:color w:val="auto"/>
              </w:rPr>
              <w:t>2022</w:t>
            </w:r>
          </w:p>
        </w:tc>
        <w:tc>
          <w:tcPr>
            <w:tcW w:w="2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78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84"/>
              </w:rPr>
              <w:t>2021</w:t>
            </w:r>
          </w:p>
        </w:tc>
        <w:tc>
          <w:tcPr>
            <w:tcW w:w="20" w:type="dxa"/>
            <w:vAlign w:val="bottom"/>
            <w:tcBorders>
              <w:bottom w:val="single" w:sz="8" w:color="CCEEFF"/>
            </w:tcBorders>
          </w:tcPr>
          <w:p>
            <w:pPr>
              <w:spacing w:after="0"/>
              <w:rPr>
                <w:sz w:val="19"/>
                <w:szCs w:val="19"/>
                <w:color w:val="auto"/>
              </w:rPr>
            </w:pPr>
          </w:p>
        </w:tc>
        <w:tc>
          <w:tcPr>
            <w:tcW w:w="80" w:type="dxa"/>
            <w:vAlign w:val="bottom"/>
            <w:tcBorders>
              <w:bottom w:val="single" w:sz="8" w:color="CCEEFF"/>
            </w:tcBorders>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3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jc w:val="center"/>
              <w:ind w:right="312"/>
              <w:spacing w:after="0"/>
              <w:rPr>
                <w:sz w:val="20"/>
                <w:szCs w:val="20"/>
                <w:color w:val="auto"/>
              </w:rPr>
            </w:pPr>
            <w:r>
              <w:rPr>
                <w:rFonts w:ascii="Arial" w:cs="Arial" w:eastAsia="Arial" w:hAnsi="Arial"/>
                <w:sz w:val="18"/>
                <w:szCs w:val="18"/>
                <w:b w:val="1"/>
                <w:bCs w:val="1"/>
                <w:color w:val="auto"/>
                <w:w w:val="89"/>
              </w:rPr>
              <w:t>2021</w:t>
            </w: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24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41 %</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Carrier infrastructure</w:t>
            </w:r>
          </w:p>
        </w:tc>
        <w:tc>
          <w:tcPr>
            <w:tcW w:w="2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18 %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18 %</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4"/>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24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Consumer</w:t>
            </w:r>
          </w:p>
        </w:tc>
        <w:tc>
          <w:tcPr>
            <w:tcW w:w="2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14 %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15 %</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Automotive/industrial</w:t>
            </w:r>
          </w:p>
        </w:tc>
        <w:tc>
          <w:tcPr>
            <w:tcW w:w="24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80" w:type="dxa"/>
            <w:vAlign w:val="bottom"/>
            <w:shd w:val="clear" w:color="auto" w:fill="CCEEFF"/>
          </w:tcPr>
          <w:p>
            <w:pPr>
              <w:spacing w:after="0"/>
              <w:rPr>
                <w:sz w:val="19"/>
                <w:szCs w:val="19"/>
                <w:color w:val="auto"/>
              </w:rPr>
            </w:pPr>
          </w:p>
        </w:tc>
        <w:tc>
          <w:tcPr>
            <w:tcW w:w="4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tcBorders>
              <w:bottom w:val="single" w:sz="8" w:color="auto"/>
            </w:tcBorders>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Arial" w:cs="Arial" w:eastAsia="Arial" w:hAnsi="Arial"/>
                <w:sz w:val="18"/>
                <w:szCs w:val="18"/>
                <w:b w:val="1"/>
                <w:bCs w:val="1"/>
                <w:color w:val="auto"/>
              </w:rPr>
              <w:t>Total Net Revenue</w:t>
            </w:r>
          </w:p>
        </w:tc>
        <w:tc>
          <w:tcPr>
            <w:tcW w:w="24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28" w:lineRule="auto"/>
        <w:rPr>
          <w:sz w:val="20"/>
          <w:szCs w:val="20"/>
          <w:color w:val="auto"/>
        </w:rPr>
      </w:pPr>
      <w:r>
        <w:rPr>
          <w:rFonts w:ascii="Arial" w:cs="Arial" w:eastAsia="Arial" w:hAnsi="Arial"/>
          <w:sz w:val="18"/>
          <w:szCs w:val="18"/>
          <w:color w:val="auto"/>
        </w:rPr>
        <w:t>Vice President, Investor Relations</w:t>
      </w:r>
    </w:p>
    <w:p>
      <w:pPr>
        <w:spacing w:after="0" w:line="229" w:lineRule="auto"/>
        <w:rPr>
          <w:sz w:val="20"/>
          <w:szCs w:val="20"/>
          <w:color w:val="auto"/>
        </w:rPr>
      </w:pPr>
      <w:r>
        <w:rPr>
          <w:rFonts w:ascii="Arial" w:cs="Arial" w:eastAsia="Arial" w:hAnsi="Arial"/>
          <w:sz w:val="18"/>
          <w:szCs w:val="18"/>
          <w:color w:val="auto"/>
        </w:rPr>
        <w:t>408-222-0777</w:t>
      </w: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1291"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2022-03-03T15:14:45Z</dcterms:created>
  <dcterms:modified xsi:type="dcterms:W3CDTF">2022-03-03T15:14:45Z</dcterms:modified>
</cp:coreProperties>
</file>