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1000 N. West Street, Suite 1200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Wilmington, Delaware 19801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(302) 295-4840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September 3, 2021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auto"/>
        </w:rPr>
        <w:t>VIA EDGAR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Securities and Exchange Commission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Office of Manufacturing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 Washington, DC 20549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Attn: Gregory Herbers</w:t>
      </w: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ind w:left="424"/>
        <w:spacing w:after="0"/>
        <w:tabs>
          <w:tab w:leader="none" w:pos="94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Registration Statement on Form S-3 (File No. 333-259141)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i w:val="1"/>
          <w:iCs w:val="1"/>
          <w:color w:val="auto"/>
        </w:rPr>
        <w:t>Filed August 27, 2021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Hello: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 w:right="40" w:firstLine="4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promulgated under the Securities Act of 1933, as amended, Marvell Technology, Inc. hereby respectfully requests that the effectiveness of its Registration Statement on Form S-3 (File No. 333-259141) be accelerated so that the Registration Statement will become effective at 4:30 p.m. Eastern Time, on September 7, 2021, or as soon thereafter as practicable.</w:t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ind w:left="5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Very truly yours,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5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5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/s/ Mitchell Gaynor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3784600</wp:posOffset>
            </wp:positionH>
            <wp:positionV relativeFrom="paragraph">
              <wp:posOffset>-10160</wp:posOffset>
            </wp:positionV>
            <wp:extent cx="1808480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5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Mitchell Gaynor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5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Chief Administration and Legal Officer and Secretary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424" w:hanging="424"/>
        <w:spacing w:after="0"/>
        <w:tabs>
          <w:tab w:leader="none" w:pos="424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Stewart McDowell, Gibson, Dunn &amp; Crutcher LLP</w:t>
      </w:r>
    </w:p>
    <w:sectPr>
      <w:pgSz w:w="11900" w:h="16838" w:orient="portrait"/>
      <w:cols w:equalWidth="0" w:num="1">
        <w:col w:w="11024"/>
      </w:cols>
      <w:pgMar w:left="436" w:top="233" w:right="4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2022-03-08T21:42:08Z</dcterms:created>
  <dcterms:modified xsi:type="dcterms:W3CDTF">2022-03-08T21:42:08Z</dcterms:modified>
</cp:coreProperties>
</file>