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60"/>
        <w:spacing w:after="0" w:line="25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-236220</wp:posOffset>
            </wp:positionV>
            <wp:extent cx="128905" cy="128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6260" w:type="dxa"/>
            <w:vAlign w:val="bottom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38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6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2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5243195</wp:posOffset>
            </wp:positionH>
            <wp:positionV relativeFrom="paragraph">
              <wp:posOffset>-616585</wp:posOffset>
            </wp:positionV>
            <wp:extent cx="57785" cy="6299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3961765</wp:posOffset>
            </wp:positionH>
            <wp:positionV relativeFrom="paragraph">
              <wp:posOffset>-616585</wp:posOffset>
            </wp:positionV>
            <wp:extent cx="57785" cy="6299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-1661795</wp:posOffset>
            </wp:positionH>
            <wp:positionV relativeFrom="paragraph">
              <wp:posOffset>20955</wp:posOffset>
            </wp:positionV>
            <wp:extent cx="6995795" cy="75596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755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20" w:space="380"/>
            <w:col w:w="848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GAYNOR MITCHELL</w:t>
        </w:r>
      </w:hyperlink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19"/>
          <w:szCs w:val="19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19"/>
            <w:szCs w:val="19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[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19"/>
          <w:szCs w:val="19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9"/>
          <w:szCs w:val="19"/>
          <w:color w:val="000000"/>
        </w:rPr>
        <w:t>]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04/14/2022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2" w:right="660" w:firstLine="2"/>
        <w:spacing w:after="0" w:line="251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5" w:lineRule="exact"/>
        <w:rPr>
          <w:sz w:val="24"/>
          <w:szCs w:val="24"/>
          <w:color w:val="auto"/>
        </w:rPr>
      </w:pPr>
    </w:p>
    <w:tbl>
      <w:tblPr>
        <w:tblLayout w:type="fixed"/>
        <w:tblInd w:w="198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117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EVP, CALO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2" w:space="720"/>
            <w:col w:w="3338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95054</w:t>
            </w: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04/14/2022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2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  <w:w w:val="95"/>
              </w:rPr>
              <w:t>5,000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w w:val="95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63.61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94,531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63,266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157,797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31,368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126,429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2,637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129,066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2"/>
              </w:rPr>
              <w:t>F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1,308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127,758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130,575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129,178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130,792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04/15/2022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60.97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129,991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9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and 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63,266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63,266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ind w:left="20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2,637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2,637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left="201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2,817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2,817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11,266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(7)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1,614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1,614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center"/>
              <w:ind w:right="3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12,916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(8)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(8)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15,090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04/15/2022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4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15,090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3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15,090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32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-3202940</wp:posOffset>
            </wp:positionV>
            <wp:extent cx="28575" cy="3208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20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reported in this Form 4 were effected pursuant to a Rule 10b5-1 trading plan adopted by the reported person.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40" w:right="460"/>
        <w:spacing w:after="0" w:line="249" w:lineRule="auto"/>
        <w:tabs>
          <w:tab w:leader="none" w:pos="167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grant is fully vested. Reflects the number of shares earned in respect of performance based restricted stock units granted on 04/15/2019. The achievement levels of the relative TSR performance metrics applicable to the award and the number of shares earned based on such results were certified on 04/15/2022.</w:t>
      </w:r>
    </w:p>
    <w:p>
      <w:pPr>
        <w:spacing w:after="0" w:line="19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April 15, 2022.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 and 04/15/2023.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07/15/2022, 10/15/22, 01/15/2023, 04/15/2023, 07/15/2023, 10/15/2023, 01/15/2024 and 04/15/2024.</w:t>
      </w:r>
    </w:p>
    <w:p>
      <w:pPr>
        <w:spacing w:after="0" w:line="4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Restricted Stock Units (RSUs) will vest in equal quarterly installments over three years, and were granted as part of the annual grant process.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Mitchell Gaynor by Blair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04/18/2022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8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Walters as Attorney-in-Fact</w:t>
            </w: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8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jc w:val="both"/>
        <w:ind w:right="2639"/>
        <w:spacing w:after="0" w:line="331" w:lineRule="auto"/>
        <w:tabs>
          <w:tab w:leader="none" w:pos="134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60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2022-04-18T20:14:05Z</dcterms:created>
  <dcterms:modified xsi:type="dcterms:W3CDTF">2022-04-18T20:14:05Z</dcterms:modified>
</cp:coreProperties>
</file>