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3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SEC Form 4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ind w:left="360"/>
        <w:spacing w:after="0" w:line="25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33020</wp:posOffset>
            </wp:positionH>
            <wp:positionV relativeFrom="paragraph">
              <wp:posOffset>-236220</wp:posOffset>
            </wp:positionV>
            <wp:extent cx="128905" cy="128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12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7"/>
        </w:trPr>
        <w:tc>
          <w:tcPr>
            <w:tcW w:w="6260" w:type="dxa"/>
            <w:vAlign w:val="bottom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38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5243195</wp:posOffset>
            </wp:positionH>
            <wp:positionV relativeFrom="paragraph">
              <wp:posOffset>-616585</wp:posOffset>
            </wp:positionV>
            <wp:extent cx="57785" cy="6299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3961765</wp:posOffset>
            </wp:positionH>
            <wp:positionV relativeFrom="paragraph">
              <wp:posOffset>-616585</wp:posOffset>
            </wp:positionV>
            <wp:extent cx="57785" cy="6299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-1661795</wp:posOffset>
            </wp:positionH>
            <wp:positionV relativeFrom="paragraph">
              <wp:posOffset>20955</wp:posOffset>
            </wp:positionV>
            <wp:extent cx="6995795" cy="94164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795" cy="941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75" w:orient="portrait"/>
          <w:cols w:equalWidth="0" w:num="2">
            <w:col w:w="2220" w:space="380"/>
            <w:col w:w="8480"/>
          </w:cols>
          <w:pgMar w:left="460" w:top="216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0"/>
          <w:szCs w:val="20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Koopmans Chris</w:t>
        </w:r>
      </w:hyperlink>
    </w:p>
    <w:p>
      <w:pPr>
        <w:spacing w:after="0" w:line="294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6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/>
        <w:rPr>
          <w:rFonts w:ascii="Times New Roman" w:cs="Times New Roman" w:eastAsia="Times New Roman" w:hAnsi="Times New Roman"/>
          <w:sz w:val="19"/>
          <w:szCs w:val="19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19"/>
            <w:szCs w:val="19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19"/>
          <w:szCs w:val="19"/>
          <w:color w:val="000000"/>
        </w:rPr>
        <w:t>[</w:t>
      </w:r>
      <w:r>
        <w:rPr>
          <w:rFonts w:ascii="Times New Roman" w:cs="Times New Roman" w:eastAsia="Times New Roman" w:hAnsi="Times New Roman"/>
          <w:sz w:val="19"/>
          <w:szCs w:val="19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19"/>
          <w:szCs w:val="19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9"/>
          <w:szCs w:val="19"/>
          <w:color w:val="000000"/>
        </w:rPr>
        <w:t>]</w:t>
      </w:r>
    </w:p>
    <w:p>
      <w:pPr>
        <w:spacing w:after="0" w:line="30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3. Date of Earliest Transaction (Month/Day/Year)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04/15/2022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2" w:right="660" w:firstLine="2"/>
        <w:spacing w:after="0" w:line="251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5" w:lineRule="exact"/>
        <w:rPr>
          <w:sz w:val="24"/>
          <w:szCs w:val="24"/>
          <w:color w:val="auto"/>
        </w:rPr>
      </w:pPr>
    </w:p>
    <w:tbl>
      <w:tblPr>
        <w:tblLayout w:type="fixed"/>
        <w:tblInd w:w="198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3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57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EVP, Chief Operations Officer</w:t>
      </w:r>
    </w:p>
    <w:p>
      <w:pPr>
        <w:spacing w:after="0" w:line="310" w:lineRule="exact"/>
        <w:rPr>
          <w:sz w:val="24"/>
          <w:szCs w:val="24"/>
          <w:color w:val="auto"/>
        </w:rPr>
      </w:pPr>
    </w:p>
    <w:p>
      <w:pPr>
        <w:sectPr>
          <w:pgSz w:w="11900" w:h="16875" w:orient="portrait"/>
          <w:cols w:equalWidth="0" w:num="3">
            <w:col w:w="3200" w:space="720"/>
            <w:col w:w="3102" w:space="720"/>
            <w:col w:w="3338"/>
          </w:cols>
          <w:pgMar w:left="460" w:top="216" w:right="359" w:bottom="0" w:gutter="0" w:footer="0" w:header="0"/>
          <w:type w:val="continuous"/>
        </w:sectPr>
      </w:pPr>
    </w:p>
    <w:p>
      <w:pPr>
        <w:spacing w:after="0" w:line="15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95054</w:t>
            </w: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8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sectPr>
          <w:pgSz w:w="11900" w:h="16875" w:orient="portrait"/>
          <w:cols w:equalWidth="0" w:num="2">
            <w:col w:w="3760" w:space="160"/>
            <w:col w:w="716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2,285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81,928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60.97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4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3"/>
                <w:szCs w:val="23"/>
                <w:color w:val="0000FF"/>
                <w:w w:val="88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  <w:w w:val="88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1,133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80,795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54,830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135,625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60.97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4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3"/>
                <w:szCs w:val="23"/>
                <w:color w:val="0000FF"/>
                <w:w w:val="88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  <w:w w:val="88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27,185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108,440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2,320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110,760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60.97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4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3"/>
                <w:szCs w:val="23"/>
                <w:color w:val="0000FF"/>
                <w:w w:val="88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  <w:w w:val="88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1,151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109,609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1,384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110,993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60.97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4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3"/>
                <w:szCs w:val="23"/>
                <w:color w:val="0000FF"/>
                <w:w w:val="88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8000"/>
                <w:w w:val="88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ind w:lef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687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110,306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4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40" w:type="dxa"/>
            <w:vAlign w:val="bottom"/>
            <w:gridSpan w:val="9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ind w:righ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and 5)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2,285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2,285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201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54,830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54,830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center"/>
              <w:ind w:left="20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2,320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2,320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181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9,278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(7)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1,384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1,384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11,071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(8)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26,243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4"/>
              </w:rPr>
              <w:t>A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26,243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center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26,243</w:t>
            </w: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-3202940</wp:posOffset>
            </wp:positionV>
            <wp:extent cx="28575" cy="32277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22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75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280670</wp:posOffset>
            </wp:positionH>
            <wp:positionV relativeFrom="page">
              <wp:posOffset>88900</wp:posOffset>
            </wp:positionV>
            <wp:extent cx="7047230" cy="181800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7230" cy="181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27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and 5)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2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(9)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16,402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right"/>
              <w:ind w:right="18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16,402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16,402</w:t>
            </w:r>
          </w:p>
        </w:tc>
        <w:tc>
          <w:tcPr>
            <w:tcW w:w="7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ind w:left="140" w:hanging="120"/>
        <w:spacing w:after="0"/>
        <w:tabs>
          <w:tab w:leader="none" w:pos="1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held by the Christopher R. Koopmans and Heather J. Koopmans Family Trust.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40" w:hanging="120"/>
        <w:spacing w:after="0"/>
        <w:tabs>
          <w:tab w:leader="none" w:pos="1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40" w:hanging="120"/>
        <w:spacing w:after="0"/>
        <w:tabs>
          <w:tab w:leader="none" w:pos="1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common share upon vesting.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40" w:hanging="120"/>
        <w:spacing w:after="0"/>
        <w:tabs>
          <w:tab w:leader="none" w:pos="1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award fully vested on April 15, 2022.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20" w:right="440"/>
        <w:spacing w:after="0" w:line="249" w:lineRule="auto"/>
        <w:tabs>
          <w:tab w:leader="none" w:pos="147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grant is fully vested. Reflects the number of shares earned in respect of performance based restricted stock units granted on 04/15/2019. The achievement levels of the relative TSR performance metrics applicable to the award and the number of shares earned based on such results were certified on 04/15/2022.</w:t>
      </w:r>
    </w:p>
    <w:p>
      <w:pPr>
        <w:spacing w:after="0" w:line="1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40" w:hanging="120"/>
        <w:spacing w:after="0"/>
        <w:tabs>
          <w:tab w:leader="none" w:pos="1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07/15/2022, 10/15/22, 01/15/2023 and 04/15/2023.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40" w:hanging="120"/>
        <w:spacing w:after="0"/>
        <w:tabs>
          <w:tab w:leader="none" w:pos="1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07/15/2022, 10/15/22, 01/15/2023, 04/15/2023, 07/15/2023, 10/15/2023, 01/15/2024 and 04/15/2024.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40" w:hanging="120"/>
        <w:spacing w:after="0"/>
        <w:tabs>
          <w:tab w:leader="none" w:pos="1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RSUs will vest in equal quarterly installments over three years, and were granted as part of the annual grant process.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40" w:hanging="120"/>
        <w:spacing w:after="0"/>
        <w:tabs>
          <w:tab w:leader="none" w:pos="1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RSUs will vest in equal quarterly installments over three years.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Remarks:</w:t>
      </w:r>
    </w:p>
    <w:p>
      <w:pPr>
        <w:spacing w:after="0" w:line="127" w:lineRule="exact"/>
        <w:rPr>
          <w:sz w:val="20"/>
          <w:szCs w:val="20"/>
          <w:color w:val="auto"/>
        </w:rPr>
      </w:pPr>
    </w:p>
    <w:tbl>
      <w:tblPr>
        <w:tblLayout w:type="fixed"/>
        <w:tblInd w:w="65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9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/s/ Christopher Koopmans by</w:t>
            </w:r>
          </w:p>
        </w:tc>
        <w:tc>
          <w:tcPr>
            <w:tcW w:w="26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  <w:w w:val="98"/>
              </w:rPr>
              <w:t>04/19/2022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Blair Walters as attorney-in-fact</w:t>
            </w: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12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jc w:val="both"/>
        <w:ind w:left="20" w:right="3700"/>
        <w:spacing w:after="0" w:line="331" w:lineRule="auto"/>
        <w:tabs>
          <w:tab w:leader="none" w:pos="154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40"/>
      </w:cols>
      <w:pgMar w:left="480" w:top="190" w:right="37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2022-04-19T19:32:42Z</dcterms:created>
  <dcterms:modified xsi:type="dcterms:W3CDTF">2022-04-19T19:32:42Z</dcterms:modified>
</cp:coreProperties>
</file>