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9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ind w:left="360"/>
        <w:spacing w:after="0" w:line="25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33655</wp:posOffset>
            </wp:positionH>
            <wp:positionV relativeFrom="paragraph">
              <wp:posOffset>-238760</wp:posOffset>
            </wp:positionV>
            <wp:extent cx="129540" cy="129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9"/>
        </w:trPr>
        <w:tc>
          <w:tcPr>
            <w:tcW w:w="6280" w:type="dxa"/>
            <w:vAlign w:val="bottom"/>
          </w:tcPr>
          <w:p>
            <w:pPr>
              <w:jc w:val="center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5255260</wp:posOffset>
            </wp:positionH>
            <wp:positionV relativeFrom="paragraph">
              <wp:posOffset>-619760</wp:posOffset>
            </wp:positionV>
            <wp:extent cx="57785" cy="6330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3974465</wp:posOffset>
            </wp:positionH>
            <wp:positionV relativeFrom="paragraph">
              <wp:posOffset>-619760</wp:posOffset>
            </wp:positionV>
            <wp:extent cx="57785" cy="6330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22225</wp:posOffset>
            </wp:positionV>
            <wp:extent cx="6995160" cy="73920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7392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933" w:orient="portrait"/>
          <w:cols w:equalWidth="0" w:num="2">
            <w:col w:w="2240" w:space="340"/>
            <w:col w:w="850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Meintjes Willem A</w:t>
        </w:r>
      </w:hyperlink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04/15/2022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4" w:right="660" w:hanging="4"/>
        <w:spacing w:after="0" w:line="254" w:lineRule="auto"/>
        <w:tabs>
          <w:tab w:leader="none" w:pos="146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3" w:lineRule="exact"/>
        <w:rPr>
          <w:sz w:val="24"/>
          <w:szCs w:val="24"/>
          <w:color w:val="auto"/>
        </w:rPr>
      </w:pPr>
    </w:p>
    <w:tbl>
      <w:tblPr>
        <w:tblLayout w:type="fixed"/>
        <w:tblInd w:w="20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54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SVP, Chief Accounting Officer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933" w:orient="portrait"/>
          <w:cols w:equalWidth="0" w:num="3">
            <w:col w:w="3180" w:space="720"/>
            <w:col w:w="3116" w:space="720"/>
            <w:col w:w="3344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26" w:lineRule="auto"/>
        <w:tabs>
          <w:tab w:leader="none" w:pos="43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3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sectPr>
          <w:pgSz w:w="11900" w:h="16933" w:orient="portrait"/>
          <w:cols w:equalWidth="0" w:num="2">
            <w:col w:w="3760" w:space="140"/>
            <w:col w:w="718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1,134</w:t>
            </w: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63,431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344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63,087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27,204</w:t>
            </w: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90,291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12,134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78,157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1,160</w:t>
            </w: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79,317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327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78,990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538</w:t>
            </w: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79,528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04/15/2022</w:t>
            </w: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132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79,396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jc w:val="right"/>
              <w:ind w:right="1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jc w:val="right"/>
              <w:ind w:right="1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right"/>
              <w:ind w:right="1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1,134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27,204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27,204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4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jc w:val="center"/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1,160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4,639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538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538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4,306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9,185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  <w:vMerge w:val="restart"/>
          </w:tcPr>
          <w:p>
            <w:pPr>
              <w:ind w:left="1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9,185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9,185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-3221355</wp:posOffset>
            </wp:positionV>
            <wp:extent cx="29210" cy="32264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22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common share upon vesting.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April 15, 2022.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400"/>
        <w:spacing w:after="0" w:line="251" w:lineRule="auto"/>
        <w:tabs>
          <w:tab w:leader="none" w:pos="168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grant is fully vested. Reflects the number of shares earned in respect of performance based restricted stock units granted on 04/15/2019. The achievement levels of the relative TSR performance metrics applicable to the award and the number of shares earned based on such results were certified on 04/15/2022.</w:t>
      </w:r>
    </w:p>
    <w:p>
      <w:pPr>
        <w:spacing w:after="0" w:line="1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07/15/2022, 10/15/22, 01/15/2023 and 04/15/2023.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07/15/2022, 10/15/22, 01/15/2023, 04/15/2023, 07/15/2023, 10/15/2023, 01/15/2024 and 04/15/2024.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RSUs will vest in equal quarterly installments over three years, and were granted as part of the annual grant process.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/s/ Willem Meintjes by Blair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04/19/2022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60" w:type="dxa"/>
            <w:vAlign w:val="bottom"/>
            <w:vMerge w:val="restart"/>
          </w:tcPr>
          <w:p>
            <w:pPr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Walters as attorney-in-fact</w:t>
            </w: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4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87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933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78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66334873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2022-04-19T20:03:44Z</dcterms:created>
  <dcterms:modified xsi:type="dcterms:W3CDTF">2022-04-19T20:03:44Z</dcterms:modified>
</cp:coreProperties>
</file>