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250825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78" w:lineRule="exact"/>
        <w:rPr>
          <w:sz w:val="24"/>
          <w:szCs w:val="24"/>
          <w:color w:val="auto"/>
        </w:rPr>
      </w:pPr>
    </w:p>
    <w:p>
      <w:pPr>
        <w:ind w:left="4100"/>
        <w:spacing w:after="0"/>
        <w:rPr>
          <w:sz w:val="20"/>
          <w:szCs w:val="20"/>
          <w:color w:val="auto"/>
        </w:rPr>
      </w:pPr>
      <w:r>
        <w:rPr>
          <w:rFonts w:ascii="Times New Roman" w:cs="Times New Roman" w:eastAsia="Times New Roman" w:hAnsi="Times New Roman"/>
          <w:sz w:val="22"/>
          <w:szCs w:val="22"/>
          <w:b w:val="1"/>
          <w:bCs w:val="1"/>
          <w:color w:val="auto"/>
        </w:rPr>
        <w:t>Date of Report: April 19, 2022</w:t>
      </w:r>
    </w:p>
    <w:p>
      <w:pPr>
        <w:spacing w:after="0" w:line="18" w:lineRule="exact"/>
        <w:rPr>
          <w:sz w:val="24"/>
          <w:szCs w:val="24"/>
          <w:color w:val="auto"/>
        </w:rPr>
      </w:pPr>
    </w:p>
    <w:p>
      <w:pPr>
        <w:ind w:left="4040"/>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0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43"/>
          <w:szCs w:val="43"/>
          <w:b w:val="1"/>
          <w:bCs w:val="1"/>
          <w:color w:val="auto"/>
        </w:rPr>
        <w:t>MARVELL TECHNOLOGY, INC.</w:t>
      </w:r>
    </w:p>
    <w:p>
      <w:pPr>
        <w:spacing w:after="0" w:line="5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jc w:val="center"/>
        <w:ind w:right="2100"/>
        <w:spacing w:after="0"/>
        <w:rPr>
          <w:sz w:val="20"/>
          <w:szCs w:val="20"/>
          <w:color w:val="auto"/>
        </w:rPr>
      </w:pPr>
      <w:r>
        <w:rPr>
          <w:rFonts w:ascii="Times New Roman" w:cs="Times New Roman" w:eastAsia="Times New Roman" w:hAnsi="Times New Roman"/>
          <w:sz w:val="17"/>
          <w:szCs w:val="17"/>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85-3971597</w:t>
      </w:r>
    </w:p>
    <w:p>
      <w:pPr>
        <w:spacing w:after="0" w:line="24" w:lineRule="exact"/>
        <w:rPr>
          <w:sz w:val="24"/>
          <w:szCs w:val="24"/>
          <w:color w:val="auto"/>
        </w:rPr>
      </w:pPr>
    </w:p>
    <w:p>
      <w:pPr>
        <w:sectPr>
          <w:pgSz w:w="11900" w:h="16838" w:orient="portrait"/>
          <w:cols w:equalWidth="0" w:num="3">
            <w:col w:w="4500" w:space="720"/>
            <w:col w:w="2880" w:space="720"/>
            <w:col w:w="2200"/>
          </w:cols>
          <w:pgMar w:left="440" w:top="362"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(IRS Employer</w:t>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62" w:right="439" w:bottom="1440" w:gutter="0" w:footer="0" w:header="0"/>
          <w:type w:val="continuous"/>
        </w:sectPr>
      </w:pPr>
    </w:p>
    <w:p>
      <w:pPr>
        <w:spacing w:after="0" w:line="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1000 N. West Street, Suite 1200</w:t>
      </w:r>
    </w:p>
    <w:p>
      <w:pPr>
        <w:spacing w:after="0" w:line="3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p>
      <w:pPr>
        <w:spacing w:after="0" w:line="18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(302) 295-4840</w:t>
      </w:r>
    </w:p>
    <w:p>
      <w:pPr>
        <w:spacing w:after="0" w:line="25"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type w:val="continuous"/>
        </w:sectPr>
      </w:pPr>
    </w:p>
    <w:p>
      <w:pPr>
        <w:spacing w:after="0" w:line="200" w:lineRule="exact"/>
        <w:rPr>
          <w:sz w:val="24"/>
          <w:szCs w:val="24"/>
          <w:color w:val="auto"/>
        </w:rPr>
      </w:pPr>
    </w:p>
    <w:p>
      <w:pPr>
        <w:spacing w:after="0" w:line="370"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w w:val="97"/>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32"/>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Common Shares</w:t>
            </w:r>
          </w:p>
        </w:tc>
        <w:tc>
          <w:tcPr>
            <w:tcW w:w="120" w:type="dxa"/>
            <w:vAlign w:val="bottom"/>
          </w:tcPr>
          <w:p>
            <w:pPr>
              <w:spacing w:after="0"/>
              <w:rPr>
                <w:sz w:val="20"/>
                <w:szCs w:val="20"/>
                <w:color w:val="auto"/>
              </w:rPr>
            </w:pPr>
          </w:p>
        </w:tc>
        <w:tc>
          <w:tcPr>
            <w:tcW w:w="35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MRVL</w:t>
            </w:r>
          </w:p>
        </w:tc>
        <w:tc>
          <w:tcPr>
            <w:tcW w:w="100" w:type="dxa"/>
            <w:vAlign w:val="bottom"/>
          </w:tcPr>
          <w:p>
            <w:pPr>
              <w:spacing w:after="0"/>
              <w:rPr>
                <w:sz w:val="20"/>
                <w:szCs w:val="20"/>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The Nasdaq Stock Market, LLC</w:t>
            </w:r>
          </w:p>
        </w:tc>
        <w:tc>
          <w:tcPr>
            <w:tcW w:w="0" w:type="dxa"/>
            <w:vAlign w:val="bottom"/>
          </w:tcPr>
          <w:p>
            <w:pPr>
              <w:spacing w:after="0"/>
              <w:rPr>
                <w:sz w:val="1"/>
                <w:szCs w:val="1"/>
                <w:color w:val="auto"/>
              </w:rPr>
            </w:pPr>
          </w:p>
        </w:tc>
      </w:tr>
    </w:tbl>
    <w:p>
      <w:pPr>
        <w:spacing w:after="0" w:line="175"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8"/>
          <w:szCs w:val="18"/>
          <w:color w:val="auto"/>
        </w:rPr>
        <w:t>☐</w:t>
      </w:r>
    </w:p>
    <w:p>
      <w:pPr>
        <w:spacing w:after="0" w:line="179"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133985</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type w:val="continuous"/>
        </w:sectPr>
      </w:pPr>
    </w:p>
    <w:bookmarkStart w:id="1" w:name="page2"/>
    <w:bookmarkEnd w:id="1"/>
    <w:p>
      <w:pPr>
        <w:ind w:left="1200" w:right="960" w:hanging="1200"/>
        <w:spacing w:after="0" w:line="286" w:lineRule="auto"/>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5.02</w:t>
      </w:r>
      <w:r>
        <w:rPr>
          <w:sz w:val="20"/>
          <w:szCs w:val="20"/>
          <w:color w:val="auto"/>
        </w:rPr>
        <w:tab/>
      </w:r>
      <w:r>
        <w:rPr>
          <w:rFonts w:ascii="Times New Roman" w:cs="Times New Roman" w:eastAsia="Times New Roman" w:hAnsi="Times New Roman"/>
          <w:sz w:val="18"/>
          <w:szCs w:val="18"/>
          <w:b w:val="1"/>
          <w:bCs w:val="1"/>
          <w:color w:val="auto"/>
        </w:rPr>
        <w:t>Departure of Directors or Certain Officers; Election of Directors; Appointment of Certain Officers; Compensatory Arrangements of Certain Officers.</w:t>
      </w:r>
    </w:p>
    <w:p>
      <w:pPr>
        <w:spacing w:after="0" w:line="51" w:lineRule="exact"/>
        <w:rPr>
          <w:sz w:val="20"/>
          <w:szCs w:val="20"/>
          <w:color w:val="auto"/>
        </w:rPr>
      </w:pPr>
    </w:p>
    <w:p>
      <w:pPr>
        <w:ind w:right="180"/>
        <w:spacing w:after="0" w:line="261" w:lineRule="auto"/>
        <w:rPr>
          <w:sz w:val="20"/>
          <w:szCs w:val="20"/>
          <w:color w:val="auto"/>
        </w:rPr>
      </w:pPr>
      <w:r>
        <w:rPr>
          <w:rFonts w:ascii="Times New Roman" w:cs="Times New Roman" w:eastAsia="Times New Roman" w:hAnsi="Times New Roman"/>
          <w:sz w:val="18"/>
          <w:szCs w:val="18"/>
          <w:color w:val="auto"/>
        </w:rPr>
        <w:t>On April 19, 2022, the Board of Directors (the “Board”) of Marvell Technology, Inc. (the “Company”) approved the appointment of Sara Andrews to the Board effective April 19, 2022. Ms. Andrews will stand for election at the 2022 annual meeting of stockholders expected to be held on June 23, 2022. The Board has determined Ms. Andrews to be “independent director” as defined under the applicable rules and regulations of the Securities and Exchange Commission and the listing requirements and rules of The NASDAQ Stock Market.</w:t>
      </w:r>
    </w:p>
    <w:p>
      <w:pPr>
        <w:spacing w:after="0" w:line="180" w:lineRule="exact"/>
        <w:rPr>
          <w:sz w:val="20"/>
          <w:szCs w:val="20"/>
          <w:color w:val="auto"/>
        </w:rPr>
      </w:pPr>
    </w:p>
    <w:p>
      <w:pPr>
        <w:ind w:right="80"/>
        <w:spacing w:after="0" w:line="258" w:lineRule="auto"/>
        <w:rPr>
          <w:sz w:val="20"/>
          <w:szCs w:val="20"/>
          <w:color w:val="auto"/>
        </w:rPr>
      </w:pPr>
      <w:r>
        <w:rPr>
          <w:rFonts w:ascii="Times New Roman" w:cs="Times New Roman" w:eastAsia="Times New Roman" w:hAnsi="Times New Roman"/>
          <w:sz w:val="18"/>
          <w:szCs w:val="18"/>
          <w:color w:val="auto"/>
        </w:rPr>
        <w:t>Ms. Andrews, age 58, joined Experian as Chief Information Security Officer in April 2022. She served as Senior Vice President and Chief Information Security Officer at PepsiCo, Inc., a multi-national food and beverage company, from July 2014 to April 2022. Prior to joining PepsiCo, Inc., she served as Chief Network Security Officer of Verizon Communications, Inc. from June 1997 to July 2014. Ms. Andrews has served on the board of directors of Mandiant, Inc. since August 2022. Ms. Andrews holds a Bachelor of Industrial Engineering from Auburn University and a Master of Business Administration from Brenau University.</w:t>
      </w:r>
    </w:p>
    <w:p>
      <w:pPr>
        <w:spacing w:after="0" w:line="183"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color w:val="auto"/>
        </w:rPr>
        <w:t>There are no family relationships between Ms. Andrews and any other director or executive officer of the Company. Nor are there any transactions between Ms. Andrews or any member of her immediate family and the Company that would be reportable as a related party transaction under the rules of the United States Securities and Exchange Commission. Further, there is no arrangement or understanding between Ms. Andrews and any other persons or entities pursuant to which Ms. Andrews was appointed as a director of the Company.</w:t>
      </w:r>
    </w:p>
    <w:p>
      <w:pPr>
        <w:spacing w:after="0" w:line="180" w:lineRule="exact"/>
        <w:rPr>
          <w:sz w:val="20"/>
          <w:szCs w:val="20"/>
          <w:color w:val="auto"/>
        </w:rPr>
      </w:pPr>
    </w:p>
    <w:p>
      <w:pPr>
        <w:ind w:right="180"/>
        <w:spacing w:after="0" w:line="281" w:lineRule="auto"/>
        <w:rPr>
          <w:sz w:val="20"/>
          <w:szCs w:val="20"/>
          <w:color w:val="auto"/>
        </w:rPr>
      </w:pPr>
      <w:r>
        <w:rPr>
          <w:rFonts w:ascii="Times New Roman" w:cs="Times New Roman" w:eastAsia="Times New Roman" w:hAnsi="Times New Roman"/>
          <w:sz w:val="17"/>
          <w:szCs w:val="17"/>
          <w:color w:val="auto"/>
        </w:rPr>
        <w:t>Ms. Andrews will participate in all director compensation and benefit programs in which the Company’s other non-employee directors participate, including an annual director retainer of $75,000 and an annual equity grant of restricted stock units valued at $235,000, which will be granted on the date of the 2022 annual meeting of stockholders. In addition, upon joining the Board, Ms. Andrews received a restricted stock unit award valued in an amount equal to a prorated portion of the annual equity grant, which prorated grant will vest on the date of the 2022 annual meeting of stockholders.</w:t>
      </w:r>
    </w:p>
    <w:p>
      <w:pPr>
        <w:spacing w:after="0" w:line="164"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Also on April 19, 2022, Ms. Bethany Mayer gave notice to the Board of her intention not to stand for re-election at the Company’s 2022 annual meeting of stockholders.</w:t>
      </w:r>
    </w:p>
    <w:p>
      <w:pPr>
        <w:spacing w:after="0" w:line="162" w:lineRule="exact"/>
        <w:rPr>
          <w:sz w:val="20"/>
          <w:szCs w:val="20"/>
          <w:color w:val="auto"/>
        </w:rPr>
      </w:pPr>
    </w:p>
    <w:p>
      <w:pPr>
        <w:ind w:right="440"/>
        <w:spacing w:after="0" w:line="282" w:lineRule="auto"/>
        <w:rPr>
          <w:sz w:val="20"/>
          <w:szCs w:val="20"/>
          <w:color w:val="auto"/>
        </w:rPr>
      </w:pPr>
      <w:r>
        <w:rPr>
          <w:rFonts w:ascii="Times New Roman" w:cs="Times New Roman" w:eastAsia="Times New Roman" w:hAnsi="Times New Roman"/>
          <w:sz w:val="18"/>
          <w:szCs w:val="18"/>
          <w:color w:val="auto"/>
        </w:rPr>
        <w:t>A copy of the press release announcing Ms. Andrews’s appointment and Ms. Mayer’s decision not to stand for re-election is furnished herewith as Exhibit 99.1 to this Current Report on Form 8-K.</w:t>
      </w:r>
    </w:p>
    <w:p>
      <w:pPr>
        <w:spacing w:after="0" w:line="306"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(d) Exhibits.</w:t>
      </w:r>
    </w:p>
    <w:p>
      <w:pPr>
        <w:spacing w:after="0" w:line="252" w:lineRule="exact"/>
        <w:rPr>
          <w:sz w:val="20"/>
          <w:szCs w:val="20"/>
          <w:color w:val="auto"/>
        </w:rPr>
      </w:pPr>
    </w:p>
    <w:p>
      <w:pPr>
        <w:spacing w:after="0"/>
        <w:tabs>
          <w:tab w:leader="none" w:pos="640" w:val="left"/>
        </w:tabs>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8"/>
          <w:szCs w:val="18"/>
          <w:color w:val="auto"/>
        </w:rPr>
        <w:t>99.1</w:t>
      </w:r>
      <w:r>
        <w:rPr>
          <w:sz w:val="20"/>
          <w:szCs w:val="20"/>
          <w:color w:val="auto"/>
        </w:rPr>
        <w:tab/>
      </w:r>
      <w:hyperlink w:anchor="page4">
        <w:r>
          <w:rPr>
            <w:rFonts w:ascii="Times New Roman" w:cs="Times New Roman" w:eastAsia="Times New Roman" w:hAnsi="Times New Roman"/>
            <w:sz w:val="17"/>
            <w:szCs w:val="17"/>
            <w:u w:val="single" w:color="auto"/>
            <w:color w:val="0000EE"/>
          </w:rPr>
          <w:t>Press Release dated April 20, 2022</w:t>
        </w:r>
      </w:hyperlink>
    </w:p>
    <w:p>
      <w:pPr>
        <w:spacing w:after="0" w:line="117"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104</w:t>
      </w:r>
      <w:r>
        <w:rPr>
          <w:sz w:val="20"/>
          <w:szCs w:val="20"/>
          <w:color w:val="auto"/>
        </w:rPr>
        <w:tab/>
      </w:r>
      <w:r>
        <w:rPr>
          <w:rFonts w:ascii="Times New Roman" w:cs="Times New Roman" w:eastAsia="Times New Roman" w:hAnsi="Times New Roman"/>
          <w:sz w:val="18"/>
          <w:szCs w:val="18"/>
          <w:color w:val="auto"/>
        </w:rPr>
        <w:t>Cover Page Interactive Data File (the cover page XBRL tags are embedded within the Inline XBRL document)</w:t>
      </w:r>
    </w:p>
    <w:p>
      <w:pPr>
        <w:sectPr>
          <w:pgSz w:w="11900" w:h="16838" w:orient="portrait"/>
          <w:cols w:equalWidth="0" w:num="1">
            <w:col w:w="10960"/>
          </w:cols>
          <w:pgMar w:left="440" w:top="293" w:right="499" w:bottom="1440" w:gutter="0" w:footer="0" w:header="0"/>
        </w:sectPr>
      </w:pPr>
    </w:p>
    <w:bookmarkStart w:id="2" w:name="page3"/>
    <w:bookmarkEnd w:id="2"/>
    <w:p>
      <w:pPr>
        <w:jc w:val="center"/>
        <w:ind w:right="-3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MARVELL TECHNOLOGY, INC.</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Times New Roman" w:cs="Times New Roman" w:eastAsia="Times New Roman" w:hAnsi="Times New Roman"/>
          <w:sz w:val="18"/>
          <w:szCs w:val="18"/>
          <w:color w:val="auto"/>
        </w:rPr>
        <w:t>Date: April 20, 2022</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Mark Casper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17145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4"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color w:val="auto"/>
        </w:rPr>
        <w:t>Mark Casper</w:t>
      </w:r>
    </w:p>
    <w:p>
      <w:pPr>
        <w:spacing w:after="0" w:line="9"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i w:val="1"/>
          <w:iCs w:val="1"/>
          <w:color w:val="auto"/>
        </w:rPr>
        <w:t>Senior Vice President and General Counsel</w:t>
      </w:r>
    </w:p>
    <w:p>
      <w:pPr>
        <w:sectPr>
          <w:pgSz w:w="11900" w:h="16838" w:orient="portrait"/>
          <w:cols w:equalWidth="0" w:num="1">
            <w:col w:w="10660"/>
          </w:cols>
          <w:pgMar w:left="440" w:top="293" w:right="79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173990</wp:posOffset>
            </wp:positionV>
            <wp:extent cx="1320165" cy="3771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320165" cy="3771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Announces Changes to its Board of Directors</w:t>
      </w:r>
    </w:p>
    <w:p>
      <w:pPr>
        <w:spacing w:after="0" w:line="225" w:lineRule="exact"/>
        <w:rPr>
          <w:sz w:val="20"/>
          <w:szCs w:val="20"/>
          <w:color w:val="auto"/>
        </w:rPr>
      </w:pPr>
    </w:p>
    <w:p>
      <w:pPr>
        <w:ind w:right="4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SANTA CLARA, Calif.— April 20, 2022— </w:t>
      </w:r>
      <w:r>
        <w:rPr>
          <w:rFonts w:ascii="Times New Roman" w:cs="Times New Roman" w:eastAsia="Times New Roman" w:hAnsi="Times New Roman"/>
          <w:sz w:val="18"/>
          <w:szCs w:val="18"/>
          <w:color w:val="auto"/>
        </w:rPr>
        <w:t>Marvell (NASDAQ: MRVL), a leader in data infrastructure semiconductor solutions, today announced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appointment of Sara Andrews, Chief Information Security Officer at Experian, to its board of directors.</w:t>
      </w:r>
    </w:p>
    <w:p>
      <w:pPr>
        <w:spacing w:after="0" w:line="159" w:lineRule="exact"/>
        <w:rPr>
          <w:sz w:val="20"/>
          <w:szCs w:val="20"/>
          <w:color w:val="auto"/>
        </w:rPr>
      </w:pPr>
    </w:p>
    <w:p>
      <w:pPr>
        <w:ind w:right="80"/>
        <w:spacing w:after="0" w:line="266" w:lineRule="auto"/>
        <w:rPr>
          <w:sz w:val="20"/>
          <w:szCs w:val="20"/>
          <w:color w:val="auto"/>
        </w:rPr>
      </w:pPr>
      <w:r>
        <w:rPr>
          <w:rFonts w:ascii="Times New Roman" w:cs="Times New Roman" w:eastAsia="Times New Roman" w:hAnsi="Times New Roman"/>
          <w:sz w:val="18"/>
          <w:szCs w:val="18"/>
          <w:color w:val="auto"/>
        </w:rPr>
        <w:t>“Sara is a proven business leader with a track record of growth and transformation and will bring valuable insights and expertise as we continue to scale Marvell,” said Matt Murphy, President and CEO of Marvell. “Sara’s background in infrastructure platforms and security is highly relevant to our industry-leading semiconductor data infrastructure portfolio.”</w:t>
      </w:r>
    </w:p>
    <w:p>
      <w:pPr>
        <w:spacing w:after="0" w:line="176" w:lineRule="exact"/>
        <w:rPr>
          <w:sz w:val="20"/>
          <w:szCs w:val="20"/>
          <w:color w:val="auto"/>
        </w:rPr>
      </w:pPr>
    </w:p>
    <w:p>
      <w:pPr>
        <w:ind w:right="240"/>
        <w:spacing w:after="0" w:line="282" w:lineRule="auto"/>
        <w:rPr>
          <w:sz w:val="20"/>
          <w:szCs w:val="20"/>
          <w:color w:val="auto"/>
        </w:rPr>
      </w:pPr>
      <w:r>
        <w:rPr>
          <w:rFonts w:ascii="Times New Roman" w:cs="Times New Roman" w:eastAsia="Times New Roman" w:hAnsi="Times New Roman"/>
          <w:sz w:val="18"/>
          <w:szCs w:val="18"/>
          <w:color w:val="auto"/>
        </w:rPr>
        <w:t>In addition, incumbent director Bethany Mayer, who joined the Marvell Board in 2018, has chosen to not stand for reelection at the upcoming Annual Meeting of Stockholders which is currently scheduled for June 23, 2022.</w:t>
      </w:r>
    </w:p>
    <w:p>
      <w:pPr>
        <w:spacing w:after="0" w:line="162" w:lineRule="exact"/>
        <w:rPr>
          <w:sz w:val="20"/>
          <w:szCs w:val="20"/>
          <w:color w:val="auto"/>
        </w:rPr>
      </w:pPr>
    </w:p>
    <w:p>
      <w:pPr>
        <w:ind w:right="200"/>
        <w:spacing w:after="0" w:line="266" w:lineRule="auto"/>
        <w:rPr>
          <w:sz w:val="20"/>
          <w:szCs w:val="20"/>
          <w:color w:val="auto"/>
        </w:rPr>
      </w:pPr>
      <w:r>
        <w:rPr>
          <w:rFonts w:ascii="Times New Roman" w:cs="Times New Roman" w:eastAsia="Times New Roman" w:hAnsi="Times New Roman"/>
          <w:sz w:val="18"/>
          <w:szCs w:val="18"/>
          <w:color w:val="auto"/>
        </w:rPr>
        <w:t>“Bethany’s thoughtful leadership and end market insights have been instrumental as the company has grown significantly through her tenure through strong organic growth and transformative M&amp;A. On behalf of Marvell’s Board of Directors and leadership team, I would like to thank Bethany for the valuable contributions she has made over the past four years,” said Murphy.</w:t>
      </w:r>
    </w:p>
    <w:p>
      <w:pPr>
        <w:spacing w:after="0" w:line="176" w:lineRule="exact"/>
        <w:rPr>
          <w:sz w:val="20"/>
          <w:szCs w:val="20"/>
          <w:color w:val="auto"/>
        </w:rPr>
      </w:pPr>
    </w:p>
    <w:p>
      <w:pPr>
        <w:ind w:right="400"/>
        <w:spacing w:after="0" w:line="282" w:lineRule="auto"/>
        <w:rPr>
          <w:sz w:val="20"/>
          <w:szCs w:val="20"/>
          <w:color w:val="auto"/>
        </w:rPr>
      </w:pPr>
      <w:r>
        <w:rPr>
          <w:rFonts w:ascii="Times New Roman" w:cs="Times New Roman" w:eastAsia="Times New Roman" w:hAnsi="Times New Roman"/>
          <w:sz w:val="18"/>
          <w:szCs w:val="18"/>
          <w:color w:val="auto"/>
        </w:rPr>
        <w:t>Mayer commented, “It has been rewarding to be part of such an exciting company transformation journey with Marvell. Marvell has a very capable leadership team and I trust the company’s best days are ahead.”</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Sara Andrews</w:t>
      </w:r>
    </w:p>
    <w:p>
      <w:pPr>
        <w:spacing w:after="0" w:line="121"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color w:val="auto"/>
        </w:rPr>
        <w:t>In addition to her role on Marvell’s Board, Ms. Andrews serves as the Chief Information Security Officer at Experian. She is also on the Board of Directors at Mandiant and has previously served on the Board of LogMeIn. Prior to joining Experian, Sara served as the Senior Vice President and Chief Information Security Officer at PepsiCo, Inc., where she was responsible for safeguarding networks and data across all PepsiCo business units and brands globally. She served as Chief Network Security Officer of Verizon Communications, Inc. from 1997 to 2014, during which time she led several organizations responsible for the security of all Verizon wireline networks serving Verizon’s residential, small business and enterprise customers. She is a member of the CISO Coalition National Leadership Board and the Aspen Cybersecurity Group. Sara holds an MBA from Brenau University and a BIE from Auburn University.</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ind w:right="240"/>
        <w:spacing w:after="0" w:line="261" w:lineRule="auto"/>
        <w:rPr>
          <w:sz w:val="20"/>
          <w:szCs w:val="20"/>
          <w:color w:val="auto"/>
        </w:rPr>
      </w:pPr>
      <w:r>
        <w:rPr>
          <w:rFonts w:ascii="Times New Roman" w:cs="Times New Roman" w:eastAsia="Times New Roman" w:hAnsi="Times New Roman"/>
          <w:sz w:val="18"/>
          <w:szCs w:val="18"/>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8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w:t>
      </w:r>
    </w:p>
    <w:p>
      <w:pPr>
        <w:sectPr>
          <w:pgSz w:w="11900" w:h="16838" w:orient="portrait"/>
          <w:cols w:equalWidth="0" w:num="1">
            <w:col w:w="11020"/>
          </w:cols>
          <w:pgMar w:left="440" w:top="117" w:right="439" w:bottom="1440" w:gutter="0" w:footer="0" w:header="0"/>
        </w:sectPr>
      </w:pPr>
    </w:p>
    <w:bookmarkStart w:id="4" w:name="page5"/>
    <w:bookmarkEnd w:id="4"/>
    <w:p>
      <w:pPr>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Marvell and the M logo are trademarks of Marvell or its affiliates. Please visit www.marvell.com for a complete list of Marvell trademarks. Other names and brands may be claimed as the property of others.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Kim Markle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pr@marvell.com</w:t>
      </w:r>
    </w:p>
    <w:sectPr>
      <w:pgSz w:w="11900" w:h="16838" w:orient="portrait"/>
      <w:cols w:equalWidth="0" w:num="1">
        <w:col w:w="10980"/>
      </w:cols>
      <w:pgMar w:left="440" w:top="270"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2022-04-20T07:49:24Z</dcterms:created>
  <dcterms:modified xsi:type="dcterms:W3CDTF">2022-04-20T07:49:24Z</dcterms:modified>
</cp:coreProperties>
</file>