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jc w:val="center"/>
        <w:ind w:right="-1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203200</wp:posOffset>
            </wp:positionH>
            <wp:positionV relativeFrom="page">
              <wp:posOffset>295275</wp:posOffset>
            </wp:positionV>
            <wp:extent cx="7142480" cy="2349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2480" cy="23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203200</wp:posOffset>
            </wp:positionH>
            <wp:positionV relativeFrom="page">
              <wp:posOffset>327025</wp:posOffset>
            </wp:positionV>
            <wp:extent cx="7142480" cy="762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2480" cy="7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t>UNITED STATES</w:t>
      </w:r>
    </w:p>
    <w:p>
      <w:pPr>
        <w:spacing w:after="0" w:line="36" w:lineRule="exact"/>
        <w:rPr>
          <w:sz w:val="24"/>
          <w:szCs w:val="24"/>
          <w:color w:val="auto"/>
        </w:rPr>
      </w:pPr>
    </w:p>
    <w:p>
      <w:pPr>
        <w:jc w:val="center"/>
        <w:ind w:right="-1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SECURITIES AND EXCHANGE COMMISSION</w:t>
      </w: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jc w:val="center"/>
        <w:ind w:right="-1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Washington, D.C. 20549</w:t>
      </w:r>
    </w:p>
    <w:p>
      <w:pPr>
        <w:spacing w:after="0" w:line="164" w:lineRule="exact"/>
        <w:rPr>
          <w:sz w:val="24"/>
          <w:szCs w:val="24"/>
          <w:color w:val="auto"/>
        </w:rPr>
      </w:pPr>
    </w:p>
    <w:p>
      <w:pPr>
        <w:jc w:val="center"/>
        <w:ind w:right="-1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30"/>
          <w:szCs w:val="30"/>
          <w:b w:val="1"/>
          <w:bCs w:val="1"/>
          <w:color w:val="auto"/>
        </w:rPr>
        <w:t>SCHEDULE 14A</w:t>
      </w:r>
    </w:p>
    <w:p>
      <w:pPr>
        <w:spacing w:after="0" w:line="215" w:lineRule="exact"/>
        <w:rPr>
          <w:sz w:val="24"/>
          <w:szCs w:val="24"/>
          <w:color w:val="auto"/>
        </w:rPr>
      </w:pPr>
    </w:p>
    <w:p>
      <w:pPr>
        <w:jc w:val="center"/>
        <w:ind w:right="-1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Proxy Statement Pursuant to Section 14(a) of</w:t>
      </w:r>
    </w:p>
    <w:p>
      <w:pPr>
        <w:spacing w:after="0" w:line="21" w:lineRule="exact"/>
        <w:rPr>
          <w:sz w:val="24"/>
          <w:szCs w:val="24"/>
          <w:color w:val="auto"/>
        </w:rPr>
      </w:pPr>
    </w:p>
    <w:p>
      <w:pPr>
        <w:jc w:val="center"/>
        <w:ind w:right="-1120"/>
        <w:spacing w:after="0"/>
        <w:tabs>
          <w:tab w:leader="none" w:pos="1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b w:val="1"/>
          <w:bCs w:val="1"/>
          <w:color w:val="auto"/>
        </w:rPr>
        <w:t>the Securities Exchange Act of 1934 (Amendment No.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)</w:t>
      </w:r>
    </w:p>
    <w:p>
      <w:pPr>
        <w:spacing w:after="0" w:line="162" w:lineRule="exact"/>
        <w:rPr>
          <w:sz w:val="24"/>
          <w:szCs w:val="24"/>
          <w:color w:val="auto"/>
        </w:rPr>
      </w:pPr>
    </w:p>
    <w:p>
      <w:pPr>
        <w:ind w:left="20"/>
        <w:spacing w:after="0" w:line="196" w:lineRule="exact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auto"/>
        </w:rPr>
        <w:t xml:space="preserve">Filed by the Registrant </w:t>
      </w:r>
      <w:r>
        <w:rPr>
          <w:rFonts w:ascii="MS PGothic" w:cs="MS PGothic" w:eastAsia="MS PGothic" w:hAnsi="MS PGothic"/>
          <w:sz w:val="17"/>
          <w:szCs w:val="17"/>
          <w:color w:val="auto"/>
          <w:highlight w:val="black"/>
        </w:rPr>
        <w:t>☒</w:t>
      </w:r>
    </w:p>
    <w:p>
      <w:pPr>
        <w:spacing w:after="0" w:line="204" w:lineRule="exact"/>
        <w:rPr>
          <w:sz w:val="24"/>
          <w:szCs w:val="24"/>
          <w:color w:val="auto"/>
        </w:rPr>
      </w:pPr>
    </w:p>
    <w:p>
      <w:pPr>
        <w:ind w:left="20"/>
        <w:spacing w:after="0" w:line="196" w:lineRule="exact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auto"/>
        </w:rPr>
        <w:t xml:space="preserve">Filed by a Party other than the Registrant </w:t>
      </w:r>
      <w:r>
        <w:rPr>
          <w:rFonts w:ascii="MS PGothic" w:cs="MS PGothic" w:eastAsia="MS PGothic" w:hAnsi="MS PGothic"/>
          <w:sz w:val="17"/>
          <w:szCs w:val="17"/>
          <w:color w:val="auto"/>
          <w:highlight w:val="black"/>
        </w:rPr>
        <w:t>☐</w:t>
      </w:r>
    </w:p>
    <w:p>
      <w:pPr>
        <w:spacing w:after="0" w:line="235" w:lineRule="exact"/>
        <w:rPr>
          <w:sz w:val="24"/>
          <w:szCs w:val="24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auto"/>
        </w:rPr>
        <w:t>Check the appropriate box:</w:t>
      </w:r>
    </w:p>
    <w:p>
      <w:pPr>
        <w:spacing w:after="0" w:line="204" w:lineRule="exact"/>
        <w:rPr>
          <w:sz w:val="24"/>
          <w:szCs w:val="24"/>
          <w:color w:val="auto"/>
        </w:rPr>
      </w:pPr>
    </w:p>
    <w:p>
      <w:pPr>
        <w:ind w:left="360" w:hanging="360"/>
        <w:spacing w:after="0"/>
        <w:tabs>
          <w:tab w:leader="none" w:pos="360" w:val="left"/>
        </w:tabs>
        <w:numPr>
          <w:ilvl w:val="0"/>
          <w:numId w:val="1"/>
        </w:numPr>
        <w:rPr>
          <w:rFonts w:ascii="MS PGothic" w:cs="MS PGothic" w:eastAsia="MS PGothic" w:hAnsi="MS PGothic"/>
          <w:sz w:val="17"/>
          <w:szCs w:val="17"/>
          <w:color w:val="auto"/>
          <w:highlight w:val="black"/>
        </w:rPr>
      </w:pPr>
      <w:r>
        <w:rPr>
          <w:rFonts w:ascii="Arial" w:cs="Arial" w:eastAsia="Arial" w:hAnsi="Arial"/>
          <w:sz w:val="17"/>
          <w:szCs w:val="17"/>
          <w:color w:val="auto"/>
        </w:rPr>
        <w:t>Preliminary Proxy Statement</w:t>
      </w:r>
    </w:p>
    <w:p>
      <w:pPr>
        <w:spacing w:after="0" w:line="75" w:lineRule="exact"/>
        <w:rPr>
          <w:rFonts w:ascii="MS PGothic" w:cs="MS PGothic" w:eastAsia="MS PGothic" w:hAnsi="MS PGothic"/>
          <w:sz w:val="17"/>
          <w:szCs w:val="17"/>
          <w:color w:val="auto"/>
          <w:highlight w:val="black"/>
        </w:rPr>
      </w:pPr>
    </w:p>
    <w:p>
      <w:pPr>
        <w:ind w:left="360" w:hanging="360"/>
        <w:spacing w:after="0"/>
        <w:tabs>
          <w:tab w:leader="none" w:pos="360" w:val="left"/>
        </w:tabs>
        <w:numPr>
          <w:ilvl w:val="0"/>
          <w:numId w:val="1"/>
        </w:numPr>
        <w:rPr>
          <w:rFonts w:ascii="MS PGothic" w:cs="MS PGothic" w:eastAsia="MS PGothic" w:hAnsi="MS PGothic"/>
          <w:sz w:val="17"/>
          <w:szCs w:val="17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Confidential, for Use of the Commission Only (as permitted by Rule 14a-6(e)(2))</w:t>
      </w:r>
    </w:p>
    <w:p>
      <w:pPr>
        <w:spacing w:after="0" w:line="83" w:lineRule="exact"/>
        <w:rPr>
          <w:rFonts w:ascii="MS PGothic" w:cs="MS PGothic" w:eastAsia="MS PGothic" w:hAnsi="MS PGothic"/>
          <w:sz w:val="17"/>
          <w:szCs w:val="17"/>
          <w:color w:val="auto"/>
        </w:rPr>
      </w:pPr>
    </w:p>
    <w:p>
      <w:pPr>
        <w:ind w:left="360" w:hanging="360"/>
        <w:spacing w:after="0"/>
        <w:tabs>
          <w:tab w:leader="none" w:pos="360" w:val="left"/>
        </w:tabs>
        <w:numPr>
          <w:ilvl w:val="0"/>
          <w:numId w:val="1"/>
        </w:numPr>
        <w:rPr>
          <w:rFonts w:ascii="MS PGothic" w:cs="MS PGothic" w:eastAsia="MS PGothic" w:hAnsi="MS PGothic"/>
          <w:sz w:val="17"/>
          <w:szCs w:val="17"/>
          <w:color w:val="auto"/>
          <w:highlight w:val="black"/>
        </w:rPr>
      </w:pPr>
      <w:r>
        <w:rPr>
          <w:rFonts w:ascii="Arial" w:cs="Arial" w:eastAsia="Arial" w:hAnsi="Arial"/>
          <w:sz w:val="17"/>
          <w:szCs w:val="17"/>
          <w:color w:val="auto"/>
        </w:rPr>
        <w:t>Definitive Proxy Statement</w:t>
      </w:r>
    </w:p>
    <w:p>
      <w:pPr>
        <w:spacing w:after="0" w:line="79" w:lineRule="exact"/>
        <w:rPr>
          <w:sz w:val="24"/>
          <w:szCs w:val="24"/>
          <w:color w:val="auto"/>
        </w:rPr>
      </w:pPr>
    </w:p>
    <w:p>
      <w:pPr>
        <w:ind w:left="360" w:hanging="360"/>
        <w:spacing w:after="0"/>
        <w:tabs>
          <w:tab w:leader="none" w:pos="360" w:val="left"/>
        </w:tabs>
        <w:numPr>
          <w:ilvl w:val="0"/>
          <w:numId w:val="2"/>
        </w:numPr>
        <w:rPr>
          <w:rFonts w:ascii="MS PGothic" w:cs="MS PGothic" w:eastAsia="MS PGothic" w:hAnsi="MS PGothic"/>
          <w:sz w:val="17"/>
          <w:szCs w:val="17"/>
          <w:color w:val="auto"/>
        </w:rPr>
      </w:pPr>
      <w:r>
        <w:rPr>
          <w:rFonts w:ascii="Arial" w:cs="Arial" w:eastAsia="Arial" w:hAnsi="Arial"/>
          <w:sz w:val="17"/>
          <w:szCs w:val="17"/>
          <w:color w:val="auto"/>
        </w:rPr>
        <w:t>Definitive Additional Materials</w:t>
      </w:r>
    </w:p>
    <w:p>
      <w:pPr>
        <w:spacing w:after="0" w:line="79" w:lineRule="exact"/>
        <w:rPr>
          <w:sz w:val="24"/>
          <w:szCs w:val="24"/>
          <w:color w:val="auto"/>
        </w:rPr>
      </w:pPr>
    </w:p>
    <w:p>
      <w:pPr>
        <w:ind w:left="360" w:hanging="360"/>
        <w:spacing w:after="0"/>
        <w:tabs>
          <w:tab w:leader="none" w:pos="360" w:val="left"/>
        </w:tabs>
        <w:numPr>
          <w:ilvl w:val="0"/>
          <w:numId w:val="3"/>
        </w:numPr>
        <w:rPr>
          <w:rFonts w:ascii="MS PGothic" w:cs="MS PGothic" w:eastAsia="MS PGothic" w:hAnsi="MS PGothic"/>
          <w:sz w:val="17"/>
          <w:szCs w:val="17"/>
          <w:color w:val="auto"/>
          <w:highlight w:val="black"/>
        </w:rPr>
      </w:pPr>
      <w:r>
        <w:rPr>
          <w:rFonts w:ascii="Arial" w:cs="Arial" w:eastAsia="Arial" w:hAnsi="Arial"/>
          <w:sz w:val="17"/>
          <w:szCs w:val="17"/>
          <w:color w:val="auto"/>
        </w:rPr>
        <w:t>Soliciting Material under §240.14a-12</w:t>
      </w:r>
    </w:p>
    <w:p>
      <w:pPr>
        <w:spacing w:after="0" w:line="271" w:lineRule="exact"/>
        <w:rPr>
          <w:sz w:val="24"/>
          <w:szCs w:val="24"/>
          <w:color w:val="auto"/>
        </w:rPr>
      </w:pPr>
    </w:p>
    <w:p>
      <w:pPr>
        <w:jc w:val="center"/>
        <w:ind w:right="-1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Marvell Technology, Inc.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20320</wp:posOffset>
            </wp:positionV>
            <wp:extent cx="7142480" cy="762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2480" cy="7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9" w:lineRule="exact"/>
        <w:rPr>
          <w:sz w:val="24"/>
          <w:szCs w:val="24"/>
          <w:color w:val="auto"/>
        </w:rPr>
      </w:pPr>
    </w:p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auto"/>
        </w:rPr>
        <w:t>(Name of Registrant as Specified in Its Charter)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267970</wp:posOffset>
            </wp:positionV>
            <wp:extent cx="7142480" cy="762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2480" cy="7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2" w:lineRule="exact"/>
        <w:rPr>
          <w:sz w:val="24"/>
          <w:szCs w:val="24"/>
          <w:color w:val="auto"/>
        </w:rPr>
      </w:pPr>
    </w:p>
    <w:p>
      <w:pPr>
        <w:ind w:left="32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(Name of Person(s) Filing Proxy Statement, if other than the Registrant)</w:t>
      </w:r>
    </w:p>
    <w:p>
      <w:pPr>
        <w:spacing w:after="0" w:line="227" w:lineRule="exact"/>
        <w:rPr>
          <w:sz w:val="24"/>
          <w:szCs w:val="24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auto"/>
        </w:rPr>
        <w:t>Payment of Filing Fee (Check the appropriate box):</w:t>
      </w:r>
    </w:p>
    <w:p>
      <w:pPr>
        <w:spacing w:after="0" w:line="204" w:lineRule="exact"/>
        <w:rPr>
          <w:sz w:val="24"/>
          <w:szCs w:val="24"/>
          <w:color w:val="auto"/>
        </w:rPr>
      </w:pPr>
    </w:p>
    <w:p>
      <w:pPr>
        <w:ind w:left="360" w:hanging="360"/>
        <w:spacing w:after="0"/>
        <w:tabs>
          <w:tab w:leader="none" w:pos="360" w:val="left"/>
        </w:tabs>
        <w:numPr>
          <w:ilvl w:val="0"/>
          <w:numId w:val="4"/>
        </w:numPr>
        <w:rPr>
          <w:rFonts w:ascii="MS PGothic" w:cs="MS PGothic" w:eastAsia="MS PGothic" w:hAnsi="MS PGothic"/>
          <w:sz w:val="17"/>
          <w:szCs w:val="17"/>
          <w:color w:val="auto"/>
        </w:rPr>
      </w:pPr>
      <w:r>
        <w:rPr>
          <w:rFonts w:ascii="Arial" w:cs="Arial" w:eastAsia="Arial" w:hAnsi="Arial"/>
          <w:sz w:val="17"/>
          <w:szCs w:val="17"/>
          <w:color w:val="auto"/>
        </w:rPr>
        <w:t>No fee required.</w:t>
      </w:r>
    </w:p>
    <w:p>
      <w:pPr>
        <w:spacing w:after="0" w:line="79" w:lineRule="exact"/>
        <w:rPr>
          <w:sz w:val="24"/>
          <w:szCs w:val="24"/>
          <w:color w:val="auto"/>
        </w:rPr>
      </w:pPr>
    </w:p>
    <w:p>
      <w:pPr>
        <w:ind w:left="360" w:hanging="360"/>
        <w:spacing w:after="0"/>
        <w:tabs>
          <w:tab w:leader="none" w:pos="360" w:val="left"/>
        </w:tabs>
        <w:numPr>
          <w:ilvl w:val="0"/>
          <w:numId w:val="5"/>
        </w:numPr>
        <w:rPr>
          <w:rFonts w:ascii="MS PGothic" w:cs="MS PGothic" w:eastAsia="MS PGothic" w:hAnsi="MS PGothic"/>
          <w:sz w:val="17"/>
          <w:szCs w:val="17"/>
          <w:color w:val="auto"/>
        </w:rPr>
      </w:pPr>
      <w:r>
        <w:rPr>
          <w:rFonts w:ascii="Arial" w:cs="Arial" w:eastAsia="Arial" w:hAnsi="Arial"/>
          <w:sz w:val="17"/>
          <w:szCs w:val="17"/>
          <w:color w:val="auto"/>
        </w:rPr>
        <w:t>Fee paid previously with preliminary materials.</w:t>
      </w:r>
    </w:p>
    <w:p>
      <w:pPr>
        <w:spacing w:after="0" w:line="79" w:lineRule="exact"/>
        <w:rPr>
          <w:rFonts w:ascii="MS PGothic" w:cs="MS PGothic" w:eastAsia="MS PGothic" w:hAnsi="MS PGothic"/>
          <w:sz w:val="17"/>
          <w:szCs w:val="17"/>
          <w:color w:val="auto"/>
        </w:rPr>
      </w:pPr>
    </w:p>
    <w:p>
      <w:pPr>
        <w:ind w:left="360" w:hanging="360"/>
        <w:spacing w:after="0"/>
        <w:tabs>
          <w:tab w:leader="none" w:pos="360" w:val="left"/>
        </w:tabs>
        <w:numPr>
          <w:ilvl w:val="0"/>
          <w:numId w:val="5"/>
        </w:numPr>
        <w:rPr>
          <w:rFonts w:ascii="MS PGothic" w:cs="MS PGothic" w:eastAsia="MS PGothic" w:hAnsi="MS PGothic"/>
          <w:sz w:val="17"/>
          <w:szCs w:val="17"/>
          <w:color w:val="auto"/>
        </w:rPr>
      </w:pPr>
      <w:r>
        <w:rPr>
          <w:rFonts w:ascii="Arial" w:cs="Arial" w:eastAsia="Arial" w:hAnsi="Arial"/>
          <w:sz w:val="17"/>
          <w:szCs w:val="17"/>
          <w:color w:val="auto"/>
        </w:rPr>
        <w:t>Fee computed on table in exhibit required by Item 25(b) per Exchange Act Rules 14a6(i)(1) and 0-11.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217170</wp:posOffset>
            </wp:positionV>
            <wp:extent cx="7142480" cy="762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2480" cy="7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233045</wp:posOffset>
            </wp:positionV>
            <wp:extent cx="7142480" cy="2349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2480" cy="23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653415</wp:posOffset>
            </wp:positionV>
            <wp:extent cx="7142480" cy="762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2480" cy="7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0139"/>
          </w:cols>
          <w:pgMar w:left="320" w:top="781" w:right="1440" w:bottom="1440" w:gutter="0" w:footer="0" w:header="0"/>
        </w:sectPr>
      </w:pPr>
    </w:p>
    <w:bookmarkStart w:id="1" w:name="page2"/>
    <w:bookmarkEnd w:id="1"/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266700</wp:posOffset>
            </wp:positionH>
            <wp:positionV relativeFrom="page">
              <wp:posOffset>422275</wp:posOffset>
            </wp:positionV>
            <wp:extent cx="6888480" cy="907097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8480" cy="9070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1" w:num="1" w:space="0"/>
          <w:pgMar w:left="1440" w:top="1440" w:right="1440" w:bottom="875" w:gutter="0" w:footer="0" w:header="0"/>
        </w:sectPr>
      </w:pPr>
    </w:p>
    <w:bookmarkStart w:id="2" w:name="page3"/>
    <w:bookmarkEnd w:id="2"/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266700</wp:posOffset>
            </wp:positionH>
            <wp:positionV relativeFrom="page">
              <wp:posOffset>88900</wp:posOffset>
            </wp:positionV>
            <wp:extent cx="6888480" cy="907097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8480" cy="9070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>
      <w:pgSz w:w="11900" w:h="16838" w:orient="portrait"/>
      <w:cols w:equalWidth="1" w:num="1" w:space="0"/>
      <w:pgMar w:left="1440" w:top="1440" w:right="1440" w:bottom="875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  <w:font w:name="MS PGothic">
    <w:panose1 w:val="020B0600070205080204"/>
    <w:charset w:val="80"/>
    <w:family w:val="swiss"/>
    <w:pitch w:val="variable"/>
    <w:sig w:usb0="E00002FF" w:usb1="6AC7FDFB" w:usb2="08000012" w:usb3="00000000" w:csb0="4002009F" w:csb1="DFD70000"/>
  </w:font>
</w:fonts>
</file>

<file path=word/numbering.xml><?xml version="1.0" encoding="utf-8"?>
<w:numbering xmlns:w="http://schemas.openxmlformats.org/wordprocessingml/2006/main">
  <w:abstractNum w:abstractNumId="0">
    <w:nsid w:val="19495CFF"/>
    <w:multiLevelType w:val="hybridMultilevel"/>
    <w:lvl w:ilvl="0">
      <w:lvlJc w:val="left"/>
      <w:lvlText w:val="☐"/>
      <w:numFmt w:val="bullet"/>
      <w:start w:val="1"/>
    </w:lvl>
  </w:abstractNum>
  <w:abstractNum w:abstractNumId="1">
    <w:nsid w:val="2AE8944A"/>
    <w:multiLevelType w:val="hybridMultilevel"/>
    <w:lvl w:ilvl="0">
      <w:lvlJc w:val="left"/>
      <w:lvlText w:val="☒"/>
      <w:numFmt w:val="bullet"/>
      <w:start w:val="1"/>
    </w:lvl>
  </w:abstractNum>
  <w:abstractNum w:abstractNumId="2">
    <w:nsid w:val="625558EC"/>
    <w:multiLevelType w:val="hybridMultilevel"/>
    <w:lvl w:ilvl="0">
      <w:lvlJc w:val="left"/>
      <w:lvlText w:val="☐"/>
      <w:numFmt w:val="bullet"/>
      <w:start w:val="1"/>
    </w:lvl>
  </w:abstractNum>
  <w:abstractNum w:abstractNumId="3">
    <w:nsid w:val="238E1F29"/>
    <w:multiLevelType w:val="hybridMultilevel"/>
    <w:lvl w:ilvl="0">
      <w:lvlJc w:val="left"/>
      <w:lvlText w:val="☒"/>
      <w:numFmt w:val="bullet"/>
      <w:start w:val="1"/>
    </w:lvl>
  </w:abstractNum>
  <w:abstractNum w:abstractNumId="4">
    <w:nsid w:val="46E87CCD"/>
    <w:multiLevelType w:val="hybridMultilevel"/>
    <w:lvl w:ilvl="0">
      <w:lvlJc w:val="left"/>
      <w:lvlText w:val="☐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image" Target="media/image6.png"/><Relationship Id="rId14" Type="http://schemas.openxmlformats.org/officeDocument/2006/relationships/image" Target="media/image7.png"/><Relationship Id="rId15" Type="http://schemas.openxmlformats.org/officeDocument/2006/relationships/image" Target="media/image8.png"/><Relationship Id="rId16" Type="http://schemas.openxmlformats.org/officeDocument/2006/relationships/image" Target="media/image9.png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2022-05-06T12:21:13Z</dcterms:created>
  <dcterms:modified xsi:type="dcterms:W3CDTF">2022-05-06T12:21:13Z</dcterms:modified>
</cp:coreProperties>
</file>