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SEC Form 4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2" w:lineRule="exact"/>
        <w:rPr>
          <w:sz w:val="24"/>
          <w:szCs w:val="24"/>
          <w:color w:val="auto"/>
        </w:rPr>
      </w:pPr>
    </w:p>
    <w:p>
      <w:pPr>
        <w:ind w:left="360"/>
        <w:spacing w:after="0" w:line="25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33020</wp:posOffset>
            </wp:positionH>
            <wp:positionV relativeFrom="paragraph">
              <wp:posOffset>-236220</wp:posOffset>
            </wp:positionV>
            <wp:extent cx="128905" cy="128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128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7"/>
        </w:trPr>
        <w:tc>
          <w:tcPr>
            <w:tcW w:w="6260" w:type="dxa"/>
            <w:vAlign w:val="bottom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38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5243195</wp:posOffset>
            </wp:positionH>
            <wp:positionV relativeFrom="paragraph">
              <wp:posOffset>-616585</wp:posOffset>
            </wp:positionV>
            <wp:extent cx="57785" cy="6299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3961765</wp:posOffset>
            </wp:positionH>
            <wp:positionV relativeFrom="paragraph">
              <wp:posOffset>-616585</wp:posOffset>
            </wp:positionV>
            <wp:extent cx="57785" cy="6299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-1661795</wp:posOffset>
            </wp:positionH>
            <wp:positionV relativeFrom="paragraph">
              <wp:posOffset>20955</wp:posOffset>
            </wp:positionV>
            <wp:extent cx="6995795" cy="75596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795" cy="755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20" w:space="380"/>
            <w:col w:w="8480"/>
          </w:cols>
          <w:pgMar w:left="460" w:top="216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0"/>
          <w:szCs w:val="20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GAYNOR MITCHELL</w:t>
        </w:r>
      </w:hyperlink>
    </w:p>
    <w:p>
      <w:pPr>
        <w:spacing w:after="0" w:line="294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6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/>
        <w:rPr>
          <w:rFonts w:ascii="Times New Roman" w:cs="Times New Roman" w:eastAsia="Times New Roman" w:hAnsi="Times New Roman"/>
          <w:sz w:val="19"/>
          <w:szCs w:val="19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19"/>
            <w:szCs w:val="19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19"/>
          <w:szCs w:val="19"/>
          <w:color w:val="000000"/>
        </w:rPr>
        <w:t>[</w:t>
      </w:r>
      <w:r>
        <w:rPr>
          <w:rFonts w:ascii="Times New Roman" w:cs="Times New Roman" w:eastAsia="Times New Roman" w:hAnsi="Times New Roman"/>
          <w:sz w:val="19"/>
          <w:szCs w:val="19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19"/>
          <w:szCs w:val="19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9"/>
          <w:szCs w:val="19"/>
          <w:color w:val="000000"/>
        </w:rPr>
        <w:t>]</w:t>
      </w:r>
    </w:p>
    <w:p>
      <w:pPr>
        <w:spacing w:after="0" w:line="30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3. Date of Earliest Transaction (Month/Day/Year)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04/14/2022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2" w:right="660" w:firstLine="2"/>
        <w:spacing w:after="0" w:line="251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5" w:lineRule="exact"/>
        <w:rPr>
          <w:sz w:val="24"/>
          <w:szCs w:val="24"/>
          <w:color w:val="auto"/>
        </w:rPr>
      </w:pPr>
    </w:p>
    <w:tbl>
      <w:tblPr>
        <w:tblLayout w:type="fixed"/>
        <w:tblInd w:w="198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3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117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EVP, CALO</w:t>
      </w:r>
    </w:p>
    <w:p>
      <w:pPr>
        <w:spacing w:after="0" w:line="31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102" w:space="720"/>
            <w:col w:w="3338"/>
          </w:cols>
          <w:pgMar w:left="460" w:top="216" w:right="359" w:bottom="0" w:gutter="0" w:footer="0" w:header="0"/>
          <w:type w:val="continuous"/>
        </w:sectPr>
      </w:pPr>
    </w:p>
    <w:p>
      <w:pPr>
        <w:spacing w:after="0" w:line="15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95054</w:t>
            </w: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8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60"/>
            <w:col w:w="716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2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04/14/2022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2"/>
              </w:rPr>
              <w:t>S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  <w:w w:val="95"/>
              </w:rPr>
              <w:t>5,000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5"/>
                <w:vertAlign w:val="superscript"/>
              </w:rPr>
              <w:t>(1)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63.61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94,531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63,266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157,797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(2)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31,368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60.97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126,429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2,637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129,066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2"/>
              </w:rPr>
              <w:t>F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1,308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60.97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127,758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2,817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130,575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(2)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1,397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60.97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129,178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1,614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130,792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(2)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801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60.97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129,991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40" w:type="dxa"/>
            <w:vAlign w:val="bottom"/>
            <w:gridSpan w:val="9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jc w:val="center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and 5)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63,266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63,266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20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32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2,637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2,637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left="201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2,817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2,817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11,266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(7)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1,614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1,614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12,916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(8)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15,090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4"/>
              </w:rPr>
              <w:t>A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15,090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15,090</w:t>
            </w: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32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7007225</wp:posOffset>
            </wp:positionH>
            <wp:positionV relativeFrom="paragraph">
              <wp:posOffset>-3202940</wp:posOffset>
            </wp:positionV>
            <wp:extent cx="28575" cy="32086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20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sales reported in this Form 4 were effected pursuant to a Rule 10b5-1 trading plan adopted by the reported person.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40" w:right="460"/>
        <w:spacing w:after="0" w:line="249" w:lineRule="auto"/>
        <w:tabs>
          <w:tab w:leader="none" w:pos="167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grant is fully vested. Reflects the number of shares earned in respect of performance based restricted stock units granted on 04/15/2019. The achievement levels of the relative TSR performance metrics applicable to the award and the number of shares earned based on such results were certified on 04/15/2022.</w:t>
      </w:r>
    </w:p>
    <w:p>
      <w:pPr>
        <w:spacing w:after="0" w:line="19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award fully vested on April 15, 2022.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07/15/2022, 10/15/22, 01/15/2023 and 04/15/2023.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07/15/2022, 10/15/22, 01/15/2023, 04/15/2023, 07/15/2023, 10/15/2023, 01/15/2024 and 04/15/2024.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Restricted Stock Units (RSUs) will vest in equal quarterly installments over three years, and were granted as part of the annual grant process.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Remarks:</w:t>
      </w:r>
    </w:p>
    <w:p>
      <w:pPr>
        <w:spacing w:after="0" w:line="127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Mitchell Gaynor by Blair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04/18/2022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18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Walters as Attorney-in-Fact</w:t>
            </w:r>
          </w:p>
        </w:tc>
        <w:tc>
          <w:tcPr>
            <w:tcW w:w="1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1820" w:type="dxa"/>
            <w:vAlign w:val="bottom"/>
            <w:tcBorders>
              <w:bottom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jc w:val="both"/>
        <w:ind w:right="2639"/>
        <w:spacing w:after="0" w:line="331" w:lineRule="auto"/>
        <w:tabs>
          <w:tab w:leader="none" w:pos="134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60"/>
      </w:cols>
      <w:pgMar w:left="500" w:top="128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93486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2022-05-17T18:54:55Z</dcterms:created>
  <dcterms:modified xsi:type="dcterms:W3CDTF">2022-05-17T18:54:55Z</dcterms:modified>
</cp:coreProperties>
</file>