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Arial" w:cs="Arial" w:eastAsia="Arial" w:hAnsi="Arial"/>
          <w:sz w:val="28"/>
          <w:szCs w:val="28"/>
          <w:b w:val="1"/>
          <w:bCs w:val="1"/>
          <w:color w:val="auto"/>
        </w:rPr>
        <w:drawing>
          <wp:anchor simplePos="0" relativeHeight="251657728" behindDoc="1" locked="0" layoutInCell="0" allowOverlap="1">
            <wp:simplePos x="0" y="0"/>
            <wp:positionH relativeFrom="page">
              <wp:posOffset>389890</wp:posOffset>
            </wp:positionH>
            <wp:positionV relativeFrom="page">
              <wp:posOffset>364490</wp:posOffset>
            </wp:positionV>
            <wp:extent cx="67684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page">
              <wp:posOffset>389890</wp:posOffset>
            </wp:positionH>
            <wp:positionV relativeFrom="page">
              <wp:posOffset>330835</wp:posOffset>
            </wp:positionV>
            <wp:extent cx="676846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768465" cy="8255"/>
                    </a:xfrm>
                    <a:prstGeom prst="rect">
                      <a:avLst/>
                    </a:prstGeom>
                    <a:noFill/>
                  </pic:spPr>
                </pic:pic>
              </a:graphicData>
            </a:graphic>
          </wp:anchor>
        </w:drawing>
        <w:t>UNITED STATES</w:t>
      </w:r>
    </w:p>
    <w:p>
      <w:pPr>
        <w:spacing w:after="0" w:line="2" w:lineRule="exact"/>
        <w:rPr>
          <w:sz w:val="24"/>
          <w:szCs w:val="24"/>
          <w:color w:val="auto"/>
        </w:rPr>
      </w:pPr>
    </w:p>
    <w:p>
      <w:pPr>
        <w:jc w:val="center"/>
        <w:ind w:right="-179"/>
        <w:spacing w:after="0"/>
        <w:rPr>
          <w:sz w:val="20"/>
          <w:szCs w:val="20"/>
          <w:color w:val="auto"/>
        </w:rPr>
      </w:pPr>
      <w:r>
        <w:rPr>
          <w:rFonts w:ascii="Arial" w:cs="Arial" w:eastAsia="Arial" w:hAnsi="Arial"/>
          <w:sz w:val="28"/>
          <w:szCs w:val="28"/>
          <w:b w:val="1"/>
          <w:bCs w:val="1"/>
          <w:color w:val="auto"/>
        </w:rPr>
        <w:t>SECURITIES AND EXCHANGE COMMISSION</w:t>
      </w:r>
    </w:p>
    <w:p>
      <w:pPr>
        <w:jc w:val="center"/>
        <w:ind w:right="-179"/>
        <w:spacing w:after="0"/>
        <w:rPr>
          <w:sz w:val="20"/>
          <w:szCs w:val="20"/>
          <w:color w:val="auto"/>
        </w:rPr>
      </w:pPr>
      <w:r>
        <w:rPr>
          <w:rFonts w:ascii="Arial" w:cs="Arial" w:eastAsia="Arial" w:hAnsi="Arial"/>
          <w:sz w:val="21"/>
          <w:szCs w:val="21"/>
          <w:b w:val="1"/>
          <w:bCs w:val="1"/>
          <w:color w:val="auto"/>
        </w:rPr>
        <w:t>Washington, D.C. 20549</w:t>
      </w:r>
    </w:p>
    <w:p>
      <w:pPr>
        <w:spacing w:after="0" w:line="8"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85" w:lineRule="exact"/>
        <w:rPr>
          <w:sz w:val="24"/>
          <w:szCs w:val="24"/>
          <w:color w:val="auto"/>
        </w:rPr>
      </w:pPr>
    </w:p>
    <w:p>
      <w:pPr>
        <w:jc w:val="center"/>
        <w:ind w:right="-179"/>
        <w:spacing w:after="0"/>
        <w:rPr>
          <w:sz w:val="20"/>
          <w:szCs w:val="20"/>
          <w:color w:val="auto"/>
        </w:rPr>
      </w:pPr>
      <w:r>
        <w:rPr>
          <w:rFonts w:ascii="Arial" w:cs="Arial" w:eastAsia="Arial" w:hAnsi="Arial"/>
          <w:sz w:val="28"/>
          <w:szCs w:val="28"/>
          <w:b w:val="1"/>
          <w:bCs w:val="1"/>
          <w:color w:val="auto"/>
        </w:rPr>
        <w:t>FORM 8-K</w:t>
      </w:r>
    </w:p>
    <w:p>
      <w:pPr>
        <w:spacing w:after="0" w:line="79"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9" w:lineRule="exact"/>
        <w:rPr>
          <w:sz w:val="24"/>
          <w:szCs w:val="24"/>
          <w:color w:val="auto"/>
        </w:rPr>
      </w:pPr>
    </w:p>
    <w:p>
      <w:pPr>
        <w:ind w:left="4640"/>
        <w:spacing w:after="0"/>
        <w:rPr>
          <w:sz w:val="20"/>
          <w:szCs w:val="20"/>
          <w:color w:val="auto"/>
        </w:rPr>
      </w:pPr>
      <w:r>
        <w:rPr>
          <w:rFonts w:ascii="Arial" w:cs="Arial" w:eastAsia="Arial" w:hAnsi="Arial"/>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Arial" w:cs="Arial" w:eastAsia="Arial" w:hAnsi="Arial"/>
          <w:sz w:val="21"/>
          <w:szCs w:val="21"/>
          <w:b w:val="1"/>
          <w:bCs w:val="1"/>
          <w:color w:val="auto"/>
        </w:rPr>
        <w:t>Pursuant to Section 13 or 15(d) of the</w:t>
      </w:r>
    </w:p>
    <w:p>
      <w:pPr>
        <w:spacing w:after="0" w:line="61" w:lineRule="exact"/>
        <w:rPr>
          <w:sz w:val="24"/>
          <w:szCs w:val="24"/>
          <w:color w:val="auto"/>
        </w:rPr>
      </w:pPr>
    </w:p>
    <w:p>
      <w:pPr>
        <w:jc w:val="center"/>
        <w:ind w:right="-179"/>
        <w:spacing w:after="0"/>
        <w:rPr>
          <w:sz w:val="20"/>
          <w:szCs w:val="20"/>
          <w:color w:val="auto"/>
        </w:rPr>
      </w:pPr>
      <w:r>
        <w:rPr>
          <w:rFonts w:ascii="Arial" w:cs="Arial" w:eastAsia="Arial" w:hAnsi="Arial"/>
          <w:sz w:val="21"/>
          <w:szCs w:val="21"/>
          <w:b w:val="1"/>
          <w:bCs w:val="1"/>
          <w:color w:val="auto"/>
        </w:rPr>
        <w:t>Securities Exchange Act of 1934</w:t>
      </w:r>
    </w:p>
    <w:p>
      <w:pPr>
        <w:spacing w:after="0" w:line="297" w:lineRule="exact"/>
        <w:rPr>
          <w:sz w:val="24"/>
          <w:szCs w:val="24"/>
          <w:color w:val="auto"/>
        </w:rPr>
      </w:pPr>
    </w:p>
    <w:p>
      <w:pPr>
        <w:jc w:val="center"/>
        <w:ind w:right="-179"/>
        <w:spacing w:after="0"/>
        <w:rPr>
          <w:sz w:val="20"/>
          <w:szCs w:val="20"/>
          <w:color w:val="auto"/>
        </w:rPr>
      </w:pPr>
      <w:r>
        <w:rPr>
          <w:rFonts w:ascii="Arial" w:cs="Arial" w:eastAsia="Arial" w:hAnsi="Arial"/>
          <w:sz w:val="21"/>
          <w:szCs w:val="21"/>
          <w:b w:val="1"/>
          <w:bCs w:val="1"/>
          <w:color w:val="auto"/>
        </w:rPr>
        <w:t>Date of Report: May 26, 2022</w:t>
      </w:r>
    </w:p>
    <w:p>
      <w:pPr>
        <w:spacing w:after="0" w:line="61" w:lineRule="exact"/>
        <w:rPr>
          <w:sz w:val="24"/>
          <w:szCs w:val="24"/>
          <w:color w:val="auto"/>
        </w:rPr>
      </w:pPr>
    </w:p>
    <w:p>
      <w:pPr>
        <w:jc w:val="center"/>
        <w:ind w:right="-179"/>
        <w:spacing w:after="0"/>
        <w:rPr>
          <w:sz w:val="20"/>
          <w:szCs w:val="20"/>
          <w:color w:val="auto"/>
        </w:rPr>
      </w:pPr>
      <w:r>
        <w:rPr>
          <w:rFonts w:ascii="Arial" w:cs="Arial" w:eastAsia="Arial" w:hAnsi="Arial"/>
          <w:sz w:val="21"/>
          <w:szCs w:val="21"/>
          <w:b w:val="1"/>
          <w:bCs w:val="1"/>
          <w:color w:val="auto"/>
        </w:rPr>
        <w:t>(Date of earliest event reported)</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2490470</wp:posOffset>
            </wp:positionH>
            <wp:positionV relativeFrom="paragraph">
              <wp:posOffset>18415</wp:posOffset>
            </wp:positionV>
            <wp:extent cx="2169795"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69795"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MARVELL TECHNOLOGY, INC.</w:t>
      </w:r>
    </w:p>
    <w:p>
      <w:pPr>
        <w:spacing w:after="0" w:line="75" w:lineRule="exact"/>
        <w:rPr>
          <w:sz w:val="24"/>
          <w:szCs w:val="24"/>
          <w:color w:val="auto"/>
        </w:rPr>
      </w:pPr>
    </w:p>
    <w:tbl>
      <w:tblPr>
        <w:tblLayout w:type="fixed"/>
        <w:tblInd w:w="700" w:type="dxa"/>
        <w:tblCellMar>
          <w:top w:w="0" w:type="dxa"/>
          <w:left w:w="0" w:type="dxa"/>
          <w:bottom w:w="0" w:type="dxa"/>
          <w:right w:w="0" w:type="dxa"/>
        </w:tblCellMar>
      </w:tblPr>
      <w:tr>
        <w:trPr>
          <w:trHeight w:val="228"/>
        </w:trPr>
        <w:tc>
          <w:tcPr>
            <w:tcW w:w="2380" w:type="dxa"/>
            <w:vAlign w:val="bottom"/>
          </w:tcPr>
          <w:p>
            <w:pPr>
              <w:spacing w:after="0"/>
              <w:rPr>
                <w:sz w:val="19"/>
                <w:szCs w:val="19"/>
                <w:color w:val="auto"/>
              </w:rPr>
            </w:pPr>
          </w:p>
        </w:tc>
        <w:tc>
          <w:tcPr>
            <w:tcW w:w="6060" w:type="dxa"/>
            <w:vAlign w:val="bottom"/>
            <w:gridSpan w:val="2"/>
          </w:tcPr>
          <w:p>
            <w:pPr>
              <w:jc w:val="center"/>
              <w:ind w:right="901"/>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r>
      <w:tr>
        <w:trPr>
          <w:trHeight w:val="250"/>
        </w:trPr>
        <w:tc>
          <w:tcPr>
            <w:tcW w:w="2380" w:type="dxa"/>
            <w:vAlign w:val="bottom"/>
          </w:tcPr>
          <w:p>
            <w:pPr>
              <w:spacing w:after="0"/>
              <w:rPr>
                <w:sz w:val="21"/>
                <w:szCs w:val="21"/>
                <w:color w:val="auto"/>
              </w:rPr>
            </w:pPr>
          </w:p>
        </w:tc>
        <w:tc>
          <w:tcPr>
            <w:tcW w:w="3840" w:type="dxa"/>
            <w:vAlign w:val="bottom"/>
          </w:tcPr>
          <w:p>
            <w:pPr>
              <w:jc w:val="right"/>
              <w:ind w:right="97"/>
              <w:spacing w:after="0"/>
              <w:rPr>
                <w:sz w:val="20"/>
                <w:szCs w:val="20"/>
                <w:color w:val="auto"/>
              </w:rPr>
            </w:pPr>
            <w:r>
              <w:rPr>
                <w:rFonts w:ascii="Arial" w:cs="Arial" w:eastAsia="Arial" w:hAnsi="Arial"/>
                <w:sz w:val="18"/>
                <w:szCs w:val="18"/>
                <w:color w:val="auto"/>
              </w:rPr>
              <w:t>_________________________</w:t>
            </w:r>
          </w:p>
        </w:tc>
        <w:tc>
          <w:tcPr>
            <w:tcW w:w="2220" w:type="dxa"/>
            <w:vAlign w:val="bottom"/>
          </w:tcPr>
          <w:p>
            <w:pPr>
              <w:spacing w:after="0"/>
              <w:rPr>
                <w:sz w:val="21"/>
                <w:szCs w:val="21"/>
                <w:color w:val="auto"/>
              </w:rPr>
            </w:pPr>
          </w:p>
        </w:tc>
      </w:tr>
      <w:tr>
        <w:trPr>
          <w:trHeight w:val="263"/>
        </w:trPr>
        <w:tc>
          <w:tcPr>
            <w:tcW w:w="2380" w:type="dxa"/>
            <w:vAlign w:val="bottom"/>
          </w:tcPr>
          <w:p>
            <w:pPr>
              <w:jc w:val="center"/>
              <w:ind w:right="541"/>
              <w:spacing w:after="0"/>
              <w:rPr>
                <w:sz w:val="20"/>
                <w:szCs w:val="20"/>
                <w:color w:val="auto"/>
              </w:rPr>
            </w:pPr>
            <w:r>
              <w:rPr>
                <w:rFonts w:ascii="Arial" w:cs="Arial" w:eastAsia="Arial" w:hAnsi="Arial"/>
                <w:sz w:val="18"/>
                <w:szCs w:val="18"/>
                <w:b w:val="1"/>
                <w:bCs w:val="1"/>
                <w:color w:val="auto"/>
                <w:w w:val="91"/>
              </w:rPr>
              <w:t>Delaware</w:t>
            </w:r>
          </w:p>
        </w:tc>
        <w:tc>
          <w:tcPr>
            <w:tcW w:w="3840" w:type="dxa"/>
            <w:vAlign w:val="bottom"/>
          </w:tcPr>
          <w:p>
            <w:pPr>
              <w:jc w:val="right"/>
              <w:ind w:right="1617"/>
              <w:spacing w:after="0"/>
              <w:rPr>
                <w:sz w:val="20"/>
                <w:szCs w:val="20"/>
                <w:color w:val="auto"/>
              </w:rPr>
            </w:pPr>
            <w:r>
              <w:rPr>
                <w:rFonts w:ascii="Arial" w:cs="Arial" w:eastAsia="Arial" w:hAnsi="Arial"/>
                <w:sz w:val="18"/>
                <w:szCs w:val="18"/>
                <w:b w:val="1"/>
                <w:bCs w:val="1"/>
                <w:color w:val="auto"/>
              </w:rPr>
              <w:t>001-40357</w:t>
            </w:r>
          </w:p>
        </w:tc>
        <w:tc>
          <w:tcPr>
            <w:tcW w:w="2220" w:type="dxa"/>
            <w:vAlign w:val="bottom"/>
          </w:tcPr>
          <w:p>
            <w:pPr>
              <w:jc w:val="right"/>
              <w:ind w:right="521"/>
              <w:spacing w:after="0"/>
              <w:rPr>
                <w:sz w:val="20"/>
                <w:szCs w:val="20"/>
                <w:color w:val="auto"/>
              </w:rPr>
            </w:pPr>
            <w:r>
              <w:rPr>
                <w:rFonts w:ascii="Arial" w:cs="Arial" w:eastAsia="Arial" w:hAnsi="Arial"/>
                <w:sz w:val="18"/>
                <w:szCs w:val="18"/>
                <w:b w:val="1"/>
                <w:bCs w:val="1"/>
                <w:color w:val="auto"/>
              </w:rPr>
              <w:t>85-3971597</w:t>
            </w:r>
          </w:p>
        </w:tc>
      </w:tr>
      <w:tr>
        <w:trPr>
          <w:trHeight w:val="204"/>
        </w:trPr>
        <w:tc>
          <w:tcPr>
            <w:tcW w:w="2380" w:type="dxa"/>
            <w:vAlign w:val="bottom"/>
          </w:tcPr>
          <w:p>
            <w:pPr>
              <w:jc w:val="center"/>
              <w:ind w:right="541"/>
              <w:spacing w:after="0"/>
              <w:rPr>
                <w:sz w:val="20"/>
                <w:szCs w:val="20"/>
                <w:color w:val="auto"/>
              </w:rPr>
            </w:pPr>
            <w:r>
              <w:rPr>
                <w:rFonts w:ascii="Arial" w:cs="Arial" w:eastAsia="Arial" w:hAnsi="Arial"/>
                <w:sz w:val="14"/>
                <w:szCs w:val="14"/>
                <w:b w:val="1"/>
                <w:bCs w:val="1"/>
                <w:color w:val="auto"/>
                <w:w w:val="91"/>
              </w:rPr>
              <w:t>(State or other jurisdiction of</w:t>
            </w:r>
          </w:p>
        </w:tc>
        <w:tc>
          <w:tcPr>
            <w:tcW w:w="3840" w:type="dxa"/>
            <w:vAlign w:val="bottom"/>
          </w:tcPr>
          <w:p>
            <w:pPr>
              <w:jc w:val="center"/>
              <w:ind w:right="217"/>
              <w:spacing w:after="0"/>
              <w:rPr>
                <w:sz w:val="20"/>
                <w:szCs w:val="20"/>
                <w:color w:val="auto"/>
              </w:rPr>
            </w:pPr>
            <w:r>
              <w:rPr>
                <w:rFonts w:ascii="Arial" w:cs="Arial" w:eastAsia="Arial" w:hAnsi="Arial"/>
                <w:sz w:val="14"/>
                <w:szCs w:val="14"/>
                <w:b w:val="1"/>
                <w:bCs w:val="1"/>
                <w:color w:val="auto"/>
                <w:w w:val="90"/>
              </w:rPr>
              <w:t>(Commission File Number)</w:t>
            </w:r>
          </w:p>
        </w:tc>
        <w:tc>
          <w:tcPr>
            <w:tcW w:w="2220" w:type="dxa"/>
            <w:vAlign w:val="bottom"/>
          </w:tcPr>
          <w:p>
            <w:pPr>
              <w:jc w:val="center"/>
              <w:ind w:left="101"/>
              <w:spacing w:after="0"/>
              <w:rPr>
                <w:sz w:val="20"/>
                <w:szCs w:val="20"/>
                <w:color w:val="auto"/>
              </w:rPr>
            </w:pPr>
            <w:r>
              <w:rPr>
                <w:rFonts w:ascii="Arial" w:cs="Arial" w:eastAsia="Arial" w:hAnsi="Arial"/>
                <w:sz w:val="14"/>
                <w:szCs w:val="14"/>
                <w:b w:val="1"/>
                <w:bCs w:val="1"/>
                <w:color w:val="auto"/>
                <w:w w:val="93"/>
              </w:rPr>
              <w:t>(IRS Employer Identification No.)</w:t>
            </w:r>
          </w:p>
        </w:tc>
      </w:tr>
    </w:tbl>
    <w:p>
      <w:pPr>
        <w:ind w:left="1140"/>
        <w:spacing w:after="0"/>
        <w:rPr>
          <w:sz w:val="20"/>
          <w:szCs w:val="20"/>
          <w:color w:val="auto"/>
        </w:rPr>
      </w:pPr>
      <w:r>
        <w:rPr>
          <w:rFonts w:ascii="Arial" w:cs="Arial" w:eastAsia="Arial" w:hAnsi="Arial"/>
          <w:sz w:val="14"/>
          <w:szCs w:val="14"/>
          <w:b w:val="1"/>
          <w:bCs w:val="1"/>
          <w:color w:val="auto"/>
        </w:rPr>
        <w:t>incorporation)</w:t>
      </w:r>
    </w:p>
    <w:p>
      <w:pPr>
        <w:spacing w:after="0" w:line="235"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1000 N. West Street, Suite 1200</w:t>
      </w:r>
    </w:p>
    <w:p>
      <w:pPr>
        <w:spacing w:after="0" w:line="21"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Wilmington, Delaware 19801</w:t>
      </w:r>
    </w:p>
    <w:p>
      <w:pPr>
        <w:spacing w:after="0" w:line="8"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93"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(302) 295-4840</w:t>
      </w:r>
    </w:p>
    <w:p>
      <w:pPr>
        <w:spacing w:after="0" w:line="39" w:lineRule="exact"/>
        <w:rPr>
          <w:sz w:val="24"/>
          <w:szCs w:val="24"/>
          <w:color w:val="auto"/>
        </w:rPr>
      </w:pPr>
    </w:p>
    <w:p>
      <w:pPr>
        <w:jc w:val="center"/>
        <w:ind w:right="-1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46"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6" w:lineRule="exact"/>
        <w:rPr>
          <w:sz w:val="24"/>
          <w:szCs w:val="24"/>
          <w:color w:val="auto"/>
        </w:rPr>
      </w:pPr>
    </w:p>
    <w:p>
      <w:pPr>
        <w:ind w:right="60"/>
        <w:spacing w:after="0" w:line="250"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9"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61"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7"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42"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1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3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Trading</w:t>
            </w:r>
          </w:p>
        </w:tc>
        <w:tc>
          <w:tcPr>
            <w:tcW w:w="3140" w:type="dxa"/>
            <w:vAlign w:val="bottom"/>
          </w:tcPr>
          <w:p>
            <w:pPr>
              <w:jc w:val="center"/>
              <w:spacing w:after="0"/>
              <w:rPr>
                <w:sz w:val="20"/>
                <w:szCs w:val="20"/>
                <w:color w:val="auto"/>
              </w:rPr>
            </w:pPr>
            <w:r>
              <w:rPr>
                <w:rFonts w:ascii="Arial" w:cs="Arial" w:eastAsia="Arial" w:hAnsi="Arial"/>
                <w:sz w:val="14"/>
                <w:szCs w:val="14"/>
                <w:b w:val="1"/>
                <w:bCs w:val="1"/>
                <w:color w:val="auto"/>
                <w:w w:val="87"/>
              </w:rPr>
              <w:t>Name of each exchange</w:t>
            </w:r>
          </w:p>
        </w:tc>
      </w:tr>
      <w:tr>
        <w:trPr>
          <w:trHeight w:val="214"/>
        </w:trPr>
        <w:tc>
          <w:tcPr>
            <w:tcW w:w="33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6"/>
              </w:rPr>
              <w:t>Title of each class</w:t>
            </w:r>
          </w:p>
        </w:tc>
        <w:tc>
          <w:tcPr>
            <w:tcW w:w="33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Symbol(s)</w:t>
            </w:r>
          </w:p>
        </w:tc>
        <w:tc>
          <w:tcPr>
            <w:tcW w:w="3140" w:type="dxa"/>
            <w:vAlign w:val="bottom"/>
          </w:tcPr>
          <w:p>
            <w:pPr>
              <w:jc w:val="center"/>
              <w:spacing w:after="0"/>
              <w:rPr>
                <w:sz w:val="20"/>
                <w:szCs w:val="20"/>
                <w:color w:val="auto"/>
              </w:rPr>
            </w:pPr>
            <w:r>
              <w:rPr>
                <w:rFonts w:ascii="Arial" w:cs="Arial" w:eastAsia="Arial" w:hAnsi="Arial"/>
                <w:sz w:val="14"/>
                <w:szCs w:val="14"/>
                <w:b w:val="1"/>
                <w:bCs w:val="1"/>
                <w:color w:val="auto"/>
                <w:w w:val="87"/>
              </w:rPr>
              <w:t>on which registered</w:t>
            </w:r>
          </w:p>
        </w:tc>
      </w:tr>
      <w:tr>
        <w:trPr>
          <w:trHeight w:val="227"/>
        </w:trPr>
        <w:tc>
          <w:tcPr>
            <w:tcW w:w="31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7"/>
              </w:rPr>
              <w:t>Common Stock</w:t>
            </w:r>
          </w:p>
        </w:tc>
        <w:tc>
          <w:tcPr>
            <w:tcW w:w="140" w:type="dxa"/>
            <w:vAlign w:val="bottom"/>
          </w:tcPr>
          <w:p>
            <w:pPr>
              <w:spacing w:after="0"/>
              <w:rPr>
                <w:sz w:val="19"/>
                <w:szCs w:val="19"/>
                <w:color w:val="auto"/>
              </w:rPr>
            </w:pPr>
          </w:p>
        </w:tc>
        <w:tc>
          <w:tcPr>
            <w:tcW w:w="31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19"/>
                <w:szCs w:val="19"/>
                <w:color w:val="auto"/>
              </w:rPr>
            </w:pPr>
          </w:p>
        </w:tc>
        <w:tc>
          <w:tcPr>
            <w:tcW w:w="31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The Nasdaq Global Select Market</w:t>
            </w:r>
          </w:p>
        </w:tc>
      </w:tr>
    </w:tbl>
    <w:p>
      <w:pPr>
        <w:spacing w:after="0" w:line="220" w:lineRule="exact"/>
        <w:rPr>
          <w:sz w:val="24"/>
          <w:szCs w:val="24"/>
          <w:color w:val="auto"/>
        </w:rPr>
      </w:pPr>
    </w:p>
    <w:p>
      <w:pPr>
        <w:spacing w:after="0"/>
        <w:rPr>
          <w:sz w:val="20"/>
          <w:szCs w:val="20"/>
          <w:color w:val="auto"/>
        </w:rPr>
      </w:pPr>
      <w:r>
        <w:rPr>
          <w:rFonts w:ascii="Arial" w:cs="Arial" w:eastAsia="Arial" w:hAnsi="Arial"/>
          <w:sz w:val="15"/>
          <w:szCs w:val="15"/>
          <w:color w:val="auto"/>
        </w:rPr>
        <w:t>Indicate by check mark whether the registrant is an emerging growth company as defined in Rule 405 of the Securities Act of 1933 (§230.405 of this chapter)</w:t>
      </w:r>
    </w:p>
    <w:p>
      <w:pPr>
        <w:spacing w:after="0" w:line="50"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97" w:lineRule="exact"/>
        <w:rPr>
          <w:sz w:val="24"/>
          <w:szCs w:val="24"/>
          <w:color w:val="auto"/>
        </w:rPr>
      </w:pPr>
    </w:p>
    <w:p>
      <w:pPr>
        <w:ind w:right="100"/>
        <w:spacing w:after="0" w:line="226"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476250</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113030</wp:posOffset>
            </wp:positionV>
            <wp:extent cx="67684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80010</wp:posOffset>
            </wp:positionV>
            <wp:extent cx="67684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768465" cy="8255"/>
                    </a:xfrm>
                    <a:prstGeom prst="rect">
                      <a:avLst/>
                    </a:prstGeom>
                    <a:noFill/>
                  </pic:spPr>
                </pic:pic>
              </a:graphicData>
            </a:graphic>
          </wp:anchor>
        </w:drawing>
      </w:r>
    </w:p>
    <w:p>
      <w:pPr>
        <w:sectPr>
          <w:pgSz w:w="11900" w:h="16838" w:orient="portrait"/>
          <w:cols w:equalWidth="0" w:num="1">
            <w:col w:w="11060"/>
          </w:cols>
          <w:pgMar w:left="320" w:top="778" w:right="51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46" w:lineRule="exact"/>
        <w:rPr>
          <w:sz w:val="20"/>
          <w:szCs w:val="20"/>
          <w:color w:val="auto"/>
        </w:rPr>
      </w:pPr>
    </w:p>
    <w:p>
      <w:pPr>
        <w:ind w:right="60" w:firstLine="631"/>
        <w:spacing w:after="0" w:line="290"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62" w:lineRule="exact"/>
        <w:rPr>
          <w:sz w:val="20"/>
          <w:szCs w:val="20"/>
          <w:color w:val="auto"/>
        </w:rPr>
      </w:pPr>
    </w:p>
    <w:p>
      <w:pPr>
        <w:ind w:right="140" w:firstLine="631"/>
        <w:spacing w:after="0" w:line="261" w:lineRule="auto"/>
        <w:rPr>
          <w:sz w:val="20"/>
          <w:szCs w:val="20"/>
          <w:color w:val="auto"/>
        </w:rPr>
      </w:pPr>
      <w:r>
        <w:rPr>
          <w:rFonts w:ascii="Arial" w:cs="Arial" w:eastAsia="Arial" w:hAnsi="Arial"/>
          <w:sz w:val="18"/>
          <w:szCs w:val="18"/>
          <w:color w:val="auto"/>
        </w:rPr>
        <w:t>On May 26, 2022, Marvell Technology, Inc. (“Marvell”) issued a press release reporting its financial results for the first quarter of fiscal 2023 ended April 30, 2022. A copy of the press release is furnished herewith as Exhibit 99.1.</w:t>
      </w:r>
    </w:p>
    <w:p>
      <w:pPr>
        <w:spacing w:after="0" w:line="207" w:lineRule="exact"/>
        <w:rPr>
          <w:sz w:val="20"/>
          <w:szCs w:val="20"/>
          <w:color w:val="auto"/>
        </w:rPr>
      </w:pPr>
    </w:p>
    <w:p>
      <w:pPr>
        <w:ind w:firstLine="631"/>
        <w:spacing w:after="0" w:line="249" w:lineRule="auto"/>
        <w:rPr>
          <w:sz w:val="20"/>
          <w:szCs w:val="20"/>
          <w:color w:val="auto"/>
        </w:rPr>
      </w:pPr>
      <w:r>
        <w:rPr>
          <w:rFonts w:ascii="Arial" w:cs="Arial" w:eastAsia="Arial" w:hAnsi="Arial"/>
          <w:sz w:val="18"/>
          <w:szCs w:val="18"/>
          <w:color w:val="auto"/>
        </w:rPr>
        <w:t xml:space="preserve">Marvell will conduct a conference call on Thursday, May 26, 2022 at 1:45 p.m. Pacific Time to discuss results for the first quarter of fiscal 2023. Interested parties may join the conference call by dialing 1-888-317-6003 or 1-412-317-6061, passcode </w:t>
      </w:r>
      <w:r>
        <w:rPr>
          <w:rFonts w:ascii="Arial" w:cs="Arial" w:eastAsia="Arial" w:hAnsi="Arial"/>
          <w:sz w:val="18"/>
          <w:szCs w:val="18"/>
          <w:b w:val="1"/>
          <w:bCs w:val="1"/>
          <w:color w:val="auto"/>
        </w:rPr>
        <w:t>0732684</w:t>
      </w:r>
      <w:r>
        <w:rPr>
          <w:rFonts w:ascii="Arial" w:cs="Arial" w:eastAsia="Arial" w:hAnsi="Arial"/>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Arial" w:cs="Arial" w:eastAsia="Arial" w:hAnsi="Arial"/>
          <w:sz w:val="18"/>
          <w:szCs w:val="18"/>
          <w:b w:val="1"/>
          <w:bCs w:val="1"/>
          <w:color w:val="auto"/>
        </w:rPr>
        <w:t>1605605</w:t>
      </w:r>
      <w:r>
        <w:rPr>
          <w:rFonts w:ascii="Arial" w:cs="Arial" w:eastAsia="Arial" w:hAnsi="Arial"/>
          <w:sz w:val="18"/>
          <w:szCs w:val="18"/>
          <w:color w:val="auto"/>
        </w:rPr>
        <w:t xml:space="preserve"> until Thursday, June 2, 2022.</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0" w:lineRule="exact"/>
        <w:rPr>
          <w:sz w:val="20"/>
          <w:szCs w:val="20"/>
          <w:color w:val="auto"/>
        </w:rPr>
      </w:pPr>
    </w:p>
    <w:p>
      <w:pPr>
        <w:ind w:left="640"/>
        <w:spacing w:after="0"/>
        <w:tabs>
          <w:tab w:leader="none" w:pos="100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14" w:lineRule="exact"/>
        <w:rPr>
          <w:sz w:val="20"/>
          <w:szCs w:val="20"/>
          <w:color w:val="auto"/>
        </w:rPr>
      </w:pPr>
    </w:p>
    <w:p>
      <w:pPr>
        <w:ind w:left="1260"/>
        <w:spacing w:after="0"/>
        <w:tabs>
          <w:tab w:leader="none" w:pos="1720" w:val="left"/>
        </w:tabs>
        <w:rPr>
          <w:rFonts w:ascii="Arial" w:cs="Arial" w:eastAsia="Arial" w:hAnsi="Arial"/>
          <w:sz w:val="15"/>
          <w:szCs w:val="15"/>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FF"/>
          </w:rPr>
          <w:t>Press Release dated May 26, 2022, titled “Marvell Technology, Inc. Reports First Quarter of Fiscal Year 2023 Financial Results”</w:t>
        </w:r>
      </w:hyperlink>
    </w:p>
    <w:p>
      <w:pPr>
        <w:spacing w:after="0" w:line="15" w:lineRule="exact"/>
        <w:rPr>
          <w:sz w:val="20"/>
          <w:szCs w:val="20"/>
          <w:color w:val="auto"/>
        </w:rPr>
      </w:pPr>
    </w:p>
    <w:p>
      <w:pPr>
        <w:ind w:left="1260"/>
        <w:spacing w:after="0"/>
        <w:tabs>
          <w:tab w:leader="none" w:pos="16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207010</wp:posOffset>
            </wp:positionV>
            <wp:extent cx="716153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160"/>
          </w:cols>
          <w:pgMar w:left="320" w:top="371" w:right="419" w:bottom="1440" w:gutter="0" w:footer="0" w:header="0"/>
        </w:sectPr>
      </w:pPr>
    </w:p>
    <w:bookmarkStart w:id="2" w:name="page3"/>
    <w:bookmarkEnd w:id="2"/>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46"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20" w:lineRule="exact"/>
        <w:rPr>
          <w:sz w:val="20"/>
          <w:szCs w:val="20"/>
          <w:color w:val="auto"/>
        </w:rPr>
      </w:pPr>
    </w:p>
    <w:p>
      <w:pPr>
        <w:ind w:left="7000"/>
        <w:spacing w:after="0"/>
        <w:rPr>
          <w:sz w:val="20"/>
          <w:szCs w:val="20"/>
          <w:color w:val="auto"/>
        </w:rPr>
      </w:pPr>
      <w:r>
        <w:rPr>
          <w:rFonts w:ascii="Arial" w:cs="Arial" w:eastAsia="Arial" w:hAnsi="Arial"/>
          <w:sz w:val="18"/>
          <w:szCs w:val="18"/>
          <w:color w:val="auto"/>
        </w:rPr>
        <w:t>MARVELL TECHNOLOGY, INC.</w:t>
      </w:r>
    </w:p>
    <w:p>
      <w:pPr>
        <w:spacing w:after="0" w:line="279" w:lineRule="exact"/>
        <w:rPr>
          <w:sz w:val="20"/>
          <w:szCs w:val="20"/>
          <w:color w:val="auto"/>
        </w:rPr>
      </w:pPr>
    </w:p>
    <w:p>
      <w:pPr>
        <w:ind w:left="1760"/>
        <w:spacing w:after="0"/>
        <w:tabs>
          <w:tab w:leader="none" w:pos="6980" w:val="left"/>
          <w:tab w:leader="none" w:pos="7900" w:val="left"/>
        </w:tabs>
        <w:rPr>
          <w:sz w:val="20"/>
          <w:szCs w:val="20"/>
          <w:color w:val="auto"/>
        </w:rPr>
      </w:pPr>
      <w:r>
        <w:rPr>
          <w:rFonts w:ascii="Arial" w:cs="Arial" w:eastAsia="Arial" w:hAnsi="Arial"/>
          <w:sz w:val="18"/>
          <w:szCs w:val="18"/>
          <w:color w:val="auto"/>
        </w:rPr>
        <w:t>Date: May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4627245</wp:posOffset>
            </wp:positionH>
            <wp:positionV relativeFrom="paragraph">
              <wp:posOffset>10160</wp:posOffset>
            </wp:positionV>
            <wp:extent cx="22199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19960" cy="8255"/>
                    </a:xfrm>
                    <a:prstGeom prst="rect">
                      <a:avLst/>
                    </a:prstGeom>
                    <a:noFill/>
                  </pic:spPr>
                </pic:pic>
              </a:graphicData>
            </a:graphic>
          </wp:anchor>
        </w:drawing>
      </w:r>
    </w:p>
    <w:p>
      <w:pPr>
        <w:spacing w:after="0" w:line="4" w:lineRule="exact"/>
        <w:rPr>
          <w:sz w:val="20"/>
          <w:szCs w:val="20"/>
          <w:color w:val="auto"/>
        </w:rPr>
      </w:pPr>
    </w:p>
    <w:p>
      <w:pPr>
        <w:ind w:left="7920"/>
        <w:spacing w:after="0"/>
        <w:rPr>
          <w:sz w:val="20"/>
          <w:szCs w:val="20"/>
          <w:color w:val="auto"/>
        </w:rPr>
      </w:pPr>
      <w:r>
        <w:rPr>
          <w:rFonts w:ascii="Arial" w:cs="Arial" w:eastAsia="Arial" w:hAnsi="Arial"/>
          <w:sz w:val="18"/>
          <w:szCs w:val="18"/>
          <w:b w:val="1"/>
          <w:bCs w:val="1"/>
          <w:color w:val="auto"/>
        </w:rPr>
        <w:t>Jean Hu</w:t>
      </w:r>
    </w:p>
    <w:p>
      <w:pPr>
        <w:spacing w:after="0" w:line="22" w:lineRule="exact"/>
        <w:rPr>
          <w:sz w:val="20"/>
          <w:szCs w:val="20"/>
          <w:color w:val="auto"/>
        </w:rPr>
      </w:pPr>
    </w:p>
    <w:p>
      <w:pPr>
        <w:ind w:left="79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80"/>
          </w:cols>
          <w:pgMar w:left="320" w:top="989"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5678805</wp:posOffset>
            </wp:positionH>
            <wp:positionV relativeFrom="paragraph">
              <wp:posOffset>172085</wp:posOffset>
            </wp:positionV>
            <wp:extent cx="1460500" cy="442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6050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First Quarter of Fiscal Year 2023</w:t>
      </w:r>
    </w:p>
    <w:p>
      <w:pPr>
        <w:spacing w:after="0" w:line="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08" w:lineRule="exact"/>
        <w:rPr>
          <w:sz w:val="20"/>
          <w:szCs w:val="20"/>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Net Revenue: $1.447 billion, grew by 74% year-on-year</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Gross Margin: 51.9% GAAP gross margin; 65.5% non-GAAP gross margin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Q1 Diluted income (loss) per share: $(0.20) GAAP diluted loss per share; $0.52 non-GAAP diluted income per share</w:t>
      </w:r>
    </w:p>
    <w:p>
      <w:pPr>
        <w:spacing w:after="0" w:line="222" w:lineRule="exact"/>
        <w:rPr>
          <w:sz w:val="20"/>
          <w:szCs w:val="20"/>
          <w:color w:val="auto"/>
        </w:rPr>
      </w:pPr>
    </w:p>
    <w:p>
      <w:pPr>
        <w:ind w:right="620"/>
        <w:spacing w:after="0" w:line="253" w:lineRule="auto"/>
        <w:rPr>
          <w:sz w:val="20"/>
          <w:szCs w:val="20"/>
          <w:color w:val="auto"/>
        </w:rPr>
      </w:pPr>
      <w:r>
        <w:rPr>
          <w:rFonts w:ascii="Arial" w:cs="Arial" w:eastAsia="Arial" w:hAnsi="Arial"/>
          <w:sz w:val="18"/>
          <w:szCs w:val="18"/>
          <w:b w:val="1"/>
          <w:bCs w:val="1"/>
          <w:color w:val="auto"/>
        </w:rPr>
        <w:t xml:space="preserve">Santa Clara, Calif. (May 26, 2022) </w:t>
      </w:r>
      <w:r>
        <w:rPr>
          <w:rFonts w:ascii="Arial" w:cs="Arial" w:eastAsia="Arial" w:hAnsi="Arial"/>
          <w:sz w:val="18"/>
          <w:szCs w:val="18"/>
          <w:color w:val="auto"/>
        </w:rPr>
        <w:t>- Marvell Technology, Inc. (NASDAQ: MRVL), a leader in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year 2023.</w:t>
      </w:r>
    </w:p>
    <w:p>
      <w:pPr>
        <w:spacing w:after="0" w:line="200" w:lineRule="exact"/>
        <w:rPr>
          <w:sz w:val="20"/>
          <w:szCs w:val="20"/>
          <w:color w:val="auto"/>
        </w:rPr>
      </w:pPr>
    </w:p>
    <w:p>
      <w:pPr>
        <w:jc w:val="both"/>
        <w:ind w:right="40"/>
        <w:spacing w:after="0" w:line="238" w:lineRule="auto"/>
        <w:rPr>
          <w:sz w:val="20"/>
          <w:szCs w:val="20"/>
          <w:color w:val="auto"/>
        </w:rPr>
      </w:pPr>
      <w:r>
        <w:rPr>
          <w:rFonts w:ascii="Arial" w:cs="Arial" w:eastAsia="Arial" w:hAnsi="Arial"/>
          <w:sz w:val="18"/>
          <w:szCs w:val="18"/>
          <w:color w:val="auto"/>
        </w:rPr>
        <w:t>Net revenue for the first quarter of fiscal 2023 was $1.447 billion, which exceeded the midpoint of the Company’s guidance provided on March 3, 2022. GAAP net loss for the first quarter of fiscal 2023 was $(166) million, or $(0.20) per diluted share. Non-GAAP net income for the first quarter of fiscal 2023 was $448 million, or $0.52 per diluted share. Cash flow from operations for the first quarter was $194.8 million.</w:t>
      </w:r>
    </w:p>
    <w:p>
      <w:pPr>
        <w:spacing w:after="0" w:line="208" w:lineRule="exact"/>
        <w:rPr>
          <w:sz w:val="20"/>
          <w:szCs w:val="20"/>
          <w:color w:val="auto"/>
        </w:rPr>
      </w:pPr>
    </w:p>
    <w:p>
      <w:pPr>
        <w:ind w:right="100"/>
        <w:spacing w:after="0" w:line="219" w:lineRule="auto"/>
        <w:rPr>
          <w:sz w:val="20"/>
          <w:szCs w:val="20"/>
          <w:color w:val="auto"/>
        </w:rPr>
      </w:pPr>
      <w:r>
        <w:rPr>
          <w:rFonts w:ascii="Arial" w:cs="Arial" w:eastAsia="Arial" w:hAnsi="Arial"/>
          <w:sz w:val="18"/>
          <w:szCs w:val="18"/>
          <w:color w:val="auto"/>
        </w:rPr>
        <w:t>“We had a strong start to fiscal 2023, delivering record first quarter revenue of $1.45 billion</w:t>
      </w:r>
      <w:r>
        <w:rPr>
          <w:rFonts w:ascii="Arial" w:cs="Arial" w:eastAsia="Arial" w:hAnsi="Arial"/>
          <w:sz w:val="19"/>
          <w:szCs w:val="19"/>
          <w:color w:val="auto"/>
        </w:rPr>
        <w:t>,</w:t>
      </w:r>
      <w:r>
        <w:rPr>
          <w:rFonts w:ascii="Arial" w:cs="Arial" w:eastAsia="Arial" w:hAnsi="Arial"/>
          <w:sz w:val="18"/>
          <w:szCs w:val="18"/>
          <w:color w:val="auto"/>
        </w:rPr>
        <w:t xml:space="preserve"> which grew 8 percent sequentially and 74 percent year over year. Revenue exceeded the midpoint of guidance, driven by higher-than-forecasted results from the datacenter end market. Our new product ramps and growth in content have been instrumental in driving strong revenue growth,” said Matt Murphy, Marvell’s President and CEO. “We are guiding for growth to continue in the second quarter, projecting revenue at the midpoint to grow 5 percent sequentially and 41 percent year over year. With 88 percent of our overall revenue derived from data infrastructure, we are confident that our unique secular growth drivers in cloud, 5G, and auto, will continue to help drive sustainable long-term growth.”</w:t>
      </w: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2023 Financial Outlook</w:t>
      </w:r>
    </w:p>
    <w:p>
      <w:pPr>
        <w:spacing w:after="0" w:line="114" w:lineRule="exact"/>
        <w:rPr>
          <w:sz w:val="20"/>
          <w:szCs w:val="20"/>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 revenue is expected to be $1.515 billion +/- 3%.</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49.6% to 51.9%.</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65.0% to 65.5%.</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approximately $669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$435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Basic weighted average shares outstanding are expected to be 853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Diluted weighted average shares outstanding are expected to be 862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income per share is expected to be $0.06 +/- $0.04 per share.</w:t>
      </w: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$0.56 +/- $0.03 per share.</w:t>
      </w:r>
    </w:p>
    <w:p>
      <w:pPr>
        <w:spacing w:after="0" w:line="213"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71"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33" w:lineRule="exact"/>
        <w:rPr>
          <w:sz w:val="20"/>
          <w:szCs w:val="20"/>
          <w:color w:val="auto"/>
        </w:rPr>
      </w:pPr>
    </w:p>
    <w:p>
      <w:pPr>
        <w:spacing w:after="0" w:line="235" w:lineRule="auto"/>
        <w:rPr>
          <w:sz w:val="20"/>
          <w:szCs w:val="20"/>
          <w:color w:val="auto"/>
        </w:rPr>
      </w:pPr>
      <w:r>
        <w:rPr>
          <w:rFonts w:ascii="Arial" w:cs="Arial" w:eastAsia="Arial" w:hAnsi="Arial"/>
          <w:sz w:val="18"/>
          <w:szCs w:val="18"/>
          <w:color w:val="auto"/>
        </w:rPr>
        <w:t>Marvell will conduct a conference call on Thursday, May 26, 2022 at 1:45 p.m. Pacific Time to discuss results for the first quarter of fiscal 2023. Interested parties may join the conference call by dialing 1-888-317-6003 or 1-412-317-6061, passcode 0732684. The call will be webcast and can be accessed at the Marvell Investor Relations website at http://investor.marvell.com/. A replay of the call can be accessed by dialing 1-877-344-7529 or 1-412-317-0088, passcode 1605605 until Thursday, June 2, 2022.</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188" w:lineRule="exact"/>
        <w:rPr>
          <w:sz w:val="20"/>
          <w:szCs w:val="20"/>
          <w:color w:val="auto"/>
        </w:rPr>
      </w:pPr>
    </w:p>
    <w:p>
      <w:pPr>
        <w:ind w:right="20"/>
        <w:spacing w:after="0" w:line="265" w:lineRule="auto"/>
        <w:rPr>
          <w:sz w:val="20"/>
          <w:szCs w:val="20"/>
          <w:color w:val="auto"/>
        </w:rPr>
      </w:pPr>
      <w:r>
        <w:rPr>
          <w:rFonts w:ascii="Arial" w:cs="Arial" w:eastAsia="Arial" w:hAnsi="Arial"/>
          <w:sz w:val="16"/>
          <w:szCs w:val="16"/>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first quarter of fiscal 2023, a non-GAAP tax rate of 6.0% has been applied to the non-GAAP financial results.</w:t>
      </w:r>
    </w:p>
    <w:p>
      <w:pPr>
        <w:spacing w:after="0" w:line="195" w:lineRule="exact"/>
        <w:rPr>
          <w:sz w:val="20"/>
          <w:szCs w:val="20"/>
          <w:color w:val="auto"/>
        </w:rPr>
      </w:pPr>
    </w:p>
    <w:p>
      <w:pPr>
        <w:ind w:right="160"/>
        <w:spacing w:after="0" w:line="267"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91" w:lineRule="exact"/>
        <w:rPr>
          <w:sz w:val="20"/>
          <w:szCs w:val="20"/>
          <w:color w:val="auto"/>
        </w:rPr>
      </w:pPr>
    </w:p>
    <w:p>
      <w:pPr>
        <w:ind w:right="900"/>
        <w:spacing w:after="0" w:line="306"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62" w:lineRule="exact"/>
        <w:rPr>
          <w:sz w:val="20"/>
          <w:szCs w:val="20"/>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ind w:left="640" w:right="120" w:hanging="319"/>
        <w:spacing w:after="0" w:line="234" w:lineRule="auto"/>
        <w:tabs>
          <w:tab w:leader="none" w:pos="636"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5" w:lineRule="exact"/>
        <w:rPr>
          <w:sz w:val="20"/>
          <w:szCs w:val="20"/>
          <w:color w:val="auto"/>
        </w:rPr>
      </w:pPr>
    </w:p>
    <w:p>
      <w:pPr>
        <w:ind w:right="120"/>
        <w:spacing w:after="0" w:line="282"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2"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67" w:lineRule="exact"/>
        <w:rPr>
          <w:sz w:val="20"/>
          <w:szCs w:val="20"/>
          <w:color w:val="auto"/>
        </w:rPr>
      </w:pPr>
    </w:p>
    <w:p>
      <w:pPr>
        <w:spacing w:after="0" w:line="241"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our ability to retain and hire key personnel; risks related to the rapid growth of the Company; risks related to changes in general economic conditions such as economic slowdowns, recessions, inflation, and stagflation; risks related to the impact of the COVID-19 pandemic which have impacted, and may continue to impact our business and operations, the transportation and manufacturing of our products, and the operations of our customers, distributors, vendors, suppliers, and partners; the impact of COVID-19, or other future pandemics, on the U.S. and global economies; disruptions caused by COVID-19, including as a result of restrictions that may be imposed by us or third parties, resulting in worker absenteeism, turnover, quarantines and restrictions on our employees' ability to work, innovate, collaborate, and travel; the effects that the current credit and market conditions caused by, or resulting from, COVID-19 could have on the liquidity and financial condition of us and our customers and suppliers, including any impact on the ability to meet contractual obligations;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and testing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secure design wins from our customers and prospective customers; our ability to market our 5G products to Tier 1 infrastructure customers; our ability to complete and realize the anticipated benefits of any acquisitions, divestitures and investments; cancellations, rescheduling or deferrals of significant customer orders or shipments, as well as the ability of our customers to manage inventory; our ability to estimate customer demand and future sales accurately;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the risk of downturns in the semiconductor industry;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our ability to accurately categorize our products by end markets; our ability to scale our operations in response to changes in demand for existing or new products and services; risks associated with acquisition and consolidation activity in the semiconductor industry;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20"/>
          </w:cols>
          <w:pgMar w:left="320" w:top="437" w:right="3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2" w:right="3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Inc.</w:t>
      </w: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70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r>
      <w:tr>
        <w:trPr>
          <w:trHeight w:val="130"/>
        </w:trPr>
        <w:tc>
          <w:tcPr>
            <w:tcW w:w="70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0" w:type="dxa"/>
            <w:vAlign w:val="bottom"/>
            <w:gridSpan w:val="2"/>
          </w:tcPr>
          <w:p>
            <w:pPr>
              <w:ind w:left="140"/>
              <w:spacing w:after="0" w:line="130" w:lineRule="exact"/>
              <w:rPr>
                <w:sz w:val="20"/>
                <w:szCs w:val="20"/>
                <w:color w:val="auto"/>
              </w:rPr>
            </w:pPr>
            <w:r>
              <w:rPr>
                <w:rFonts w:ascii="Arial" w:cs="Arial" w:eastAsia="Arial" w:hAnsi="Arial"/>
                <w:sz w:val="14"/>
                <w:szCs w:val="14"/>
                <w:b w:val="1"/>
                <w:bCs w:val="1"/>
                <w:color w:val="auto"/>
              </w:rPr>
              <w:t>April 30,</w:t>
            </w:r>
          </w:p>
        </w:tc>
        <w:tc>
          <w:tcPr>
            <w:tcW w:w="220" w:type="dxa"/>
            <w:vAlign w:val="bottom"/>
          </w:tcPr>
          <w:p>
            <w:pPr>
              <w:spacing w:after="0"/>
              <w:rPr>
                <w:sz w:val="11"/>
                <w:szCs w:val="11"/>
                <w:color w:val="auto"/>
              </w:rPr>
            </w:pPr>
          </w:p>
        </w:tc>
        <w:tc>
          <w:tcPr>
            <w:tcW w:w="124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January 29,</w:t>
            </w:r>
          </w:p>
        </w:tc>
        <w:tc>
          <w:tcPr>
            <w:tcW w:w="280" w:type="dxa"/>
            <w:vAlign w:val="bottom"/>
          </w:tcPr>
          <w:p>
            <w:pPr>
              <w:spacing w:after="0"/>
              <w:rPr>
                <w:sz w:val="11"/>
                <w:szCs w:val="11"/>
                <w:color w:val="auto"/>
              </w:rPr>
            </w:pPr>
          </w:p>
        </w:tc>
        <w:tc>
          <w:tcPr>
            <w:tcW w:w="1040" w:type="dxa"/>
            <w:vAlign w:val="bottom"/>
          </w:tcPr>
          <w:p>
            <w:pPr>
              <w:jc w:val="right"/>
              <w:ind w:right="354"/>
              <w:spacing w:after="0" w:line="130" w:lineRule="exact"/>
              <w:rPr>
                <w:sz w:val="20"/>
                <w:szCs w:val="20"/>
                <w:color w:val="auto"/>
              </w:rPr>
            </w:pPr>
            <w:r>
              <w:rPr>
                <w:rFonts w:ascii="Arial" w:cs="Arial" w:eastAsia="Arial" w:hAnsi="Arial"/>
                <w:sz w:val="14"/>
                <w:szCs w:val="14"/>
                <w:b w:val="1"/>
                <w:bCs w:val="1"/>
                <w:color w:val="auto"/>
              </w:rPr>
              <w:t>May 1,</w:t>
            </w:r>
          </w:p>
        </w:tc>
      </w:tr>
      <w:tr>
        <w:trPr>
          <w:trHeight w:val="183"/>
        </w:trPr>
        <w:tc>
          <w:tcPr>
            <w:tcW w:w="702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r>
      <w:tr>
        <w:trPr>
          <w:trHeight w:val="217"/>
        </w:trPr>
        <w:tc>
          <w:tcPr>
            <w:tcW w:w="7020" w:type="dxa"/>
            <w:vAlign w:val="bottom"/>
            <w:shd w:val="clear" w:color="auto" w:fill="CCEEFF"/>
          </w:tcPr>
          <w:p>
            <w:pPr>
              <w:ind w:left="20"/>
              <w:spacing w:after="0" w:line="203" w:lineRule="exact"/>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1,446.9</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1,343.0</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832.3</w:t>
            </w:r>
          </w:p>
        </w:tc>
      </w:tr>
      <w:tr>
        <w:trPr>
          <w:trHeight w:val="223"/>
        </w:trPr>
        <w:tc>
          <w:tcPr>
            <w:tcW w:w="70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696.0</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656.6</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414.1</w:t>
            </w:r>
          </w:p>
        </w:tc>
      </w:tr>
      <w:tr>
        <w:trPr>
          <w:trHeight w:val="217"/>
        </w:trPr>
        <w:tc>
          <w:tcPr>
            <w:tcW w:w="7020" w:type="dxa"/>
            <w:vAlign w:val="bottom"/>
            <w:shd w:val="clear" w:color="auto" w:fill="CCEEFF"/>
          </w:tcPr>
          <w:p>
            <w:pPr>
              <w:ind w:left="20"/>
              <w:spacing w:after="0" w:line="203" w:lineRule="exact"/>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750.9</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686.4</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418.2</w:t>
            </w:r>
          </w:p>
        </w:tc>
      </w:tr>
      <w:tr>
        <w:trPr>
          <w:trHeight w:val="243"/>
        </w:trPr>
        <w:tc>
          <w:tcPr>
            <w:tcW w:w="70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23"/>
        </w:trPr>
        <w:tc>
          <w:tcPr>
            <w:tcW w:w="70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23"/>
        </w:trPr>
        <w:tc>
          <w:tcPr>
            <w:tcW w:w="7020" w:type="dxa"/>
            <w:vAlign w:val="bottom"/>
          </w:tcPr>
          <w:p>
            <w:pPr>
              <w:ind w:left="66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444.1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399.2</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286.1</w:t>
            </w: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251.2</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201.5</w:t>
            </w:r>
          </w:p>
        </w:tc>
      </w:tr>
      <w:tr>
        <w:trPr>
          <w:trHeight w:val="223"/>
        </w:trPr>
        <w:tc>
          <w:tcPr>
            <w:tcW w:w="70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w:t>
            </w:r>
          </w:p>
        </w:tc>
      </w:tr>
      <w:tr>
        <w:trPr>
          <w:trHeight w:val="217"/>
        </w:trPr>
        <w:tc>
          <w:tcPr>
            <w:tcW w:w="7020" w:type="dxa"/>
            <w:vAlign w:val="bottom"/>
            <w:shd w:val="clear" w:color="auto" w:fill="CCEEFF"/>
          </w:tcPr>
          <w:p>
            <w:pPr>
              <w:ind w:left="1080"/>
              <w:spacing w:after="0" w:line="203" w:lineRule="exact"/>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681.1</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651.7</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500.5</w:t>
            </w:r>
          </w:p>
        </w:tc>
      </w:tr>
      <w:tr>
        <w:trPr>
          <w:trHeight w:val="216"/>
        </w:trPr>
        <w:tc>
          <w:tcPr>
            <w:tcW w:w="7020" w:type="dxa"/>
            <w:vAlign w:val="bottom"/>
          </w:tcPr>
          <w:p>
            <w:pPr>
              <w:ind w:left="60"/>
              <w:spacing w:after="0"/>
              <w:rPr>
                <w:sz w:val="20"/>
                <w:szCs w:val="20"/>
                <w:color w:val="auto"/>
              </w:rPr>
            </w:pPr>
            <w:r>
              <w:rPr>
                <w:rFonts w:ascii="Arial" w:cs="Arial" w:eastAsia="Arial" w:hAnsi="Arial"/>
                <w:sz w:val="18"/>
                <w:szCs w:val="18"/>
                <w:color w:val="auto"/>
              </w:rPr>
              <w:t>Operating income (loss)</w:t>
            </w:r>
          </w:p>
        </w:tc>
        <w:tc>
          <w:tcPr>
            <w:tcW w:w="24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69.8</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34.7</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(82.3)</w:t>
            </w: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23"/>
        </w:trPr>
        <w:tc>
          <w:tcPr>
            <w:tcW w:w="7020" w:type="dxa"/>
            <w:vAlign w:val="bottom"/>
          </w:tcPr>
          <w:p>
            <w:pPr>
              <w:ind w:left="66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(36.3)</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(35.0)</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(35.1)</w:t>
            </w: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7020" w:type="dxa"/>
            <w:vAlign w:val="bottom"/>
            <w:tcBorders>
              <w:bottom w:val="single" w:sz="8" w:color="CCEEFF"/>
            </w:tcBorders>
          </w:tcPr>
          <w:p>
            <w:pPr>
              <w:ind w:left="1080"/>
              <w:spacing w:after="0" w:line="203" w:lineRule="exact"/>
              <w:rPr>
                <w:sz w:val="20"/>
                <w:szCs w:val="20"/>
                <w:color w:val="auto"/>
              </w:rPr>
            </w:pPr>
            <w:r>
              <w:rPr>
                <w:rFonts w:ascii="Arial" w:cs="Arial" w:eastAsia="Arial" w:hAnsi="Arial"/>
                <w:sz w:val="18"/>
                <w:szCs w:val="18"/>
                <w:color w:val="auto"/>
              </w:rPr>
              <w:t>Interest and other income (loss), net</w:t>
            </w:r>
          </w:p>
        </w:tc>
        <w:tc>
          <w:tcPr>
            <w:tcW w:w="24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(30.6)</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w:t>
            </w:r>
          </w:p>
        </w:tc>
        <w:tc>
          <w:tcPr>
            <w:tcW w:w="14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(33.7)</w:t>
            </w:r>
          </w:p>
        </w:tc>
      </w:tr>
      <w:tr>
        <w:trPr>
          <w:trHeight w:val="217"/>
        </w:trPr>
        <w:tc>
          <w:tcPr>
            <w:tcW w:w="7020" w:type="dxa"/>
            <w:vAlign w:val="bottom"/>
            <w:shd w:val="clear" w:color="auto" w:fill="CCEEFF"/>
          </w:tcPr>
          <w:p>
            <w:pPr>
              <w:ind w:left="60"/>
              <w:spacing w:after="0"/>
              <w:rPr>
                <w:sz w:val="20"/>
                <w:szCs w:val="20"/>
                <w:color w:val="auto"/>
              </w:rPr>
            </w:pPr>
            <w:r>
              <w:rPr>
                <w:rFonts w:ascii="Arial" w:cs="Arial" w:eastAsia="Arial" w:hAnsi="Arial"/>
                <w:sz w:val="18"/>
                <w:szCs w:val="18"/>
                <w:color w:val="auto"/>
              </w:rPr>
              <w:t>Income (loss) before income taxes</w:t>
            </w:r>
          </w:p>
        </w:tc>
        <w:tc>
          <w:tcPr>
            <w:tcW w:w="24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w:t>
            </w:r>
          </w:p>
        </w:tc>
      </w:tr>
      <w:tr>
        <w:trPr>
          <w:trHeight w:val="223"/>
        </w:trPr>
        <w:tc>
          <w:tcPr>
            <w:tcW w:w="702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204.9</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(27.8)</w:t>
            </w:r>
          </w:p>
        </w:tc>
      </w:tr>
      <w:tr>
        <w:trPr>
          <w:trHeight w:val="216"/>
        </w:trPr>
        <w:tc>
          <w:tcPr>
            <w:tcW w:w="7020" w:type="dxa"/>
            <w:vAlign w:val="bottom"/>
            <w:tcBorders>
              <w:bottom w:val="single" w:sz="8" w:color="CCEEFF"/>
            </w:tcBorders>
            <w:shd w:val="clear" w:color="auto" w:fill="CCEEFF"/>
          </w:tcPr>
          <w:p>
            <w:pPr>
              <w:ind w:left="60"/>
              <w:spacing w:after="0" w:line="190" w:lineRule="exact"/>
              <w:rPr>
                <w:sz w:val="20"/>
                <w:szCs w:val="20"/>
                <w:color w:val="auto"/>
              </w:rPr>
            </w:pPr>
            <w:r>
              <w:rPr>
                <w:rFonts w:ascii="Arial" w:cs="Arial" w:eastAsia="Arial" w:hAnsi="Arial"/>
                <w:sz w:val="18"/>
                <w:szCs w:val="18"/>
                <w:color w:val="auto"/>
              </w:rPr>
              <w:t>Net income (loss)</w:t>
            </w:r>
          </w:p>
        </w:tc>
        <w:tc>
          <w:tcPr>
            <w:tcW w:w="240" w:type="dxa"/>
            <w:vAlign w:val="bottom"/>
            <w:tcBorders>
              <w:bottom w:val="single" w:sz="8" w:color="auto"/>
            </w:tcBorders>
            <w:shd w:val="clear" w:color="auto" w:fill="CCEEFF"/>
          </w:tcPr>
          <w:p>
            <w:pPr>
              <w:jc w:val="right"/>
              <w:ind w:right="52"/>
              <w:spacing w:after="0" w:line="190"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(165.7)</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ind w:left="20"/>
              <w:spacing w:after="0" w:line="190" w:lineRule="exact"/>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6.2</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72"/>
              <w:spacing w:after="0" w:line="190" w:lineRule="exact"/>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(88.2)</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r>
      <w:tr>
        <w:trPr>
          <w:trHeight w:val="222"/>
        </w:trPr>
        <w:tc>
          <w:tcPr>
            <w:tcW w:w="702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auto"/>
            </w:tcBorders>
            <w:shd w:val="clear" w:color="auto" w:fill="CCEEFF"/>
          </w:tcPr>
          <w:p>
            <w:pPr>
              <w:jc w:val="right"/>
              <w:ind w:right="52"/>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(0.20)</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0.01</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72"/>
              <w:spacing w:after="0" w:line="197" w:lineRule="exact"/>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(0.13)</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r>
      <w:tr>
        <w:trPr>
          <w:trHeight w:val="222"/>
        </w:trPr>
        <w:tc>
          <w:tcPr>
            <w:tcW w:w="702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income (loss) per share — diluted:</w:t>
            </w:r>
          </w:p>
        </w:tc>
        <w:tc>
          <w:tcPr>
            <w:tcW w:w="240" w:type="dxa"/>
            <w:vAlign w:val="bottom"/>
            <w:tcBorders>
              <w:bottom w:val="single" w:sz="8" w:color="auto"/>
            </w:tcBorders>
            <w:shd w:val="clear" w:color="auto" w:fill="CCEEFF"/>
          </w:tcPr>
          <w:p>
            <w:pPr>
              <w:jc w:val="right"/>
              <w:ind w:right="52"/>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(0.20)</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0.01</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72"/>
              <w:spacing w:after="0" w:line="197" w:lineRule="exact"/>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(0.13)</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r>
      <w:tr>
        <w:trPr>
          <w:trHeight w:val="223"/>
        </w:trPr>
        <w:tc>
          <w:tcPr>
            <w:tcW w:w="7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Weighted average shares:</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23"/>
        </w:trPr>
        <w:tc>
          <w:tcPr>
            <w:tcW w:w="7020" w:type="dxa"/>
            <w:vAlign w:val="bottom"/>
          </w:tcPr>
          <w:p>
            <w:pPr>
              <w:ind w:left="6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848.0</w:t>
            </w:r>
          </w:p>
        </w:tc>
        <w:tc>
          <w:tcPr>
            <w:tcW w:w="14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844.4</w:t>
            </w:r>
          </w:p>
        </w:tc>
        <w:tc>
          <w:tcPr>
            <w:tcW w:w="14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693.4</w:t>
            </w:r>
          </w:p>
        </w:tc>
      </w:tr>
      <w:tr>
        <w:trPr>
          <w:trHeight w:val="20"/>
        </w:trPr>
        <w:tc>
          <w:tcPr>
            <w:tcW w:w="70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241"/>
        </w:trPr>
        <w:tc>
          <w:tcPr>
            <w:tcW w:w="7020" w:type="dxa"/>
            <w:vAlign w:val="bottom"/>
            <w:tcBorders>
              <w:bottom w:val="single" w:sz="8" w:color="CCEEFF"/>
            </w:tcBorders>
            <w:shd w:val="clear" w:color="auto" w:fill="CCEEFF"/>
          </w:tcPr>
          <w:p>
            <w:pPr>
              <w:ind w:left="660"/>
              <w:spacing w:after="0" w:line="202" w:lineRule="exact"/>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shd w:val="clear" w:color="auto" w:fill="CCEEFF"/>
          </w:tcPr>
          <w:p>
            <w:pPr>
              <w:spacing w:after="0"/>
              <w:rPr>
                <w:sz w:val="20"/>
                <w:szCs w:val="20"/>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848.0</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862.1</w:t>
            </w:r>
          </w:p>
        </w:tc>
        <w:tc>
          <w:tcPr>
            <w:tcW w:w="14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spacing w:after="0"/>
              <w:rPr>
                <w:sz w:val="20"/>
                <w:szCs w:val="20"/>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693.4</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752"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jc w:val="center"/>
        <w:ind w:right="20"/>
        <w:spacing w:after="0"/>
        <w:rPr>
          <w:sz w:val="20"/>
          <w:szCs w:val="20"/>
          <w:color w:val="auto"/>
        </w:rPr>
      </w:pPr>
      <w:r>
        <w:rPr>
          <w:rFonts w:ascii="Arial" w:cs="Arial" w:eastAsia="Arial" w:hAnsi="Arial"/>
          <w:sz w:val="18"/>
          <w:szCs w:val="18"/>
          <w:b w:val="1"/>
          <w:bCs w:val="1"/>
          <w:color w:val="auto"/>
        </w:rPr>
        <w:t>(In millions)</w:t>
      </w:r>
    </w:p>
    <w:tbl>
      <w:tblPr>
        <w:tblLayout w:type="fixed"/>
        <w:tblInd w:w="0" w:type="dxa"/>
        <w:tblCellMar>
          <w:top w:w="0" w:type="dxa"/>
          <w:left w:w="0" w:type="dxa"/>
          <w:bottom w:w="0" w:type="dxa"/>
          <w:right w:w="0" w:type="dxa"/>
        </w:tblCellMar>
      </w:tblPr>
      <w:tr>
        <w:trPr>
          <w:trHeight w:val="146"/>
        </w:trPr>
        <w:tc>
          <w:tcPr>
            <w:tcW w:w="7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500" w:type="dxa"/>
            <w:vAlign w:val="bottom"/>
            <w:gridSpan w:val="2"/>
          </w:tcPr>
          <w:p>
            <w:pPr>
              <w:ind w:left="220"/>
              <w:spacing w:after="0" w:line="147" w:lineRule="exact"/>
              <w:rPr>
                <w:sz w:val="20"/>
                <w:szCs w:val="20"/>
                <w:color w:val="auto"/>
              </w:rPr>
            </w:pPr>
            <w:r>
              <w:rPr>
                <w:rFonts w:ascii="Arial" w:cs="Arial" w:eastAsia="Arial" w:hAnsi="Arial"/>
                <w:sz w:val="14"/>
                <w:szCs w:val="14"/>
                <w:b w:val="1"/>
                <w:bCs w:val="1"/>
                <w:color w:val="auto"/>
              </w:rPr>
              <w:t>April 30,</w:t>
            </w:r>
          </w:p>
        </w:tc>
        <w:tc>
          <w:tcPr>
            <w:tcW w:w="280" w:type="dxa"/>
            <w:vAlign w:val="bottom"/>
          </w:tcPr>
          <w:p>
            <w:pPr>
              <w:spacing w:after="0"/>
              <w:rPr>
                <w:sz w:val="12"/>
                <w:szCs w:val="12"/>
                <w:color w:val="auto"/>
              </w:rPr>
            </w:pPr>
          </w:p>
        </w:tc>
        <w:tc>
          <w:tcPr>
            <w:tcW w:w="1320" w:type="dxa"/>
            <w:vAlign w:val="bottom"/>
          </w:tcPr>
          <w:p>
            <w:pPr>
              <w:jc w:val="right"/>
              <w:ind w:right="354"/>
              <w:spacing w:after="0" w:line="147" w:lineRule="exact"/>
              <w:rPr>
                <w:sz w:val="20"/>
                <w:szCs w:val="20"/>
                <w:color w:val="auto"/>
              </w:rPr>
            </w:pPr>
            <w:r>
              <w:rPr>
                <w:rFonts w:ascii="Arial" w:cs="Arial" w:eastAsia="Arial" w:hAnsi="Arial"/>
                <w:sz w:val="14"/>
                <w:szCs w:val="14"/>
                <w:b w:val="1"/>
                <w:bCs w:val="1"/>
                <w:color w:val="auto"/>
              </w:rPr>
              <w:t>January 29,</w:t>
            </w:r>
          </w:p>
        </w:tc>
      </w:tr>
      <w:tr>
        <w:trPr>
          <w:trHeight w:val="183"/>
        </w:trPr>
        <w:tc>
          <w:tcPr>
            <w:tcW w:w="776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28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2022</w:t>
            </w:r>
          </w:p>
        </w:tc>
        <w:tc>
          <w:tcPr>
            <w:tcW w:w="22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2022</w:t>
            </w:r>
          </w:p>
        </w:tc>
      </w:tr>
      <w:tr>
        <w:trPr>
          <w:trHeight w:val="204"/>
        </w:trPr>
        <w:tc>
          <w:tcPr>
            <w:tcW w:w="7760" w:type="dxa"/>
            <w:vAlign w:val="bottom"/>
            <w:shd w:val="clear" w:color="auto" w:fill="CCEEFF"/>
          </w:tcPr>
          <w:p>
            <w:pPr>
              <w:ind w:left="200"/>
              <w:spacing w:after="0" w:line="204" w:lineRule="exact"/>
              <w:rPr>
                <w:sz w:val="20"/>
                <w:szCs w:val="20"/>
                <w:color w:val="auto"/>
              </w:rPr>
            </w:pPr>
            <w:r>
              <w:rPr>
                <w:rFonts w:ascii="Arial" w:cs="Arial" w:eastAsia="Arial" w:hAnsi="Arial"/>
                <w:sz w:val="18"/>
                <w:szCs w:val="18"/>
                <w:b w:val="1"/>
                <w:bCs w:val="1"/>
                <w:color w:val="auto"/>
              </w:rPr>
              <w:t>Assets</w:t>
            </w:r>
          </w:p>
        </w:tc>
        <w:tc>
          <w:tcPr>
            <w:tcW w:w="320" w:type="dxa"/>
            <w:vAlign w:val="bottom"/>
            <w:shd w:val="clear" w:color="auto" w:fill="CCEEFF"/>
          </w:tcPr>
          <w:p>
            <w:pPr>
              <w:spacing w:after="0"/>
              <w:rPr>
                <w:sz w:val="17"/>
                <w:szCs w:val="17"/>
                <w:color w:val="auto"/>
              </w:rPr>
            </w:pPr>
          </w:p>
        </w:tc>
        <w:tc>
          <w:tcPr>
            <w:tcW w:w="1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Cash and cash equivalents</w:t>
            </w:r>
          </w:p>
        </w:tc>
        <w:tc>
          <w:tcPr>
            <w:tcW w:w="3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465.0</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Accounts receivable,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1,191.1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835.5</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107.3</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assets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2,598.9</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502.2</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11,539.0</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5,888.1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331.8</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3"/>
        </w:trPr>
        <w:tc>
          <w:tcPr>
            <w:tcW w:w="7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1,178.7</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22,038.7</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23"/>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Stockholders’ Equity</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553.1</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Accrued liabilities</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735.0</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191.9</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Short-term debt</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74.1</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liabilities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1,554.1</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Long-term debt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4,465.3</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554.3</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liabilities</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6,573.7</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43"/>
        </w:trPr>
        <w:tc>
          <w:tcPr>
            <w:tcW w:w="776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Stockholders’ equity:</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Common stock</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Additional paid-in capital</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14,188.5</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14,209.0</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Retained earnings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1,274.8</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stockholders’ equity</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15,702.1</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liabilities and stockholders’ equity</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w w:val="79"/>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22,038.7</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52"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80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873"/>
              <w:spacing w:after="0"/>
              <w:rPr>
                <w:sz w:val="20"/>
                <w:szCs w:val="20"/>
                <w:color w:val="auto"/>
              </w:rPr>
            </w:pPr>
            <w:r>
              <w:rPr>
                <w:rFonts w:ascii="Arial" w:cs="Arial" w:eastAsia="Arial" w:hAnsi="Arial"/>
                <w:sz w:val="14"/>
                <w:szCs w:val="14"/>
                <w:b w:val="1"/>
                <w:bCs w:val="1"/>
                <w:color w:val="auto"/>
              </w:rPr>
              <w:t>Three Months Ended</w:t>
            </w:r>
          </w:p>
        </w:tc>
      </w:tr>
      <w:tr>
        <w:trPr>
          <w:trHeight w:val="130"/>
        </w:trPr>
        <w:tc>
          <w:tcPr>
            <w:tcW w:w="80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360" w:type="dxa"/>
            <w:vAlign w:val="bottom"/>
            <w:gridSpan w:val="2"/>
          </w:tcPr>
          <w:p>
            <w:pPr>
              <w:ind w:left="180"/>
              <w:spacing w:after="0" w:line="130" w:lineRule="exact"/>
              <w:rPr>
                <w:sz w:val="20"/>
                <w:szCs w:val="20"/>
                <w:color w:val="auto"/>
              </w:rPr>
            </w:pPr>
            <w:r>
              <w:rPr>
                <w:rFonts w:ascii="Arial" w:cs="Arial" w:eastAsia="Arial" w:hAnsi="Arial"/>
                <w:sz w:val="14"/>
                <w:szCs w:val="14"/>
                <w:b w:val="1"/>
                <w:bCs w:val="1"/>
                <w:color w:val="auto"/>
              </w:rPr>
              <w:t>April 30,</w:t>
            </w:r>
          </w:p>
        </w:tc>
        <w:tc>
          <w:tcPr>
            <w:tcW w:w="320" w:type="dxa"/>
            <w:vAlign w:val="bottom"/>
          </w:tcPr>
          <w:p>
            <w:pPr>
              <w:spacing w:after="0"/>
              <w:rPr>
                <w:sz w:val="11"/>
                <w:szCs w:val="11"/>
                <w:color w:val="auto"/>
              </w:rPr>
            </w:pPr>
          </w:p>
        </w:tc>
        <w:tc>
          <w:tcPr>
            <w:tcW w:w="1200" w:type="dxa"/>
            <w:vAlign w:val="bottom"/>
          </w:tcPr>
          <w:p>
            <w:pPr>
              <w:jc w:val="right"/>
              <w:ind w:right="473"/>
              <w:spacing w:after="0" w:line="130" w:lineRule="exact"/>
              <w:rPr>
                <w:sz w:val="20"/>
                <w:szCs w:val="20"/>
                <w:color w:val="auto"/>
              </w:rPr>
            </w:pPr>
            <w:r>
              <w:rPr>
                <w:rFonts w:ascii="Arial" w:cs="Arial" w:eastAsia="Arial" w:hAnsi="Arial"/>
                <w:sz w:val="14"/>
                <w:szCs w:val="14"/>
                <w:b w:val="1"/>
                <w:bCs w:val="1"/>
                <w:color w:val="auto"/>
              </w:rPr>
              <w:t>May 1,</w:t>
            </w:r>
          </w:p>
        </w:tc>
      </w:tr>
      <w:tr>
        <w:trPr>
          <w:trHeight w:val="183"/>
        </w:trPr>
        <w:tc>
          <w:tcPr>
            <w:tcW w:w="804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2021</w:t>
            </w:r>
          </w:p>
        </w:tc>
      </w:tr>
      <w:tr>
        <w:trPr>
          <w:trHeight w:val="204"/>
        </w:trPr>
        <w:tc>
          <w:tcPr>
            <w:tcW w:w="804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CCEEFF"/>
          </w:tcPr>
          <w:p>
            <w:pPr>
              <w:spacing w:after="0"/>
              <w:rPr>
                <w:sz w:val="17"/>
                <w:szCs w:val="17"/>
                <w:color w:val="auto"/>
              </w:rPr>
            </w:pPr>
          </w:p>
        </w:tc>
        <w:tc>
          <w:tcPr>
            <w:tcW w:w="12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0" w:type="dxa"/>
            <w:vAlign w:val="bottom"/>
            <w:shd w:val="clear" w:color="auto" w:fill="CCEEFF"/>
          </w:tcPr>
          <w:p>
            <w:pPr>
              <w:spacing w:after="0"/>
              <w:rPr>
                <w:sz w:val="17"/>
                <w:szCs w:val="17"/>
                <w:color w:val="auto"/>
              </w:rPr>
            </w:pPr>
          </w:p>
        </w:tc>
      </w:tr>
      <w:tr>
        <w:trPr>
          <w:trHeight w:val="223"/>
        </w:trPr>
        <w:tc>
          <w:tcPr>
            <w:tcW w:w="8040" w:type="dxa"/>
            <w:vAlign w:val="bottom"/>
          </w:tcPr>
          <w:p>
            <w:pPr>
              <w:ind w:left="220"/>
              <w:spacing w:after="0"/>
              <w:rPr>
                <w:sz w:val="20"/>
                <w:szCs w:val="20"/>
                <w:color w:val="auto"/>
              </w:rPr>
            </w:pPr>
            <w:r>
              <w:rPr>
                <w:rFonts w:ascii="Arial" w:cs="Arial" w:eastAsia="Arial" w:hAnsi="Arial"/>
                <w:sz w:val="18"/>
                <w:szCs w:val="18"/>
                <w:color w:val="auto"/>
              </w:rPr>
              <w:t>Net loss</w:t>
            </w:r>
          </w:p>
        </w:tc>
        <w:tc>
          <w:tcPr>
            <w:tcW w:w="320" w:type="dxa"/>
            <w:vAlign w:val="bottom"/>
          </w:tcPr>
          <w:p>
            <w:pPr>
              <w:jc w:val="right"/>
              <w:ind w:right="112"/>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(165.7)</w:t>
            </w:r>
          </w:p>
        </w:tc>
        <w:tc>
          <w:tcPr>
            <w:tcW w:w="140" w:type="dxa"/>
            <w:vAlign w:val="bottom"/>
          </w:tcPr>
          <w:p>
            <w:pPr>
              <w:spacing w:after="0"/>
              <w:rPr>
                <w:sz w:val="19"/>
                <w:szCs w:val="19"/>
                <w:color w:val="auto"/>
              </w:rPr>
            </w:pPr>
          </w:p>
        </w:tc>
        <w:tc>
          <w:tcPr>
            <w:tcW w:w="320" w:type="dxa"/>
            <w:vAlign w:val="bottom"/>
          </w:tcPr>
          <w:p>
            <w:pPr>
              <w:jc w:val="right"/>
              <w:ind w:right="132"/>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(88.2)</w:t>
            </w:r>
          </w:p>
        </w:tc>
      </w:tr>
      <w:tr>
        <w:trPr>
          <w:trHeight w:val="172"/>
        </w:trPr>
        <w:tc>
          <w:tcPr>
            <w:tcW w:w="8040" w:type="dxa"/>
            <w:vAlign w:val="bottom"/>
            <w:shd w:val="clear" w:color="auto" w:fill="CCEEFF"/>
          </w:tcPr>
          <w:p>
            <w:pPr>
              <w:ind w:left="220"/>
              <w:spacing w:after="0" w:line="172" w:lineRule="exact"/>
              <w:rPr>
                <w:sz w:val="20"/>
                <w:szCs w:val="20"/>
                <w:color w:val="auto"/>
              </w:rPr>
            </w:pPr>
            <w:r>
              <w:rPr>
                <w:rFonts w:ascii="Arial" w:cs="Arial" w:eastAsia="Arial" w:hAnsi="Arial"/>
                <w:sz w:val="18"/>
                <w:szCs w:val="18"/>
                <w:color w:val="auto"/>
              </w:rPr>
              <w:t>Adjustments to reconcile net loss to net cash provided by (used in) operating</w:t>
            </w:r>
          </w:p>
        </w:tc>
        <w:tc>
          <w:tcPr>
            <w:tcW w:w="320" w:type="dxa"/>
            <w:vAlign w:val="bottom"/>
            <w:shd w:val="clear" w:color="auto" w:fill="CCEEFF"/>
          </w:tcPr>
          <w:p>
            <w:pPr>
              <w:spacing w:after="0"/>
              <w:rPr>
                <w:sz w:val="14"/>
                <w:szCs w:val="14"/>
                <w:color w:val="auto"/>
              </w:rPr>
            </w:pPr>
          </w:p>
        </w:tc>
        <w:tc>
          <w:tcPr>
            <w:tcW w:w="12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320" w:type="dxa"/>
            <w:vAlign w:val="bottom"/>
            <w:shd w:val="clear" w:color="auto" w:fill="CCEEFF"/>
          </w:tcPr>
          <w:p>
            <w:pPr>
              <w:spacing w:after="0"/>
              <w:rPr>
                <w:sz w:val="14"/>
                <w:szCs w:val="14"/>
                <w:color w:val="auto"/>
              </w:rPr>
            </w:pPr>
          </w:p>
        </w:tc>
        <w:tc>
          <w:tcPr>
            <w:tcW w:w="1200" w:type="dxa"/>
            <w:vAlign w:val="bottom"/>
            <w:shd w:val="clear" w:color="auto" w:fill="CCEEFF"/>
          </w:tcPr>
          <w:p>
            <w:pPr>
              <w:spacing w:after="0"/>
              <w:rPr>
                <w:sz w:val="14"/>
                <w:szCs w:val="14"/>
                <w:color w:val="auto"/>
              </w:rPr>
            </w:pPr>
          </w:p>
        </w:tc>
      </w:tr>
      <w:tr>
        <w:trPr>
          <w:trHeight w:val="223"/>
        </w:trPr>
        <w:tc>
          <w:tcPr>
            <w:tcW w:w="80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activities: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75.7</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51.8</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272.5</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128.6</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6.7</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31.4</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Changes in assets and liabilities, net of acquisitions:</w:t>
            </w:r>
          </w:p>
        </w:tc>
        <w:tc>
          <w:tcPr>
            <w:tcW w:w="3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4"/>
        </w:trPr>
        <w:tc>
          <w:tcPr>
            <w:tcW w:w="80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Accounts receivable</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(139.5)</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w:t>
            </w:r>
          </w:p>
        </w:tc>
      </w:tr>
      <w:tr>
        <w:trPr>
          <w:trHeight w:val="223"/>
        </w:trPr>
        <w:tc>
          <w:tcPr>
            <w:tcW w:w="8040" w:type="dxa"/>
            <w:vAlign w:val="bottom"/>
          </w:tcPr>
          <w:p>
            <w:pPr>
              <w:ind w:left="1080"/>
              <w:spacing w:after="0"/>
              <w:rPr>
                <w:sz w:val="20"/>
                <w:szCs w:val="20"/>
                <w:color w:val="auto"/>
              </w:rPr>
            </w:pPr>
            <w:r>
              <w:rPr>
                <w:rFonts w:ascii="Arial" w:cs="Arial" w:eastAsia="Arial" w:hAnsi="Arial"/>
                <w:sz w:val="18"/>
                <w:szCs w:val="18"/>
                <w:color w:val="auto"/>
              </w:rPr>
              <w:t>Inventories</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(125.8)</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(13.2)</w:t>
            </w:r>
          </w:p>
        </w:tc>
      </w:tr>
      <w:tr>
        <w:trPr>
          <w:trHeight w:val="224"/>
        </w:trPr>
        <w:tc>
          <w:tcPr>
            <w:tcW w:w="80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(142.9)</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r>
      <w:tr>
        <w:trPr>
          <w:trHeight w:val="223"/>
        </w:trPr>
        <w:tc>
          <w:tcPr>
            <w:tcW w:w="8040" w:type="dxa"/>
            <w:vAlign w:val="bottom"/>
          </w:tcPr>
          <w:p>
            <w:pPr>
              <w:ind w:left="1080"/>
              <w:spacing w:after="0"/>
              <w:rPr>
                <w:sz w:val="20"/>
                <w:szCs w:val="20"/>
                <w:color w:val="auto"/>
              </w:rPr>
            </w:pPr>
            <w:r>
              <w:rPr>
                <w:rFonts w:ascii="Arial" w:cs="Arial" w:eastAsia="Arial" w:hAnsi="Arial"/>
                <w:sz w:val="18"/>
                <w:szCs w:val="18"/>
                <w:color w:val="auto"/>
              </w:rPr>
              <w:t>Accounts payable</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61.4</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(51.6)</w:t>
            </w:r>
          </w:p>
        </w:tc>
      </w:tr>
      <w:tr>
        <w:trPr>
          <w:trHeight w:val="224"/>
        </w:trPr>
        <w:tc>
          <w:tcPr>
            <w:tcW w:w="80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Accrued liabilities and other non-current liabilities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w:t>
            </w:r>
          </w:p>
        </w:tc>
      </w:tr>
      <w:tr>
        <w:trPr>
          <w:trHeight w:val="223"/>
        </w:trPr>
        <w:tc>
          <w:tcPr>
            <w:tcW w:w="804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Accrued employee compensation</w:t>
            </w:r>
          </w:p>
        </w:tc>
        <w:tc>
          <w:tcPr>
            <w:tcW w:w="3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w:t>
            </w:r>
          </w:p>
        </w:tc>
        <w:tc>
          <w:tcPr>
            <w:tcW w:w="1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(55.7)</w:t>
            </w:r>
          </w:p>
        </w:tc>
      </w:tr>
      <w:tr>
        <w:trPr>
          <w:trHeight w:val="217"/>
        </w:trPr>
        <w:tc>
          <w:tcPr>
            <w:tcW w:w="804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(used in) operating activities</w:t>
            </w:r>
          </w:p>
        </w:tc>
        <w:tc>
          <w:tcPr>
            <w:tcW w:w="320" w:type="dxa"/>
            <w:vAlign w:val="bottom"/>
            <w:tcBorders>
              <w:bottom w:val="single" w:sz="8" w:color="auto"/>
            </w:tcBorders>
            <w:shd w:val="clear" w:color="auto" w:fill="CCEEFF"/>
          </w:tcPr>
          <w:p>
            <w:pPr>
              <w:spacing w:after="0"/>
              <w:rPr>
                <w:sz w:val="18"/>
                <w:szCs w:val="18"/>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194.8</w:t>
            </w:r>
          </w:p>
        </w:tc>
        <w:tc>
          <w:tcPr>
            <w:tcW w:w="14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w:t>
            </w:r>
          </w:p>
        </w:tc>
      </w:tr>
      <w:tr>
        <w:trPr>
          <w:trHeight w:val="203"/>
        </w:trPr>
        <w:tc>
          <w:tcPr>
            <w:tcW w:w="804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23"/>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(36.9)</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(21.4)</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Acquisitions, net of cash acquired</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(3,600.2)</w:t>
            </w:r>
          </w:p>
        </w:tc>
      </w:tr>
      <w:tr>
        <w:trPr>
          <w:trHeight w:val="223"/>
        </w:trPr>
        <w:tc>
          <w:tcPr>
            <w:tcW w:w="804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net</w:t>
            </w:r>
          </w:p>
        </w:tc>
        <w:tc>
          <w:tcPr>
            <w:tcW w:w="3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1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w:t>
            </w:r>
          </w:p>
        </w:tc>
      </w:tr>
      <w:tr>
        <w:trPr>
          <w:trHeight w:val="217"/>
        </w:trPr>
        <w:tc>
          <w:tcPr>
            <w:tcW w:w="804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used in investing activities</w:t>
            </w:r>
          </w:p>
        </w:tc>
        <w:tc>
          <w:tcPr>
            <w:tcW w:w="320" w:type="dxa"/>
            <w:vAlign w:val="bottom"/>
            <w:tcBorders>
              <w:bottom w:val="single" w:sz="8" w:color="auto"/>
            </w:tcBorders>
            <w:shd w:val="clear" w:color="auto" w:fill="CCEEFF"/>
          </w:tcPr>
          <w:p>
            <w:pPr>
              <w:spacing w:after="0"/>
              <w:rPr>
                <w:sz w:val="18"/>
                <w:szCs w:val="18"/>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(82.4)</w:t>
            </w:r>
          </w:p>
        </w:tc>
        <w:tc>
          <w:tcPr>
            <w:tcW w:w="14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(3,624.6)</w:t>
            </w:r>
          </w:p>
        </w:tc>
      </w:tr>
      <w:tr>
        <w:trPr>
          <w:trHeight w:val="203"/>
        </w:trPr>
        <w:tc>
          <w:tcPr>
            <w:tcW w:w="804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23"/>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0.5</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Dividend payments to stockholders</w:t>
            </w:r>
          </w:p>
        </w:tc>
        <w:tc>
          <w:tcPr>
            <w:tcW w:w="3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(50.9)</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(40.6)</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Proceeds from issuance of debt</w:t>
            </w:r>
          </w:p>
        </w:tc>
        <w:tc>
          <w:tcPr>
            <w:tcW w:w="32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3,731.1</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3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Payment for repurchases and settlement of convertible notes</w:t>
            </w:r>
          </w:p>
        </w:tc>
        <w:tc>
          <w:tcPr>
            <w:tcW w:w="32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(71.1)</w:t>
            </w:r>
          </w:p>
        </w:tc>
      </w:tr>
      <w:tr>
        <w:trPr>
          <w:trHeight w:val="224"/>
        </w:trPr>
        <w:tc>
          <w:tcPr>
            <w:tcW w:w="80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capped calls</w:t>
            </w:r>
          </w:p>
        </w:tc>
        <w:tc>
          <w:tcPr>
            <w:tcW w:w="320" w:type="dxa"/>
            <w:vAlign w:val="bottom"/>
            <w:shd w:val="clear" w:color="auto" w:fill="CCEEFF"/>
          </w:tcPr>
          <w:p>
            <w:pPr>
              <w:spacing w:after="0"/>
              <w:rPr>
                <w:sz w:val="19"/>
                <w:szCs w:val="19"/>
                <w:color w:val="auto"/>
              </w:rPr>
            </w:pPr>
          </w:p>
        </w:tc>
        <w:tc>
          <w:tcPr>
            <w:tcW w:w="13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111.2</w:t>
            </w:r>
          </w:p>
        </w:tc>
      </w:tr>
      <w:tr>
        <w:trPr>
          <w:trHeight w:val="223"/>
        </w:trPr>
        <w:tc>
          <w:tcPr>
            <w:tcW w:w="8040" w:type="dxa"/>
            <w:vAlign w:val="bottom"/>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32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7"/>
        </w:trPr>
        <w:tc>
          <w:tcPr>
            <w:tcW w:w="8040" w:type="dxa"/>
            <w:vAlign w:val="bottom"/>
            <w:tcBorders>
              <w:top w:val="single" w:sz="8" w:color="CCEEFF"/>
            </w:tcBorders>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(used in) financing activities</w:t>
            </w: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(260.9)</w:t>
            </w:r>
          </w:p>
        </w:tc>
        <w:tc>
          <w:tcPr>
            <w:tcW w:w="1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3,412.3</w:t>
            </w:r>
          </w:p>
        </w:tc>
      </w:tr>
      <w:tr>
        <w:trPr>
          <w:trHeight w:val="216"/>
        </w:trPr>
        <w:tc>
          <w:tcPr>
            <w:tcW w:w="8040" w:type="dxa"/>
            <w:vAlign w:val="bottom"/>
          </w:tcPr>
          <w:p>
            <w:pPr>
              <w:ind w:left="220"/>
              <w:spacing w:after="0" w:line="203" w:lineRule="exact"/>
              <w:rPr>
                <w:sz w:val="20"/>
                <w:szCs w:val="20"/>
                <w:color w:val="auto"/>
              </w:rPr>
            </w:pPr>
            <w:r>
              <w:rPr>
                <w:rFonts w:ascii="Arial" w:cs="Arial" w:eastAsia="Arial" w:hAnsi="Arial"/>
                <w:sz w:val="18"/>
                <w:szCs w:val="18"/>
                <w:color w:val="auto"/>
              </w:rPr>
              <w:t>Net decrease in cash and cash equivalents</w:t>
            </w:r>
          </w:p>
        </w:tc>
        <w:tc>
          <w:tcPr>
            <w:tcW w:w="3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(148.5)</w:t>
            </w: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(226.0)</w:t>
            </w:r>
          </w:p>
        </w:tc>
      </w:tr>
      <w:tr>
        <w:trPr>
          <w:trHeight w:val="224"/>
        </w:trPr>
        <w:tc>
          <w:tcPr>
            <w:tcW w:w="80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c>
          <w:tcPr>
            <w:tcW w:w="1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748.5</w:t>
            </w:r>
          </w:p>
        </w:tc>
      </w:tr>
      <w:tr>
        <w:trPr>
          <w:trHeight w:val="216"/>
        </w:trPr>
        <w:tc>
          <w:tcPr>
            <w:tcW w:w="8040" w:type="dxa"/>
            <w:vAlign w:val="bottom"/>
          </w:tcPr>
          <w:p>
            <w:pPr>
              <w:ind w:left="220"/>
              <w:spacing w:after="0" w:line="203" w:lineRule="exact"/>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bottom w:val="single" w:sz="8" w:color="auto"/>
            </w:tcBorders>
          </w:tcPr>
          <w:p>
            <w:pPr>
              <w:jc w:val="right"/>
              <w:ind w:right="112"/>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465.0</w:t>
            </w:r>
          </w:p>
        </w:tc>
        <w:tc>
          <w:tcPr>
            <w:tcW w:w="140" w:type="dxa"/>
            <w:vAlign w:val="bottom"/>
          </w:tcPr>
          <w:p>
            <w:pPr>
              <w:spacing w:after="0"/>
              <w:rPr>
                <w:sz w:val="18"/>
                <w:szCs w:val="18"/>
                <w:color w:val="auto"/>
              </w:rPr>
            </w:pPr>
          </w:p>
        </w:tc>
        <w:tc>
          <w:tcPr>
            <w:tcW w:w="3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522.5</w:t>
            </w:r>
          </w:p>
        </w:tc>
      </w:tr>
      <w:tr>
        <w:trPr>
          <w:trHeight w:val="20"/>
        </w:trPr>
        <w:tc>
          <w:tcPr>
            <w:tcW w:w="80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805"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67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3"/>
          </w:tcPr>
          <w:p>
            <w:pPr>
              <w:jc w:val="center"/>
              <w:ind w:right="140"/>
              <w:spacing w:after="0"/>
              <w:rPr>
                <w:sz w:val="20"/>
                <w:szCs w:val="20"/>
                <w:color w:val="auto"/>
              </w:rPr>
            </w:pPr>
            <w:r>
              <w:rPr>
                <w:rFonts w:ascii="Arial" w:cs="Arial" w:eastAsia="Arial" w:hAnsi="Arial"/>
                <w:sz w:val="14"/>
                <w:szCs w:val="14"/>
                <w:b w:val="1"/>
                <w:bCs w:val="1"/>
                <w:color w:val="auto"/>
                <w:w w:val="90"/>
              </w:rPr>
              <w:t>Three Months Ended</w:t>
            </w: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6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80" w:type="dxa"/>
            <w:vAlign w:val="bottom"/>
            <w:gridSpan w:val="2"/>
          </w:tcPr>
          <w:p>
            <w:pPr>
              <w:ind w:left="160"/>
              <w:spacing w:after="0" w:line="130" w:lineRule="exact"/>
              <w:rPr>
                <w:sz w:val="20"/>
                <w:szCs w:val="20"/>
                <w:color w:val="auto"/>
              </w:rPr>
            </w:pPr>
            <w:r>
              <w:rPr>
                <w:rFonts w:ascii="Arial" w:cs="Arial" w:eastAsia="Arial" w:hAnsi="Arial"/>
                <w:sz w:val="14"/>
                <w:szCs w:val="14"/>
                <w:b w:val="1"/>
                <w:bCs w:val="1"/>
                <w:color w:val="auto"/>
              </w:rPr>
              <w:t>April 30,</w:t>
            </w:r>
          </w:p>
        </w:tc>
        <w:tc>
          <w:tcPr>
            <w:tcW w:w="220" w:type="dxa"/>
            <w:vAlign w:val="bottom"/>
          </w:tcPr>
          <w:p>
            <w:pPr>
              <w:spacing w:after="0"/>
              <w:rPr>
                <w:sz w:val="11"/>
                <w:szCs w:val="11"/>
                <w:color w:val="auto"/>
              </w:rPr>
            </w:pPr>
          </w:p>
        </w:tc>
        <w:tc>
          <w:tcPr>
            <w:tcW w:w="1340" w:type="dxa"/>
            <w:vAlign w:val="bottom"/>
            <w:gridSpan w:val="2"/>
          </w:tcPr>
          <w:p>
            <w:pPr>
              <w:jc w:val="center"/>
              <w:ind w:right="360"/>
              <w:spacing w:after="0" w:line="130" w:lineRule="exact"/>
              <w:rPr>
                <w:sz w:val="20"/>
                <w:szCs w:val="20"/>
                <w:color w:val="auto"/>
              </w:rPr>
            </w:pPr>
            <w:r>
              <w:rPr>
                <w:rFonts w:ascii="Arial" w:cs="Arial" w:eastAsia="Arial" w:hAnsi="Arial"/>
                <w:sz w:val="14"/>
                <w:szCs w:val="14"/>
                <w:b w:val="1"/>
                <w:bCs w:val="1"/>
                <w:color w:val="auto"/>
                <w:w w:val="90"/>
              </w:rPr>
              <w:t>January 29,</w:t>
            </w:r>
          </w:p>
        </w:tc>
        <w:tc>
          <w:tcPr>
            <w:tcW w:w="300" w:type="dxa"/>
            <w:vAlign w:val="bottom"/>
          </w:tcPr>
          <w:p>
            <w:pPr>
              <w:spacing w:after="0"/>
              <w:rPr>
                <w:sz w:val="11"/>
                <w:szCs w:val="11"/>
                <w:color w:val="auto"/>
              </w:rPr>
            </w:pPr>
          </w:p>
        </w:tc>
        <w:tc>
          <w:tcPr>
            <w:tcW w:w="1120" w:type="dxa"/>
            <w:vAlign w:val="bottom"/>
          </w:tcPr>
          <w:p>
            <w:pPr>
              <w:jc w:val="right"/>
              <w:ind w:right="414"/>
              <w:spacing w:after="0" w:line="130" w:lineRule="exact"/>
              <w:rPr>
                <w:sz w:val="20"/>
                <w:szCs w:val="20"/>
                <w:color w:val="auto"/>
              </w:rPr>
            </w:pPr>
            <w:r>
              <w:rPr>
                <w:rFonts w:ascii="Arial" w:cs="Arial" w:eastAsia="Arial" w:hAnsi="Arial"/>
                <w:sz w:val="14"/>
                <w:szCs w:val="14"/>
                <w:b w:val="1"/>
                <w:bCs w:val="1"/>
                <w:color w:val="auto"/>
              </w:rPr>
              <w:t>May 1,</w:t>
            </w:r>
          </w:p>
        </w:tc>
        <w:tc>
          <w:tcPr>
            <w:tcW w:w="0" w:type="dxa"/>
            <w:vAlign w:val="bottom"/>
          </w:tcPr>
          <w:p>
            <w:pPr>
              <w:spacing w:after="0"/>
              <w:rPr>
                <w:sz w:val="1"/>
                <w:szCs w:val="1"/>
                <w:color w:val="auto"/>
              </w:rPr>
            </w:pPr>
          </w:p>
        </w:tc>
      </w:tr>
      <w:tr>
        <w:trPr>
          <w:trHeight w:val="183"/>
        </w:trPr>
        <w:tc>
          <w:tcPr>
            <w:tcW w:w="670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c>
          <w:tcPr>
            <w:tcW w:w="140" w:type="dxa"/>
            <w:vAlign w:val="bottom"/>
            <w:tcBorders>
              <w:bottom w:val="single" w:sz="8" w:color="CCEEFF"/>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17"/>
        </w:trPr>
        <w:tc>
          <w:tcPr>
            <w:tcW w:w="670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GAAP gross profit:</w:t>
            </w: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750.9</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6"/>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686.4</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418.2</w:t>
            </w:r>
          </w:p>
        </w:tc>
        <w:tc>
          <w:tcPr>
            <w:tcW w:w="0" w:type="dxa"/>
            <w:vAlign w:val="bottom"/>
          </w:tcPr>
          <w:p>
            <w:pPr>
              <w:spacing w:after="0"/>
              <w:rPr>
                <w:sz w:val="1"/>
                <w:szCs w:val="1"/>
                <w:color w:val="auto"/>
              </w:rPr>
            </w:pPr>
          </w:p>
        </w:tc>
      </w:tr>
      <w:tr>
        <w:trPr>
          <w:trHeight w:val="223"/>
        </w:trPr>
        <w:tc>
          <w:tcPr>
            <w:tcW w:w="670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12.4</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9.2</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9.8</w:t>
            </w:r>
          </w:p>
        </w:tc>
        <w:tc>
          <w:tcPr>
            <w:tcW w:w="0" w:type="dxa"/>
            <w:vAlign w:val="bottom"/>
          </w:tcPr>
          <w:p>
            <w:pPr>
              <w:spacing w:after="0"/>
              <w:rPr>
                <w:sz w:val="1"/>
                <w:szCs w:val="1"/>
                <w:color w:val="auto"/>
              </w:rPr>
            </w:pPr>
          </w:p>
        </w:tc>
      </w:tr>
      <w:tr>
        <w:trPr>
          <w:trHeight w:val="223"/>
        </w:trPr>
        <w:tc>
          <w:tcPr>
            <w:tcW w:w="67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ind w:right="134"/>
              <w:spacing w:after="0"/>
              <w:rPr>
                <w:sz w:val="20"/>
                <w:szCs w:val="20"/>
                <w:color w:val="auto"/>
              </w:rPr>
            </w:pPr>
            <w:r>
              <w:rPr>
                <w:rFonts w:ascii="Arial" w:cs="Arial" w:eastAsia="Arial" w:hAnsi="Arial"/>
                <w:sz w:val="18"/>
                <w:szCs w:val="18"/>
                <w:color w:val="auto"/>
              </w:rPr>
              <w:t>174.4</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ind w:right="134"/>
              <w:spacing w:after="0"/>
              <w:rPr>
                <w:sz w:val="20"/>
                <w:szCs w:val="20"/>
                <w:color w:val="auto"/>
              </w:rPr>
            </w:pPr>
            <w:r>
              <w:rPr>
                <w:rFonts w:ascii="Arial" w:cs="Arial" w:eastAsia="Arial" w:hAnsi="Arial"/>
                <w:sz w:val="18"/>
                <w:szCs w:val="18"/>
                <w:color w:val="auto"/>
              </w:rPr>
              <w:t>178.7</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ind w:right="134"/>
              <w:spacing w:after="0"/>
              <w:rPr>
                <w:sz w:val="20"/>
                <w:szCs w:val="20"/>
                <w:color w:val="auto"/>
              </w:rPr>
            </w:pPr>
            <w:r>
              <w:rPr>
                <w:rFonts w:ascii="Arial" w:cs="Arial" w:eastAsia="Arial" w:hAnsi="Arial"/>
                <w:sz w:val="18"/>
                <w:szCs w:val="18"/>
                <w:color w:val="auto"/>
              </w:rPr>
              <w:t>93.8</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9.3</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2.5</w:t>
            </w:r>
          </w:p>
        </w:tc>
        <w:tc>
          <w:tcPr>
            <w:tcW w:w="1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216"/>
        </w:trPr>
        <w:tc>
          <w:tcPr>
            <w:tcW w:w="670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80" w:type="dxa"/>
            <w:vAlign w:val="bottom"/>
            <w:tcBorders>
              <w:bottom w:val="single" w:sz="8" w:color="auto"/>
            </w:tcBorders>
          </w:tcPr>
          <w:p>
            <w:pPr>
              <w:spacing w:after="0"/>
              <w:rPr>
                <w:sz w:val="18"/>
                <w:szCs w:val="18"/>
                <w:color w:val="auto"/>
              </w:rPr>
            </w:pPr>
          </w:p>
        </w:tc>
        <w:tc>
          <w:tcPr>
            <w:tcW w:w="11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196.1</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190.4</w:t>
            </w:r>
          </w:p>
        </w:tc>
        <w:tc>
          <w:tcPr>
            <w:tcW w:w="14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117.3</w:t>
            </w:r>
          </w:p>
        </w:tc>
        <w:tc>
          <w:tcPr>
            <w:tcW w:w="0" w:type="dxa"/>
            <w:vAlign w:val="bottom"/>
          </w:tcPr>
          <w:p>
            <w:pPr>
              <w:spacing w:after="0"/>
              <w:rPr>
                <w:sz w:val="1"/>
                <w:szCs w:val="1"/>
                <w:color w:val="auto"/>
              </w:rPr>
            </w:pPr>
          </w:p>
        </w:tc>
      </w:tr>
      <w:tr>
        <w:trPr>
          <w:trHeight w:val="242"/>
        </w:trPr>
        <w:tc>
          <w:tcPr>
            <w:tcW w:w="670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gross profit</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947.0</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6"/>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876.8</w:t>
            </w:r>
          </w:p>
        </w:tc>
        <w:tc>
          <w:tcPr>
            <w:tcW w:w="14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auto"/>
            </w:tcBorders>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535.5</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67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28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51.9 %</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51.1 %</w:t>
            </w:r>
          </w:p>
        </w:tc>
        <w:tc>
          <w:tcPr>
            <w:tcW w:w="1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50.2 %</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700" w:type="dxa"/>
            <w:vAlign w:val="bottom"/>
            <w:vMerge w:val="continue"/>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65.5 %</w:t>
            </w:r>
          </w:p>
        </w:tc>
        <w:tc>
          <w:tcPr>
            <w:tcW w:w="14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65.3 %</w:t>
            </w:r>
          </w:p>
        </w:tc>
        <w:tc>
          <w:tcPr>
            <w:tcW w:w="14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64.3 %</w:t>
            </w:r>
          </w:p>
        </w:tc>
        <w:tc>
          <w:tcPr>
            <w:tcW w:w="0" w:type="dxa"/>
            <w:vAlign w:val="bottom"/>
          </w:tcPr>
          <w:p>
            <w:pPr>
              <w:spacing w:after="0"/>
              <w:rPr>
                <w:sz w:val="1"/>
                <w:szCs w:val="1"/>
                <w:color w:val="auto"/>
              </w:rPr>
            </w:pPr>
          </w:p>
        </w:tc>
      </w:tr>
      <w:tr>
        <w:trPr>
          <w:trHeight w:val="20"/>
        </w:trPr>
        <w:tc>
          <w:tcPr>
            <w:tcW w:w="670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67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6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670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1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670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280" w:type="dxa"/>
            <w:vAlign w:val="bottom"/>
          </w:tcPr>
          <w:p>
            <w:pPr>
              <w:jc w:val="right"/>
              <w:ind w:right="92"/>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ind w:right="134"/>
              <w:spacing w:after="0"/>
              <w:rPr>
                <w:sz w:val="20"/>
                <w:szCs w:val="20"/>
                <w:color w:val="auto"/>
              </w:rPr>
            </w:pPr>
            <w:r>
              <w:rPr>
                <w:rFonts w:ascii="Arial" w:cs="Arial" w:eastAsia="Arial" w:hAnsi="Arial"/>
                <w:sz w:val="18"/>
                <w:szCs w:val="18"/>
                <w:color w:val="auto"/>
              </w:rPr>
              <w:t>681.1</w:t>
            </w:r>
          </w:p>
        </w:tc>
        <w:tc>
          <w:tcPr>
            <w:tcW w:w="140" w:type="dxa"/>
            <w:vAlign w:val="bottom"/>
          </w:tcPr>
          <w:p>
            <w:pPr>
              <w:spacing w:after="0"/>
              <w:rPr>
                <w:sz w:val="19"/>
                <w:szCs w:val="19"/>
                <w:color w:val="auto"/>
              </w:rPr>
            </w:pPr>
          </w:p>
        </w:tc>
        <w:tc>
          <w:tcPr>
            <w:tcW w:w="220" w:type="dxa"/>
            <w:vAlign w:val="bottom"/>
          </w:tcPr>
          <w:p>
            <w:pPr>
              <w:jc w:val="right"/>
              <w:ind w:right="36"/>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134"/>
              <w:spacing w:after="0"/>
              <w:rPr>
                <w:sz w:val="20"/>
                <w:szCs w:val="20"/>
                <w:color w:val="auto"/>
              </w:rPr>
            </w:pPr>
            <w:r>
              <w:rPr>
                <w:rFonts w:ascii="Arial" w:cs="Arial" w:eastAsia="Arial" w:hAnsi="Arial"/>
                <w:sz w:val="18"/>
                <w:szCs w:val="18"/>
                <w:color w:val="auto"/>
              </w:rPr>
              <w:t>651.7</w:t>
            </w:r>
          </w:p>
        </w:tc>
        <w:tc>
          <w:tcPr>
            <w:tcW w:w="140" w:type="dxa"/>
            <w:vAlign w:val="bottom"/>
          </w:tcPr>
          <w:p>
            <w:pPr>
              <w:spacing w:after="0"/>
              <w:rPr>
                <w:sz w:val="19"/>
                <w:szCs w:val="19"/>
                <w:color w:val="auto"/>
              </w:rPr>
            </w:pPr>
          </w:p>
        </w:tc>
        <w:tc>
          <w:tcPr>
            <w:tcW w:w="300" w:type="dxa"/>
            <w:vAlign w:val="bottom"/>
          </w:tcPr>
          <w:p>
            <w:pPr>
              <w:jc w:val="right"/>
              <w:ind w:right="112"/>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134"/>
              <w:spacing w:after="0"/>
              <w:rPr>
                <w:sz w:val="20"/>
                <w:szCs w:val="20"/>
                <w:color w:val="auto"/>
              </w:rPr>
            </w:pPr>
            <w:r>
              <w:rPr>
                <w:rFonts w:ascii="Arial" w:cs="Arial" w:eastAsia="Arial" w:hAnsi="Arial"/>
                <w:sz w:val="18"/>
                <w:szCs w:val="18"/>
                <w:color w:val="auto"/>
              </w:rPr>
              <w:t>500.5</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6700" w:type="dxa"/>
            <w:vAlign w:val="bottom"/>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tcPr>
          <w:p>
            <w:pPr>
              <w:spacing w:after="0"/>
              <w:rPr>
                <w:sz w:val="19"/>
                <w:szCs w:val="19"/>
                <w:color w:val="auto"/>
              </w:rPr>
            </w:pPr>
          </w:p>
        </w:tc>
        <w:tc>
          <w:tcPr>
            <w:tcW w:w="1140" w:type="dxa"/>
            <w:vAlign w:val="bottom"/>
          </w:tcPr>
          <w:p>
            <w:pPr>
              <w:jc w:val="right"/>
              <w:ind w:right="94"/>
              <w:spacing w:after="0"/>
              <w:rPr>
                <w:sz w:val="20"/>
                <w:szCs w:val="20"/>
                <w:color w:val="auto"/>
              </w:rPr>
            </w:pPr>
            <w:r>
              <w:rPr>
                <w:rFonts w:ascii="Arial" w:cs="Arial" w:eastAsia="Arial" w:hAnsi="Arial"/>
                <w:sz w:val="18"/>
                <w:szCs w:val="18"/>
                <w:color w:val="auto"/>
              </w:rPr>
              <w:t>(118.7)</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(125.6)</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ind w:right="74"/>
              <w:spacing w:after="0"/>
              <w:rPr>
                <w:sz w:val="20"/>
                <w:szCs w:val="20"/>
                <w:color w:val="auto"/>
              </w:rPr>
            </w:pPr>
            <w:r>
              <w:rPr>
                <w:rFonts w:ascii="Arial" w:cs="Arial" w:eastAsia="Arial" w:hAnsi="Arial"/>
                <w:sz w:val="18"/>
                <w:szCs w:val="18"/>
                <w:color w:val="auto"/>
              </w:rPr>
              <w:t>(99.8)</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23"/>
        </w:trPr>
        <w:tc>
          <w:tcPr>
            <w:tcW w:w="67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ind w:right="94"/>
              <w:spacing w:after="0"/>
              <w:rPr>
                <w:sz w:val="20"/>
                <w:szCs w:val="20"/>
                <w:color w:val="auto"/>
              </w:rPr>
            </w:pPr>
            <w:r>
              <w:rPr>
                <w:rFonts w:ascii="Arial" w:cs="Arial" w:eastAsia="Arial" w:hAnsi="Arial"/>
                <w:sz w:val="18"/>
                <w:szCs w:val="18"/>
                <w:color w:val="auto"/>
              </w:rPr>
              <w:t>(98.1)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(116.1)</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ind w:right="74"/>
              <w:spacing w:after="0"/>
              <w:rPr>
                <w:sz w:val="20"/>
                <w:szCs w:val="20"/>
                <w:color w:val="auto"/>
              </w:rPr>
            </w:pPr>
            <w:r>
              <w:rPr>
                <w:rFonts w:ascii="Arial" w:cs="Arial" w:eastAsia="Arial" w:hAnsi="Arial"/>
                <w:sz w:val="18"/>
                <w:szCs w:val="18"/>
                <w:color w:val="auto"/>
              </w:rPr>
              <w:t>(34.8)</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(27.7)</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(18.9)</w:t>
            </w:r>
          </w:p>
        </w:tc>
        <w:tc>
          <w:tcPr>
            <w:tcW w:w="1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16"/>
        </w:trPr>
        <w:tc>
          <w:tcPr>
            <w:tcW w:w="670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80" w:type="dxa"/>
            <w:vAlign w:val="bottom"/>
            <w:tcBorders>
              <w:bottom w:val="single" w:sz="8" w:color="auto"/>
            </w:tcBorders>
          </w:tcPr>
          <w:p>
            <w:pPr>
              <w:spacing w:after="0"/>
              <w:rPr>
                <w:sz w:val="18"/>
                <w:szCs w:val="18"/>
                <w:color w:val="auto"/>
              </w:rPr>
            </w:pPr>
          </w:p>
        </w:tc>
        <w:tc>
          <w:tcPr>
            <w:tcW w:w="114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(245.8)</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(261.9)</w:t>
            </w:r>
          </w:p>
        </w:tc>
        <w:tc>
          <w:tcPr>
            <w:tcW w:w="140" w:type="dxa"/>
            <w:vAlign w:val="bottom"/>
            <w:tcBorders>
              <w:bottom w:val="single" w:sz="8" w:color="CCEEFF"/>
            </w:tcBorders>
          </w:tcPr>
          <w:p>
            <w:pPr>
              <w:spacing w:after="0"/>
              <w:rPr>
                <w:sz w:val="18"/>
                <w:szCs w:val="18"/>
                <w:color w:val="auto"/>
              </w:rPr>
            </w:pPr>
          </w:p>
        </w:tc>
        <w:tc>
          <w:tcPr>
            <w:tcW w:w="3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(194.2)</w:t>
            </w:r>
          </w:p>
        </w:tc>
        <w:tc>
          <w:tcPr>
            <w:tcW w:w="0" w:type="dxa"/>
            <w:vAlign w:val="bottom"/>
          </w:tcPr>
          <w:p>
            <w:pPr>
              <w:spacing w:after="0"/>
              <w:rPr>
                <w:sz w:val="1"/>
                <w:szCs w:val="1"/>
                <w:color w:val="auto"/>
              </w:rPr>
            </w:pPr>
          </w:p>
        </w:tc>
      </w:tr>
      <w:tr>
        <w:trPr>
          <w:trHeight w:val="242"/>
        </w:trPr>
        <w:tc>
          <w:tcPr>
            <w:tcW w:w="670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non-GAAP operating expenses</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435.3</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6"/>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389.8</w:t>
            </w:r>
          </w:p>
        </w:tc>
        <w:tc>
          <w:tcPr>
            <w:tcW w:w="14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auto"/>
            </w:tcBorders>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306.3</w:t>
            </w:r>
          </w:p>
        </w:tc>
        <w:tc>
          <w:tcPr>
            <w:tcW w:w="0" w:type="dxa"/>
            <w:vAlign w:val="bottom"/>
          </w:tcPr>
          <w:p>
            <w:pPr>
              <w:spacing w:after="0"/>
              <w:rPr>
                <w:sz w:val="1"/>
                <w:szCs w:val="1"/>
                <w:color w:val="auto"/>
              </w:rPr>
            </w:pP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7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670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1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6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67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23"/>
        </w:trPr>
        <w:tc>
          <w:tcPr>
            <w:tcW w:w="670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0.6 %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13.2 %</w:t>
            </w:r>
          </w:p>
        </w:tc>
        <w:tc>
          <w:tcPr>
            <w:tcW w:w="0" w:type="dxa"/>
            <w:vAlign w:val="bottom"/>
          </w:tcPr>
          <w:p>
            <w:pPr>
              <w:spacing w:after="0"/>
              <w:rPr>
                <w:sz w:val="1"/>
                <w:szCs w:val="1"/>
                <w:color w:val="auto"/>
              </w:rPr>
            </w:pPr>
          </w:p>
        </w:tc>
      </w:tr>
      <w:tr>
        <w:trPr>
          <w:trHeight w:val="223"/>
        </w:trPr>
        <w:tc>
          <w:tcPr>
            <w:tcW w:w="670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0.1 %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0.1 %</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1.5 %</w:t>
            </w:r>
          </w:p>
        </w:tc>
        <w:tc>
          <w:tcPr>
            <w:tcW w:w="0" w:type="dxa"/>
            <w:vAlign w:val="bottom"/>
          </w:tcPr>
          <w:p>
            <w:pPr>
              <w:spacing w:after="0"/>
              <w:rPr>
                <w:sz w:val="1"/>
                <w:szCs w:val="1"/>
                <w:color w:val="auto"/>
              </w:rPr>
            </w:pPr>
          </w:p>
        </w:tc>
      </w:tr>
      <w:tr>
        <w:trPr>
          <w:trHeight w:val="224"/>
        </w:trPr>
        <w:tc>
          <w:tcPr>
            <w:tcW w:w="67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22.0 %</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15.5 %</w:t>
            </w:r>
          </w:p>
        </w:tc>
        <w:tc>
          <w:tcPr>
            <w:tcW w:w="0" w:type="dxa"/>
            <w:vAlign w:val="bottom"/>
          </w:tcPr>
          <w:p>
            <w:pPr>
              <w:spacing w:after="0"/>
              <w:rPr>
                <w:sz w:val="1"/>
                <w:szCs w:val="1"/>
                <w:color w:val="auto"/>
              </w:rPr>
            </w:pPr>
          </w:p>
        </w:tc>
      </w:tr>
      <w:tr>
        <w:trPr>
          <w:trHeight w:val="223"/>
        </w:trPr>
        <w:tc>
          <w:tcPr>
            <w:tcW w:w="670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operating expenses (c)</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1.4 %</w:t>
            </w:r>
          </w:p>
        </w:tc>
        <w:tc>
          <w:tcPr>
            <w:tcW w:w="1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5.6 %</w:t>
            </w:r>
          </w:p>
        </w:tc>
        <w:tc>
          <w:tcPr>
            <w:tcW w:w="0" w:type="dxa"/>
            <w:vAlign w:val="bottom"/>
          </w:tcPr>
          <w:p>
            <w:pPr>
              <w:spacing w:after="0"/>
              <w:rPr>
                <w:sz w:val="1"/>
                <w:szCs w:val="1"/>
                <w:color w:val="auto"/>
              </w:rPr>
            </w:pPr>
          </w:p>
        </w:tc>
      </w:tr>
      <w:tr>
        <w:trPr>
          <w:trHeight w:val="217"/>
        </w:trPr>
        <w:tc>
          <w:tcPr>
            <w:tcW w:w="670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operating margin</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35.4 %</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36.3 %</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27.5 %</w:t>
            </w:r>
          </w:p>
        </w:tc>
        <w:tc>
          <w:tcPr>
            <w:tcW w:w="0" w:type="dxa"/>
            <w:vAlign w:val="bottom"/>
          </w:tcPr>
          <w:p>
            <w:pPr>
              <w:spacing w:after="0"/>
              <w:rPr>
                <w:sz w:val="1"/>
                <w:szCs w:val="1"/>
                <w:color w:val="auto"/>
              </w:rPr>
            </w:pPr>
          </w:p>
        </w:tc>
      </w:tr>
    </w:tbl>
    <w:p>
      <w:pPr>
        <w:sectPr>
          <w:pgSz w:w="11900" w:h="16838" w:orient="portrait"/>
          <w:cols w:equalWidth="0" w:num="1">
            <w:col w:w="11240"/>
          </w:cols>
          <w:pgMar w:left="320" w:top="791"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70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70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0" w:type="dxa"/>
            <w:vAlign w:val="bottom"/>
            <w:gridSpan w:val="2"/>
          </w:tcPr>
          <w:p>
            <w:pPr>
              <w:ind w:left="140"/>
              <w:spacing w:after="0" w:line="130" w:lineRule="exact"/>
              <w:rPr>
                <w:sz w:val="20"/>
                <w:szCs w:val="20"/>
                <w:color w:val="auto"/>
              </w:rPr>
            </w:pPr>
            <w:r>
              <w:rPr>
                <w:rFonts w:ascii="Arial" w:cs="Arial" w:eastAsia="Arial" w:hAnsi="Arial"/>
                <w:sz w:val="14"/>
                <w:szCs w:val="14"/>
                <w:b w:val="1"/>
                <w:bCs w:val="1"/>
                <w:color w:val="auto"/>
              </w:rPr>
              <w:t>April 30,</w:t>
            </w:r>
          </w:p>
        </w:tc>
        <w:tc>
          <w:tcPr>
            <w:tcW w:w="220" w:type="dxa"/>
            <w:vAlign w:val="bottom"/>
          </w:tcPr>
          <w:p>
            <w:pPr>
              <w:spacing w:after="0"/>
              <w:rPr>
                <w:sz w:val="11"/>
                <w:szCs w:val="11"/>
                <w:color w:val="auto"/>
              </w:rPr>
            </w:pPr>
          </w:p>
        </w:tc>
        <w:tc>
          <w:tcPr>
            <w:tcW w:w="124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January 29,</w:t>
            </w:r>
          </w:p>
        </w:tc>
        <w:tc>
          <w:tcPr>
            <w:tcW w:w="280" w:type="dxa"/>
            <w:vAlign w:val="bottom"/>
          </w:tcPr>
          <w:p>
            <w:pPr>
              <w:spacing w:after="0"/>
              <w:rPr>
                <w:sz w:val="11"/>
                <w:szCs w:val="11"/>
                <w:color w:val="auto"/>
              </w:rPr>
            </w:pPr>
          </w:p>
        </w:tc>
        <w:tc>
          <w:tcPr>
            <w:tcW w:w="1040" w:type="dxa"/>
            <w:vAlign w:val="bottom"/>
          </w:tcPr>
          <w:p>
            <w:pPr>
              <w:jc w:val="right"/>
              <w:ind w:right="354"/>
              <w:spacing w:after="0" w:line="130" w:lineRule="exact"/>
              <w:rPr>
                <w:sz w:val="20"/>
                <w:szCs w:val="20"/>
                <w:color w:val="auto"/>
              </w:rPr>
            </w:pPr>
            <w:r>
              <w:rPr>
                <w:rFonts w:ascii="Arial" w:cs="Arial" w:eastAsia="Arial" w:hAnsi="Arial"/>
                <w:sz w:val="14"/>
                <w:szCs w:val="14"/>
                <w:b w:val="1"/>
                <w:bCs w:val="1"/>
                <w:color w:val="auto"/>
              </w:rPr>
              <w:t>May 1,</w:t>
            </w:r>
          </w:p>
        </w:tc>
        <w:tc>
          <w:tcPr>
            <w:tcW w:w="0" w:type="dxa"/>
            <w:vAlign w:val="bottom"/>
          </w:tcPr>
          <w:p>
            <w:pPr>
              <w:spacing w:after="0"/>
              <w:rPr>
                <w:sz w:val="1"/>
                <w:szCs w:val="1"/>
                <w:color w:val="auto"/>
              </w:rPr>
            </w:pPr>
          </w:p>
        </w:tc>
      </w:tr>
      <w:tr>
        <w:trPr>
          <w:trHeight w:val="183"/>
        </w:trPr>
        <w:tc>
          <w:tcPr>
            <w:tcW w:w="7020" w:type="dxa"/>
            <w:vAlign w:val="bottom"/>
            <w:tcBorders>
              <w:bottom w:val="single" w:sz="8" w:color="CCEEFF"/>
            </w:tcBorders>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17"/>
        </w:trPr>
        <w:tc>
          <w:tcPr>
            <w:tcW w:w="70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GAAP interest and other income (loss), net</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w:t>
            </w:r>
          </w:p>
        </w:tc>
        <w:tc>
          <w:tcPr>
            <w:tcW w:w="0" w:type="dxa"/>
            <w:vAlign w:val="bottom"/>
          </w:tcPr>
          <w:p>
            <w:pPr>
              <w:spacing w:after="0"/>
              <w:rPr>
                <w:sz w:val="1"/>
                <w:szCs w:val="1"/>
                <w:color w:val="auto"/>
              </w:rPr>
            </w:pPr>
          </w:p>
        </w:tc>
      </w:tr>
      <w:tr>
        <w:trPr>
          <w:trHeight w:val="223"/>
        </w:trPr>
        <w:tc>
          <w:tcPr>
            <w:tcW w:w="70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24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1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16"/>
        </w:trPr>
        <w:tc>
          <w:tcPr>
            <w:tcW w:w="702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24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w:t>
            </w:r>
          </w:p>
        </w:tc>
        <w:tc>
          <w:tcPr>
            <w:tcW w:w="14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42"/>
        </w:trPr>
        <w:tc>
          <w:tcPr>
            <w:tcW w:w="702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non-GAAP interest and other income (loss), net</w:t>
            </w: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(34.7)</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(35.7)</w:t>
            </w:r>
          </w:p>
        </w:tc>
        <w:tc>
          <w:tcPr>
            <w:tcW w:w="14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702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70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7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net income (loss)</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w:t>
            </w:r>
          </w:p>
        </w:tc>
        <w:tc>
          <w:tcPr>
            <w:tcW w:w="0" w:type="dxa"/>
            <w:vAlign w:val="bottom"/>
          </w:tcPr>
          <w:p>
            <w:pPr>
              <w:spacing w:after="0"/>
              <w:rPr>
                <w:sz w:val="1"/>
                <w:szCs w:val="1"/>
                <w:color w:val="auto"/>
              </w:rPr>
            </w:pPr>
          </w:p>
        </w:tc>
      </w:tr>
      <w:tr>
        <w:trPr>
          <w:trHeight w:val="223"/>
        </w:trPr>
        <w:tc>
          <w:tcPr>
            <w:tcW w:w="702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223"/>
        </w:trPr>
        <w:tc>
          <w:tcPr>
            <w:tcW w:w="7020" w:type="dxa"/>
            <w:vAlign w:val="bottom"/>
          </w:tcPr>
          <w:p>
            <w:pPr>
              <w:ind w:left="660"/>
              <w:spacing w:after="0"/>
              <w:rPr>
                <w:sz w:val="20"/>
                <w:szCs w:val="20"/>
                <w:color w:val="auto"/>
              </w:rPr>
            </w:pPr>
            <w:r>
              <w:rPr>
                <w:rFonts w:ascii="Arial" w:cs="Arial" w:eastAsia="Arial" w:hAnsi="Arial"/>
                <w:sz w:val="18"/>
                <w:szCs w:val="18"/>
                <w:color w:val="auto"/>
              </w:rPr>
              <w:t>Stock-based compensation</w:t>
            </w:r>
          </w:p>
        </w:tc>
        <w:tc>
          <w:tcPr>
            <w:tcW w:w="24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131.1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134.8</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109.6</w:t>
            </w:r>
          </w:p>
        </w:tc>
        <w:tc>
          <w:tcPr>
            <w:tcW w:w="0" w:type="dxa"/>
            <w:vAlign w:val="bottom"/>
          </w:tcPr>
          <w:p>
            <w:pPr>
              <w:spacing w:after="0"/>
              <w:rPr>
                <w:sz w:val="1"/>
                <w:szCs w:val="1"/>
                <w:color w:val="auto"/>
              </w:rPr>
            </w:pP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23"/>
        </w:trPr>
        <w:tc>
          <w:tcPr>
            <w:tcW w:w="7020" w:type="dxa"/>
            <w:vAlign w:val="bottom"/>
          </w:tcPr>
          <w:p>
            <w:pPr>
              <w:ind w:left="660"/>
              <w:spacing w:after="0"/>
              <w:rPr>
                <w:sz w:val="20"/>
                <w:szCs w:val="20"/>
                <w:color w:val="auto"/>
              </w:rPr>
            </w:pPr>
            <w:r>
              <w:rPr>
                <w:rFonts w:ascii="Arial" w:cs="Arial" w:eastAsia="Arial" w:hAnsi="Arial"/>
                <w:sz w:val="18"/>
                <w:szCs w:val="18"/>
                <w:color w:val="auto"/>
              </w:rPr>
              <w:t>Other operating expenses (c)</w:t>
            </w:r>
          </w:p>
        </w:tc>
        <w:tc>
          <w:tcPr>
            <w:tcW w:w="24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27.7</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18.9</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24"/>
        </w:trPr>
        <w:tc>
          <w:tcPr>
            <w:tcW w:w="7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272.5</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294.8</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128.6</w:t>
            </w:r>
          </w:p>
        </w:tc>
        <w:tc>
          <w:tcPr>
            <w:tcW w:w="0" w:type="dxa"/>
            <w:vAlign w:val="bottom"/>
          </w:tcPr>
          <w:p>
            <w:pPr>
              <w:spacing w:after="0"/>
              <w:rPr>
                <w:sz w:val="1"/>
                <w:szCs w:val="1"/>
                <w:color w:val="auto"/>
              </w:rPr>
            </w:pPr>
          </w:p>
        </w:tc>
      </w:tr>
      <w:tr>
        <w:trPr>
          <w:trHeight w:val="223"/>
        </w:trPr>
        <w:tc>
          <w:tcPr>
            <w:tcW w:w="70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24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17"/>
        </w:trPr>
        <w:tc>
          <w:tcPr>
            <w:tcW w:w="70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Pre-tax total special items</w:t>
            </w:r>
          </w:p>
        </w:tc>
        <w:tc>
          <w:tcPr>
            <w:tcW w:w="24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437.8</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449.2</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328.4</w:t>
            </w:r>
          </w:p>
        </w:tc>
        <w:tc>
          <w:tcPr>
            <w:tcW w:w="0" w:type="dxa"/>
            <w:vAlign w:val="bottom"/>
          </w:tcPr>
          <w:p>
            <w:pPr>
              <w:spacing w:after="0"/>
              <w:rPr>
                <w:sz w:val="1"/>
                <w:szCs w:val="1"/>
                <w:color w:val="auto"/>
              </w:rPr>
            </w:pPr>
          </w:p>
        </w:tc>
      </w:tr>
      <w:tr>
        <w:trPr>
          <w:trHeight w:val="216"/>
        </w:trPr>
        <w:tc>
          <w:tcPr>
            <w:tcW w:w="70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income tax effects and adjustments (e)</w:t>
            </w:r>
          </w:p>
        </w:tc>
        <w:tc>
          <w:tcPr>
            <w:tcW w:w="24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176.3</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(26.7)</w:t>
            </w:r>
          </w:p>
        </w:tc>
        <w:tc>
          <w:tcPr>
            <w:tcW w:w="14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(38.4)</w:t>
            </w:r>
          </w:p>
        </w:tc>
        <w:tc>
          <w:tcPr>
            <w:tcW w:w="0" w:type="dxa"/>
            <w:vAlign w:val="bottom"/>
          </w:tcPr>
          <w:p>
            <w:pPr>
              <w:spacing w:after="0"/>
              <w:rPr>
                <w:sz w:val="1"/>
                <w:szCs w:val="1"/>
                <w:color w:val="auto"/>
              </w:rPr>
            </w:pPr>
          </w:p>
        </w:tc>
      </w:tr>
      <w:tr>
        <w:trPr>
          <w:trHeight w:val="242"/>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net income</w:t>
            </w: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448.4</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428.7</w:t>
            </w:r>
          </w:p>
        </w:tc>
        <w:tc>
          <w:tcPr>
            <w:tcW w:w="14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702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70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8"/>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weighted average shares — basic</w:t>
            </w:r>
          </w:p>
        </w:tc>
        <w:tc>
          <w:tcPr>
            <w:tcW w:w="24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848.0</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844.4</w:t>
            </w: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693.4</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GAAP weighted average shares — diluted</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7020" w:type="dxa"/>
            <w:vAlign w:val="bottom"/>
            <w:vMerge w:val="continue"/>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848.0</w:t>
            </w:r>
          </w:p>
        </w:tc>
        <w:tc>
          <w:tcPr>
            <w:tcW w:w="1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862.1</w:t>
            </w:r>
          </w:p>
        </w:tc>
        <w:tc>
          <w:tcPr>
            <w:tcW w:w="14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spacing w:after="0" w:line="170" w:lineRule="exact"/>
              <w:rPr>
                <w:sz w:val="20"/>
                <w:szCs w:val="20"/>
                <w:color w:val="auto"/>
              </w:rPr>
            </w:pPr>
            <w:r>
              <w:rPr>
                <w:rFonts w:ascii="Arial" w:cs="Arial" w:eastAsia="Arial" w:hAnsi="Arial"/>
                <w:sz w:val="18"/>
                <w:szCs w:val="18"/>
                <w:color w:val="auto"/>
              </w:rPr>
              <w:t>693.4</w:t>
            </w:r>
          </w:p>
        </w:tc>
        <w:tc>
          <w:tcPr>
            <w:tcW w:w="0" w:type="dxa"/>
            <w:vAlign w:val="bottom"/>
          </w:tcPr>
          <w:p>
            <w:pPr>
              <w:spacing w:after="0"/>
              <w:rPr>
                <w:sz w:val="1"/>
                <w:szCs w:val="1"/>
                <w:color w:val="auto"/>
              </w:rPr>
            </w:pPr>
          </w:p>
        </w:tc>
      </w:tr>
      <w:tr>
        <w:trPr>
          <w:trHeight w:val="20"/>
        </w:trPr>
        <w:tc>
          <w:tcPr>
            <w:tcW w:w="70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7020" w:type="dxa"/>
            <w:vAlign w:val="bottom"/>
            <w:tcBorders>
              <w:bottom w:val="single" w:sz="8" w:color="CCEEFF"/>
            </w:tcBorders>
            <w:shd w:val="clear" w:color="auto" w:fill="CCEEFF"/>
          </w:tcPr>
          <w:p>
            <w:pPr>
              <w:ind w:left="220"/>
              <w:spacing w:after="0" w:line="202" w:lineRule="exact"/>
              <w:rPr>
                <w:sz w:val="20"/>
                <w:szCs w:val="20"/>
                <w:color w:val="auto"/>
              </w:rPr>
            </w:pPr>
            <w:r>
              <w:rPr>
                <w:rFonts w:ascii="Arial" w:cs="Arial" w:eastAsia="Arial" w:hAnsi="Arial"/>
                <w:sz w:val="18"/>
                <w:szCs w:val="18"/>
                <w:color w:val="auto"/>
              </w:rPr>
              <w:t>Non-GAAP weighted average shares — diluted (f)</w:t>
            </w:r>
          </w:p>
        </w:tc>
        <w:tc>
          <w:tcPr>
            <w:tcW w:w="240" w:type="dxa"/>
            <w:vAlign w:val="bottom"/>
            <w:tcBorders>
              <w:bottom w:val="single" w:sz="8" w:color="auto"/>
            </w:tcBorders>
            <w:shd w:val="clear" w:color="auto" w:fill="CCEEFF"/>
          </w:tcPr>
          <w:p>
            <w:pPr>
              <w:spacing w:after="0"/>
              <w:rPr>
                <w:sz w:val="20"/>
                <w:szCs w:val="20"/>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861.4</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862.1</w:t>
            </w:r>
          </w:p>
        </w:tc>
        <w:tc>
          <w:tcPr>
            <w:tcW w:w="14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spacing w:after="0"/>
              <w:rPr>
                <w:sz w:val="20"/>
                <w:szCs w:val="20"/>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707.5</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0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7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income (loss) per share</w:t>
            </w: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0" w:type="dxa"/>
            <w:vAlign w:val="bottom"/>
          </w:tcPr>
          <w:p>
            <w:pPr>
              <w:spacing w:after="0"/>
              <w:rPr>
                <w:sz w:val="1"/>
                <w:szCs w:val="1"/>
                <w:color w:val="auto"/>
              </w:rPr>
            </w:pPr>
          </w:p>
        </w:tc>
      </w:tr>
      <w:tr>
        <w:trPr>
          <w:trHeight w:val="20"/>
        </w:trPr>
        <w:tc>
          <w:tcPr>
            <w:tcW w:w="70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diluted net income per share</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020" w:type="dxa"/>
            <w:vAlign w:val="bottom"/>
            <w:vMerge w:val="continue"/>
          </w:tcPr>
          <w:p>
            <w:pPr>
              <w:spacing w:after="0"/>
              <w:rPr>
                <w:sz w:val="17"/>
                <w:szCs w:val="17"/>
                <w:color w:val="auto"/>
              </w:rPr>
            </w:pPr>
          </w:p>
        </w:tc>
        <w:tc>
          <w:tcPr>
            <w:tcW w:w="240" w:type="dxa"/>
            <w:vAlign w:val="bottom"/>
            <w:tcBorders>
              <w:bottom w:val="single" w:sz="8" w:color="auto"/>
            </w:tcBorders>
          </w:tcPr>
          <w:p>
            <w:pPr>
              <w:jc w:val="right"/>
              <w:ind w:right="52"/>
              <w:spacing w:after="0" w:line="195"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0.52</w:t>
            </w:r>
          </w:p>
        </w:tc>
        <w:tc>
          <w:tcPr>
            <w:tcW w:w="140" w:type="dxa"/>
            <w:vAlign w:val="bottom"/>
          </w:tcPr>
          <w:p>
            <w:pPr>
              <w:spacing w:after="0"/>
              <w:rPr>
                <w:sz w:val="17"/>
                <w:szCs w:val="17"/>
                <w:color w:val="auto"/>
              </w:rPr>
            </w:pPr>
          </w:p>
        </w:tc>
        <w:tc>
          <w:tcPr>
            <w:tcW w:w="220" w:type="dxa"/>
            <w:vAlign w:val="bottom"/>
            <w:tcBorders>
              <w:bottom w:val="single" w:sz="8" w:color="auto"/>
            </w:tcBorders>
          </w:tcPr>
          <w:p>
            <w:pPr>
              <w:ind w:left="20"/>
              <w:spacing w:after="0" w:line="195" w:lineRule="exact"/>
              <w:rPr>
                <w:sz w:val="20"/>
                <w:szCs w:val="20"/>
                <w:color w:val="auto"/>
              </w:rPr>
            </w:pPr>
            <w:r>
              <w:rPr>
                <w:rFonts w:ascii="Arial" w:cs="Arial" w:eastAsia="Arial" w:hAnsi="Arial"/>
                <w:sz w:val="18"/>
                <w:szCs w:val="18"/>
                <w:color w:val="auto"/>
              </w:rPr>
              <w:t>$</w:t>
            </w:r>
          </w:p>
        </w:tc>
        <w:tc>
          <w:tcPr>
            <w:tcW w:w="110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0.50</w:t>
            </w:r>
          </w:p>
        </w:tc>
        <w:tc>
          <w:tcPr>
            <w:tcW w:w="140" w:type="dxa"/>
            <w:vAlign w:val="bottom"/>
          </w:tcPr>
          <w:p>
            <w:pPr>
              <w:spacing w:after="0"/>
              <w:rPr>
                <w:sz w:val="17"/>
                <w:szCs w:val="17"/>
                <w:color w:val="auto"/>
              </w:rPr>
            </w:pPr>
          </w:p>
        </w:tc>
        <w:tc>
          <w:tcPr>
            <w:tcW w:w="280" w:type="dxa"/>
            <w:vAlign w:val="bottom"/>
            <w:tcBorders>
              <w:bottom w:val="single" w:sz="8" w:color="auto"/>
            </w:tcBorders>
          </w:tcPr>
          <w:p>
            <w:pPr>
              <w:jc w:val="right"/>
              <w:ind w:right="72"/>
              <w:spacing w:after="0" w:line="195" w:lineRule="exact"/>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0"/>
        </w:trPr>
        <w:tc>
          <w:tcPr>
            <w:tcW w:w="70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791" w:right="339" w:bottom="1440" w:gutter="0" w:footer="0" w:header="0"/>
        </w:sectPr>
      </w:pPr>
    </w:p>
    <w:bookmarkStart w:id="12" w:name="page13"/>
    <w:bookmarkEnd w:id="12"/>
    <w:p>
      <w:pPr>
        <w:ind w:left="417" w:hanging="417"/>
        <w:spacing w:after="0"/>
        <w:tabs>
          <w:tab w:leader="none" w:pos="41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 of goods sold includes amortization of acquired inventory fair value adjustments.</w:t>
      </w:r>
    </w:p>
    <w:p>
      <w:pPr>
        <w:spacing w:after="0" w:line="108" w:lineRule="exact"/>
        <w:rPr>
          <w:rFonts w:ascii="Arial" w:cs="Arial" w:eastAsia="Arial" w:hAnsi="Arial"/>
          <w:sz w:val="18"/>
          <w:szCs w:val="18"/>
          <w:i w:val="1"/>
          <w:iCs w:val="1"/>
          <w:color w:val="auto"/>
        </w:rPr>
      </w:pPr>
    </w:p>
    <w:p>
      <w:pPr>
        <w:ind w:left="417" w:hanging="417"/>
        <w:spacing w:after="0"/>
        <w:tabs>
          <w:tab w:leader="none" w:pos="417"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Restructuring and other related items include asset impairment charges, employee severance costs. facilities related charges, and other.</w:t>
      </w:r>
    </w:p>
    <w:p>
      <w:pPr>
        <w:spacing w:after="0" w:line="131" w:lineRule="exact"/>
        <w:rPr>
          <w:rFonts w:ascii="Arial" w:cs="Arial" w:eastAsia="Arial" w:hAnsi="Arial"/>
          <w:sz w:val="16"/>
          <w:szCs w:val="16"/>
          <w:i w:val="1"/>
          <w:iCs w:val="1"/>
          <w:color w:val="auto"/>
        </w:rPr>
      </w:pPr>
    </w:p>
    <w:p>
      <w:pPr>
        <w:ind w:left="417" w:hanging="417"/>
        <w:spacing w:after="0"/>
        <w:tabs>
          <w:tab w:leader="none" w:pos="41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acquisition related costs and costs related to intellectual property disputes.</w:t>
      </w:r>
    </w:p>
    <w:p>
      <w:pPr>
        <w:spacing w:after="0" w:line="108" w:lineRule="exact"/>
        <w:rPr>
          <w:rFonts w:ascii="Arial" w:cs="Arial" w:eastAsia="Arial" w:hAnsi="Arial"/>
          <w:sz w:val="18"/>
          <w:szCs w:val="18"/>
          <w:i w:val="1"/>
          <w:iCs w:val="1"/>
          <w:color w:val="auto"/>
        </w:rPr>
      </w:pPr>
    </w:p>
    <w:p>
      <w:pPr>
        <w:ind w:left="417" w:hanging="417"/>
        <w:spacing w:after="0"/>
        <w:tabs>
          <w:tab w:leader="none" w:pos="417"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Debt issuance related costs and other includes the partial term loan repayment and bridge financing, and gains or losses on investments.</w:t>
      </w:r>
    </w:p>
    <w:p>
      <w:pPr>
        <w:spacing w:after="0" w:line="131" w:lineRule="exact"/>
        <w:rPr>
          <w:rFonts w:ascii="Arial" w:cs="Arial" w:eastAsia="Arial" w:hAnsi="Arial"/>
          <w:sz w:val="16"/>
          <w:szCs w:val="16"/>
          <w:i w:val="1"/>
          <w:iCs w:val="1"/>
          <w:color w:val="auto"/>
        </w:rPr>
      </w:pPr>
    </w:p>
    <w:p>
      <w:pPr>
        <w:ind w:left="417" w:hanging="417"/>
        <w:spacing w:after="0" w:line="233" w:lineRule="auto"/>
        <w:tabs>
          <w:tab w:leader="none" w:pos="417"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6.0% for the three months ended April 30, 2022. Other income tax effects and adjustments relate to tax provision based on a non-GAAP income tax rate of 5.0% for the three months ended January 29, 2022 and the three months ended May 1, 2021.</w:t>
      </w:r>
    </w:p>
    <w:p>
      <w:pPr>
        <w:spacing w:after="0" w:line="93" w:lineRule="exact"/>
        <w:rPr>
          <w:rFonts w:ascii="Arial" w:cs="Arial" w:eastAsia="Arial" w:hAnsi="Arial"/>
          <w:sz w:val="18"/>
          <w:szCs w:val="18"/>
          <w:i w:val="1"/>
          <w:iCs w:val="1"/>
          <w:color w:val="auto"/>
        </w:rPr>
      </w:pPr>
    </w:p>
    <w:p>
      <w:pPr>
        <w:ind w:left="417" w:hanging="417"/>
        <w:spacing w:after="0"/>
        <w:tabs>
          <w:tab w:leader="none" w:pos="417"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Non-GAAP diluted weighted average shares differs from GAAP diluted weighted average shares due to the non-GAAP net income reported.</w:t>
      </w:r>
    </w:p>
    <w:p>
      <w:pPr>
        <w:sectPr>
          <w:pgSz w:w="11900" w:h="16838" w:orient="portrait"/>
          <w:cols w:equalWidth="0" w:num="1">
            <w:col w:w="10837"/>
          </w:cols>
          <w:pgMar w:left="343" w:top="797" w:right="719" w:bottom="1440" w:gutter="0" w:footer="0" w:header="0"/>
        </w:sectPr>
      </w:pPr>
    </w:p>
    <w:bookmarkStart w:id="13" w:name="page14"/>
    <w:bookmarkEnd w:id="13"/>
    <w:p>
      <w:pPr>
        <w:jc w:val="center"/>
        <w:ind w:right="-83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839"/>
        <w:spacing w:after="0"/>
        <w:rPr>
          <w:sz w:val="20"/>
          <w:szCs w:val="20"/>
          <w:color w:val="auto"/>
        </w:rPr>
      </w:pPr>
      <w:r>
        <w:rPr>
          <w:rFonts w:ascii="Arial" w:cs="Arial" w:eastAsia="Arial" w:hAnsi="Arial"/>
          <w:sz w:val="16"/>
          <w:szCs w:val="16"/>
          <w:b w:val="1"/>
          <w:bCs w:val="1"/>
          <w:color w:val="auto"/>
        </w:rPr>
        <w:t>Outlook for the Second Quarter of Fiscal Year 2023</w:t>
      </w:r>
    </w:p>
    <w:p>
      <w:pPr>
        <w:spacing w:after="0" w:line="39" w:lineRule="exact"/>
        <w:rPr>
          <w:sz w:val="20"/>
          <w:szCs w:val="20"/>
          <w:color w:val="auto"/>
        </w:rPr>
      </w:pPr>
    </w:p>
    <w:p>
      <w:pPr>
        <w:jc w:val="center"/>
        <w:ind w:right="-79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39" w:lineRule="exact"/>
        <w:rPr>
          <w:sz w:val="20"/>
          <w:szCs w:val="20"/>
          <w:color w:val="auto"/>
        </w:rPr>
      </w:pPr>
    </w:p>
    <w:p>
      <w:pPr>
        <w:jc w:val="center"/>
        <w:ind w:right="-8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20"/>
          </w:cols>
          <w:pgMar w:left="340" w:top="791" w:right="1139" w:bottom="1440" w:gutter="0" w:footer="0" w:header="0"/>
        </w:sect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-135890</wp:posOffset>
            </wp:positionV>
            <wp:extent cx="7136130" cy="150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04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Stock-based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costs of goods sold</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87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13970</wp:posOffset>
            </wp:positionV>
            <wp:extent cx="7136130" cy="141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5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Other operating expenses</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2509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3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diluted net income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Stock-based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 of goods sold</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6"/>
          <w:szCs w:val="16"/>
          <w:color w:val="auto"/>
        </w:rPr>
        <w:t>Other income tax effects and adjustments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2"/>
          <w:szCs w:val="12"/>
          <w:b w:val="1"/>
          <w:bCs w:val="1"/>
          <w:color w:val="auto"/>
        </w:rPr>
        <w:t>Outlook for Three Months Ended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July 30, 2022</w:t>
      </w:r>
    </w:p>
    <w:p>
      <w:pPr>
        <w:spacing w:after="0" w:line="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$1,515 +/- 3%</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3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$1,515 +/- 3%</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49.6% - 51.9%</w:t>
      </w:r>
    </w:p>
    <w:p>
      <w:pPr>
        <w:spacing w:after="0" w:line="24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0.7%</w:t>
      </w:r>
    </w:p>
    <w:p>
      <w:pPr>
        <w:spacing w:after="0" w:line="16" w:lineRule="exact"/>
        <w:rPr>
          <w:sz w:val="20"/>
          <w:szCs w:val="20"/>
          <w:color w:val="auto"/>
        </w:rPr>
      </w:pPr>
    </w:p>
    <w:p>
      <w:pPr>
        <w:ind w:left="780"/>
        <w:spacing w:after="0"/>
        <w:rPr>
          <w:sz w:val="20"/>
          <w:szCs w:val="20"/>
          <w:color w:val="auto"/>
        </w:rPr>
      </w:pPr>
      <w:r>
        <w:rPr>
          <w:rFonts w:ascii="Arial" w:cs="Arial" w:eastAsia="Arial" w:hAnsi="Arial"/>
          <w:sz w:val="18"/>
          <w:szCs w:val="18"/>
          <w:color w:val="auto"/>
        </w:rPr>
        <w:t>12.2%</w:t>
      </w:r>
    </w:p>
    <w:p>
      <w:pPr>
        <w:spacing w:after="0" w:line="16" w:lineRule="exact"/>
        <w:rPr>
          <w:sz w:val="20"/>
          <w:szCs w:val="20"/>
          <w:color w:val="auto"/>
        </w:rPr>
      </w:pPr>
    </w:p>
    <w:p>
      <w:pPr>
        <w:ind w:left="820"/>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65.0% ~ 65.5%</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$669</w:t>
      </w:r>
    </w:p>
    <w:p>
      <w:pPr>
        <w:spacing w:after="0" w:line="240" w:lineRule="exact"/>
        <w:rPr>
          <w:sz w:val="20"/>
          <w:szCs w:val="20"/>
          <w:color w:val="auto"/>
        </w:rPr>
      </w:pPr>
    </w:p>
    <w:p>
      <w:pPr>
        <w:ind w:left="880"/>
        <w:spacing w:after="0"/>
        <w:rPr>
          <w:sz w:val="20"/>
          <w:szCs w:val="20"/>
          <w:color w:val="auto"/>
        </w:rPr>
      </w:pPr>
      <w:r>
        <w:rPr>
          <w:rFonts w:ascii="Arial" w:cs="Arial" w:eastAsia="Arial" w:hAnsi="Arial"/>
          <w:sz w:val="18"/>
          <w:szCs w:val="18"/>
          <w:color w:val="auto"/>
        </w:rPr>
        <w:t>138</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88</w:t>
      </w:r>
    </w:p>
    <w:p>
      <w:pPr>
        <w:spacing w:after="0" w:line="16" w:lineRule="exact"/>
        <w:rPr>
          <w:sz w:val="20"/>
          <w:szCs w:val="20"/>
          <w:color w:val="auto"/>
        </w:rPr>
      </w:pPr>
    </w:p>
    <w:p>
      <w:pPr>
        <w:ind w:left="960"/>
        <w:spacing w:after="0"/>
        <w:rPr>
          <w:sz w:val="20"/>
          <w:szCs w:val="20"/>
          <w:color w:val="auto"/>
        </w:rPr>
      </w:pPr>
      <w:r>
        <w:rPr>
          <w:rFonts w:ascii="Arial" w:cs="Arial" w:eastAsia="Arial" w:hAnsi="Arial"/>
          <w:sz w:val="18"/>
          <w:szCs w:val="18"/>
          <w:color w:val="auto"/>
        </w:rPr>
        <w:t>2</w:t>
      </w:r>
    </w:p>
    <w:p>
      <w:pPr>
        <w:spacing w:after="0" w:line="16" w:lineRule="exact"/>
        <w:rPr>
          <w:sz w:val="20"/>
          <w:szCs w:val="20"/>
          <w:color w:val="auto"/>
        </w:rPr>
      </w:pPr>
    </w:p>
    <w:p>
      <w:pPr>
        <w:ind w:left="960"/>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760"/>
        <w:spacing w:after="0"/>
        <w:rPr>
          <w:sz w:val="20"/>
          <w:szCs w:val="20"/>
          <w:color w:val="auto"/>
        </w:rPr>
      </w:pPr>
      <w:r>
        <w:rPr>
          <w:rFonts w:ascii="Arial" w:cs="Arial" w:eastAsia="Arial" w:hAnsi="Arial"/>
          <w:sz w:val="18"/>
          <w:szCs w:val="18"/>
          <w:color w:val="auto"/>
        </w:rPr>
        <w:t>~ $435</w:t>
      </w:r>
    </w:p>
    <w:p>
      <w:pPr>
        <w:spacing w:after="0" w:line="200" w:lineRule="exact"/>
        <w:rPr>
          <w:sz w:val="20"/>
          <w:szCs w:val="20"/>
          <w:color w:val="auto"/>
        </w:rPr>
      </w:pPr>
    </w:p>
    <w:p>
      <w:pPr>
        <w:spacing w:after="0" w:line="224" w:lineRule="exact"/>
        <w:rPr>
          <w:sz w:val="20"/>
          <w:szCs w:val="20"/>
          <w:color w:val="auto"/>
        </w:rPr>
      </w:pPr>
    </w:p>
    <w:p>
      <w:pPr>
        <w:ind w:left="500"/>
        <w:spacing w:after="0"/>
        <w:rPr>
          <w:sz w:val="20"/>
          <w:szCs w:val="20"/>
          <w:color w:val="auto"/>
        </w:rPr>
      </w:pPr>
      <w:r>
        <w:rPr>
          <w:rFonts w:ascii="Arial" w:cs="Arial" w:eastAsia="Arial" w:hAnsi="Arial"/>
          <w:sz w:val="18"/>
          <w:szCs w:val="18"/>
          <w:color w:val="auto"/>
        </w:rPr>
        <w:t>$0.06 +/- $0.04</w:t>
      </w:r>
    </w:p>
    <w:p>
      <w:pPr>
        <w:spacing w:after="0" w:line="24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0.17</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0.32</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0.03</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0.01</w:t>
      </w:r>
    </w:p>
    <w:p>
      <w:pPr>
        <w:spacing w:after="0" w:line="16" w:lineRule="exact"/>
        <w:rPr>
          <w:sz w:val="20"/>
          <w:szCs w:val="20"/>
          <w:color w:val="auto"/>
        </w:rPr>
      </w:pPr>
    </w:p>
    <w:p>
      <w:pPr>
        <w:ind w:left="800"/>
        <w:spacing w:after="0"/>
        <w:rPr>
          <w:sz w:val="20"/>
          <w:szCs w:val="20"/>
          <w:color w:val="auto"/>
        </w:rPr>
      </w:pPr>
      <w:r>
        <w:rPr>
          <w:rFonts w:ascii="Arial" w:cs="Arial" w:eastAsia="Arial" w:hAnsi="Arial"/>
          <w:sz w:val="18"/>
          <w:szCs w:val="18"/>
          <w:color w:val="auto"/>
        </w:rPr>
        <w:t>(0.03)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$0.56 +/- $0.03</w:t>
      </w:r>
    </w:p>
    <w:p>
      <w:pPr>
        <w:sectPr>
          <w:pgSz w:w="11900" w:h="16838" w:orient="portrait"/>
          <w:cols w:equalWidth="0" w:num="2">
            <w:col w:w="7680" w:space="720"/>
            <w:col w:w="2020"/>
          </w:cols>
          <w:pgMar w:left="340" w:top="791" w:right="1139" w:bottom="1440" w:gutter="0" w:footer="0" w:header="0"/>
          <w:type w:val="continuous"/>
        </w:sectPr>
      </w:pPr>
    </w:p>
    <w:bookmarkStart w:id="14" w:name="page15"/>
    <w:bookmarkEnd w:id="14"/>
    <w:p>
      <w:pPr>
        <w:jc w:val="center"/>
        <w:ind w:right="100"/>
        <w:spacing w:after="0"/>
        <w:rPr>
          <w:sz w:val="20"/>
          <w:szCs w:val="20"/>
          <w:color w:val="auto"/>
        </w:rPr>
      </w:pPr>
      <w:r>
        <w:rPr>
          <w:rFonts w:ascii="Arial" w:cs="Arial" w:eastAsia="Arial" w:hAnsi="Arial"/>
          <w:sz w:val="18"/>
          <w:szCs w:val="18"/>
          <w:b w:val="1"/>
          <w:bCs w:val="1"/>
          <w:color w:val="auto"/>
        </w:rPr>
        <w:t>Quarterly Revenue Trend (Unaudited)</w:t>
      </w:r>
    </w:p>
    <w:p>
      <w:pPr>
        <w:spacing w:after="0" w:line="233" w:lineRule="exact"/>
        <w:rPr>
          <w:sz w:val="20"/>
          <w:szCs w:val="20"/>
          <w:color w:val="auto"/>
        </w:rPr>
      </w:pPr>
    </w:p>
    <w:p>
      <w:pPr>
        <w:ind w:right="200" w:firstLine="394"/>
        <w:spacing w:after="0" w:line="289" w:lineRule="auto"/>
        <w:rPr>
          <w:sz w:val="20"/>
          <w:szCs w:val="20"/>
          <w:color w:val="auto"/>
        </w:rPr>
      </w:pPr>
      <w:r>
        <w:rPr>
          <w:rFonts w:ascii="Arial" w:cs="Arial" w:eastAsia="Arial" w:hAnsi="Arial"/>
          <w:sz w:val="16"/>
          <w:szCs w:val="16"/>
          <w:color w:val="auto"/>
        </w:rPr>
        <w:t>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193"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8"/>
                <w:szCs w:val="18"/>
                <w:b w:val="1"/>
                <w:bCs w:val="1"/>
                <w:color w:val="auto"/>
              </w:rPr>
              <w:t>End market</w:t>
            </w:r>
          </w:p>
        </w:tc>
        <w:tc>
          <w:tcPr>
            <w:tcW w:w="400" w:type="dxa"/>
            <w:vAlign w:val="bottom"/>
            <w:tcBorders>
              <w:top w:val="single" w:sz="8" w:color="auto"/>
            </w:tcBorders>
          </w:tcPr>
          <w:p>
            <w:pPr>
              <w:spacing w:after="0"/>
              <w:rPr>
                <w:sz w:val="21"/>
                <w:szCs w:val="21"/>
                <w:color w:val="auto"/>
              </w:rPr>
            </w:pPr>
          </w:p>
        </w:tc>
        <w:tc>
          <w:tcPr>
            <w:tcW w:w="6820" w:type="dxa"/>
            <w:vAlign w:val="bottom"/>
            <w:tcBorders>
              <w:top w:val="single" w:sz="8" w:color="auto"/>
            </w:tcBorders>
          </w:tcPr>
          <w:p>
            <w:pPr>
              <w:ind w:left="20"/>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6820" w:type="dxa"/>
            <w:vAlign w:val="bottom"/>
            <w:tcBorders>
              <w:bottom w:val="single" w:sz="8" w:color="auto"/>
            </w:tcBorders>
          </w:tcPr>
          <w:p>
            <w:pPr>
              <w:spacing w:after="0"/>
              <w:rPr>
                <w:sz w:val="2"/>
                <w:szCs w:val="2"/>
                <w:color w:val="auto"/>
              </w:rPr>
            </w:pP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Data center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Cloud and on-premise Artificial intelligence (AI) systems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network-attached storage (NAS)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servers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systems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Data center interconnect (DCI)</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Carrier infrastructure</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Digital Subscriber Line Access Multiplexers (DSLAMs)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Optical transport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Routers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Wireless radio access network (RAN) systems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Enterprise networking</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Campus and small medium enterprise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Campus and small medium enterprise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Network appliances (firewalls, and load balancers)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Workstations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Consumer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Broadband gateways and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Home data storage</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Home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Printers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Set-top boxes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Automotive/industrial</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Advanced driver-assistance systems (ADAS)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In-vehicle networking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Industrial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United States military and government solutions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Video surveillance</w:t>
            </w:r>
          </w:p>
        </w:tc>
      </w:tr>
    </w:tbl>
    <w:p>
      <w:pPr>
        <w:sectPr>
          <w:pgSz w:w="11900" w:h="16838" w:orient="portrait"/>
          <w:cols w:equalWidth="0" w:num="1">
            <w:col w:w="11340"/>
          </w:cols>
          <w:pgMar w:left="320" w:top="752" w:right="239" w:bottom="144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6120" w:type="dxa"/>
            <w:vAlign w:val="bottom"/>
            <w:gridSpan w:val="12"/>
          </w:tcPr>
          <w:p>
            <w:pPr>
              <w:jc w:val="center"/>
              <w:ind w:right="2120"/>
              <w:spacing w:after="0"/>
              <w:rPr>
                <w:sz w:val="20"/>
                <w:szCs w:val="20"/>
                <w:color w:val="auto"/>
              </w:rPr>
            </w:pPr>
            <w:r>
              <w:rPr>
                <w:rFonts w:ascii="Arial" w:cs="Arial" w:eastAsia="Arial" w:hAnsi="Arial"/>
                <w:sz w:val="18"/>
                <w:szCs w:val="18"/>
                <w:b w:val="1"/>
                <w:bCs w:val="1"/>
                <w:color w:val="auto"/>
                <w:w w:val="90"/>
              </w:rPr>
              <w:t>Quarterly Revenue Trend (Unaudited) (Continued)</w:t>
            </w:r>
          </w:p>
        </w:tc>
        <w:tc>
          <w:tcPr>
            <w:tcW w:w="1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3"/>
        </w:trPr>
        <w:tc>
          <w:tcPr>
            <w:tcW w:w="218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0" w:type="dxa"/>
            <w:vAlign w:val="bottom"/>
            <w:tcBorders>
              <w:bottom w:val="single" w:sz="8" w:color="auto"/>
            </w:tcBorders>
            <w:gridSpan w:val="3"/>
          </w:tcPr>
          <w:p>
            <w:pPr>
              <w:jc w:val="center"/>
              <w:ind w:right="100"/>
              <w:spacing w:after="0"/>
              <w:rPr>
                <w:sz w:val="20"/>
                <w:szCs w:val="20"/>
                <w:color w:val="auto"/>
              </w:rPr>
            </w:pPr>
            <w:r>
              <w:rPr>
                <w:rFonts w:ascii="Arial" w:cs="Arial" w:eastAsia="Arial" w:hAnsi="Arial"/>
                <w:sz w:val="18"/>
                <w:szCs w:val="18"/>
                <w:b w:val="1"/>
                <w:bCs w:val="1"/>
                <w:color w:val="auto"/>
                <w:w w:val="88"/>
              </w:rPr>
              <w:t>Three Months Ended</w:t>
            </w:r>
          </w:p>
        </w:tc>
        <w:tc>
          <w:tcPr>
            <w:tcW w:w="2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420" w:type="dxa"/>
            <w:vAlign w:val="bottom"/>
            <w:tcBorders>
              <w:bottom w:val="single" w:sz="8" w:color="auto"/>
            </w:tcBorders>
            <w:gridSpan w:val="5"/>
          </w:tcPr>
          <w:p>
            <w:pPr>
              <w:ind w:left="1460"/>
              <w:spacing w:after="0"/>
              <w:rPr>
                <w:sz w:val="20"/>
                <w:szCs w:val="20"/>
                <w:color w:val="auto"/>
              </w:rPr>
            </w:pPr>
            <w:r>
              <w:rPr>
                <w:rFonts w:ascii="Arial" w:cs="Arial" w:eastAsia="Arial" w:hAnsi="Arial"/>
                <w:sz w:val="18"/>
                <w:szCs w:val="18"/>
                <w:b w:val="1"/>
                <w:bCs w:val="1"/>
                <w:color w:val="auto"/>
              </w:rPr>
              <w:t>% Change</w:t>
            </w:r>
          </w:p>
        </w:tc>
        <w:tc>
          <w:tcPr>
            <w:tcW w:w="13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0"/>
              <w:spacing w:after="0" w:line="164" w:lineRule="exact"/>
              <w:rPr>
                <w:sz w:val="20"/>
                <w:szCs w:val="20"/>
                <w:color w:val="auto"/>
              </w:rPr>
            </w:pPr>
            <w:r>
              <w:rPr>
                <w:rFonts w:ascii="Arial" w:cs="Arial" w:eastAsia="Arial" w:hAnsi="Arial"/>
                <w:sz w:val="18"/>
                <w:szCs w:val="18"/>
                <w:b w:val="1"/>
                <w:bCs w:val="1"/>
                <w:color w:val="auto"/>
                <w:w w:val="92"/>
              </w:rPr>
              <w:t>Revenue by End Market (In</w:t>
            </w:r>
          </w:p>
        </w:tc>
        <w:tc>
          <w:tcPr>
            <w:tcW w:w="300" w:type="dxa"/>
            <w:vAlign w:val="bottom"/>
          </w:tcPr>
          <w:p>
            <w:pPr>
              <w:spacing w:after="0"/>
              <w:rPr>
                <w:sz w:val="14"/>
                <w:szCs w:val="14"/>
                <w:color w:val="auto"/>
              </w:rPr>
            </w:pPr>
          </w:p>
        </w:tc>
        <w:tc>
          <w:tcPr>
            <w:tcW w:w="1340" w:type="dxa"/>
            <w:vAlign w:val="bottom"/>
          </w:tcPr>
          <w:p>
            <w:pPr>
              <w:jc w:val="right"/>
              <w:ind w:right="392"/>
              <w:spacing w:after="0" w:line="164" w:lineRule="exact"/>
              <w:rPr>
                <w:sz w:val="20"/>
                <w:szCs w:val="20"/>
                <w:color w:val="auto"/>
              </w:rPr>
            </w:pPr>
            <w:r>
              <w:rPr>
                <w:rFonts w:ascii="Arial" w:cs="Arial" w:eastAsia="Arial" w:hAnsi="Arial"/>
                <w:sz w:val="18"/>
                <w:szCs w:val="18"/>
                <w:b w:val="1"/>
                <w:bCs w:val="1"/>
                <w:color w:val="auto"/>
              </w:rPr>
              <w:t>April 30,</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540" w:type="dxa"/>
            <w:vAlign w:val="bottom"/>
            <w:gridSpan w:val="2"/>
          </w:tcPr>
          <w:p>
            <w:pPr>
              <w:jc w:val="center"/>
              <w:ind w:right="380"/>
              <w:spacing w:after="0" w:line="164" w:lineRule="exact"/>
              <w:rPr>
                <w:sz w:val="20"/>
                <w:szCs w:val="20"/>
                <w:color w:val="auto"/>
              </w:rPr>
            </w:pPr>
            <w:r>
              <w:rPr>
                <w:rFonts w:ascii="Arial" w:cs="Arial" w:eastAsia="Arial" w:hAnsi="Arial"/>
                <w:sz w:val="18"/>
                <w:szCs w:val="18"/>
                <w:b w:val="1"/>
                <w:bCs w:val="1"/>
                <w:color w:val="auto"/>
                <w:w w:val="88"/>
              </w:rPr>
              <w:t>January 29,</w:t>
            </w:r>
          </w:p>
        </w:tc>
        <w:tc>
          <w:tcPr>
            <w:tcW w:w="280" w:type="dxa"/>
            <w:vAlign w:val="bottom"/>
          </w:tcPr>
          <w:p>
            <w:pPr>
              <w:spacing w:after="0"/>
              <w:rPr>
                <w:sz w:val="14"/>
                <w:szCs w:val="14"/>
                <w:color w:val="auto"/>
              </w:rPr>
            </w:pPr>
          </w:p>
        </w:tc>
        <w:tc>
          <w:tcPr>
            <w:tcW w:w="1380" w:type="dxa"/>
            <w:vAlign w:val="bottom"/>
          </w:tcPr>
          <w:p>
            <w:pPr>
              <w:jc w:val="right"/>
              <w:ind w:right="492"/>
              <w:spacing w:after="0" w:line="164" w:lineRule="exact"/>
              <w:rPr>
                <w:sz w:val="20"/>
                <w:szCs w:val="20"/>
                <w:color w:val="auto"/>
              </w:rPr>
            </w:pPr>
            <w:r>
              <w:rPr>
                <w:rFonts w:ascii="Arial" w:cs="Arial" w:eastAsia="Arial" w:hAnsi="Arial"/>
                <w:sz w:val="18"/>
                <w:szCs w:val="18"/>
                <w:b w:val="1"/>
                <w:bCs w:val="1"/>
                <w:color w:val="auto"/>
              </w:rPr>
              <w:t>May 1,</w:t>
            </w:r>
          </w:p>
        </w:tc>
        <w:tc>
          <w:tcPr>
            <w:tcW w:w="120" w:type="dxa"/>
            <w:vAlign w:val="bottom"/>
          </w:tcPr>
          <w:p>
            <w:pPr>
              <w:spacing w:after="0"/>
              <w:rPr>
                <w:sz w:val="14"/>
                <w:szCs w:val="14"/>
                <w:color w:val="auto"/>
              </w:rPr>
            </w:pPr>
          </w:p>
        </w:tc>
        <w:tc>
          <w:tcPr>
            <w:tcW w:w="180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91"/>
              </w:rPr>
              <w:t>YoY</w:t>
            </w:r>
          </w:p>
        </w:tc>
        <w:tc>
          <w:tcPr>
            <w:tcW w:w="120" w:type="dxa"/>
            <w:vAlign w:val="bottom"/>
            <w:gridSpan w:val="2"/>
            <w:vMerge w:val="restart"/>
          </w:tcPr>
          <w:p>
            <w:pPr>
              <w:spacing w:after="0"/>
              <w:rPr>
                <w:sz w:val="14"/>
                <w:szCs w:val="14"/>
                <w:color w:val="auto"/>
              </w:rPr>
            </w:pPr>
          </w:p>
        </w:tc>
        <w:tc>
          <w:tcPr>
            <w:tcW w:w="500" w:type="dxa"/>
            <w:vAlign w:val="bottom"/>
            <w:gridSpan w:val="2"/>
            <w:vMerge w:val="restart"/>
          </w:tcPr>
          <w:p>
            <w:pPr>
              <w:spacing w:after="0"/>
              <w:rPr>
                <w:sz w:val="14"/>
                <w:szCs w:val="14"/>
                <w:color w:val="auto"/>
              </w:rPr>
            </w:pPr>
          </w:p>
        </w:tc>
        <w:tc>
          <w:tcPr>
            <w:tcW w:w="1300" w:type="dxa"/>
            <w:vAlign w:val="bottom"/>
            <w:vMerge w:val="restart"/>
          </w:tcPr>
          <w:p>
            <w:pPr>
              <w:jc w:val="center"/>
              <w:ind w:right="412"/>
              <w:spacing w:after="0"/>
              <w:rPr>
                <w:sz w:val="20"/>
                <w:szCs w:val="20"/>
                <w:color w:val="auto"/>
              </w:rPr>
            </w:pPr>
            <w:r>
              <w:rPr>
                <w:rFonts w:ascii="Arial" w:cs="Arial" w:eastAsia="Arial" w:hAnsi="Arial"/>
                <w:sz w:val="18"/>
                <w:szCs w:val="18"/>
                <w:b w:val="1"/>
                <w:bCs w:val="1"/>
                <w:color w:val="auto"/>
                <w:w w:val="92"/>
              </w:rPr>
              <w:t>QoQ</w:t>
            </w:r>
          </w:p>
        </w:tc>
        <w:tc>
          <w:tcPr>
            <w:tcW w:w="0" w:type="dxa"/>
            <w:vAlign w:val="bottom"/>
          </w:tcPr>
          <w:p>
            <w:pPr>
              <w:spacing w:after="0"/>
              <w:rPr>
                <w:sz w:val="1"/>
                <w:szCs w:val="1"/>
                <w:color w:val="auto"/>
              </w:rPr>
            </w:pPr>
          </w:p>
        </w:tc>
      </w:tr>
      <w:tr>
        <w:trPr>
          <w:trHeight w:val="223"/>
        </w:trPr>
        <w:tc>
          <w:tcPr>
            <w:tcW w:w="2180" w:type="dxa"/>
            <w:vAlign w:val="bottom"/>
            <w:tcBorders>
              <w:bottom w:val="single" w:sz="8" w:color="CCEEFF"/>
            </w:tcBorders>
          </w:tcPr>
          <w:p>
            <w:pPr>
              <w:ind w:left="20"/>
              <w:spacing w:after="0"/>
              <w:rPr>
                <w:sz w:val="20"/>
                <w:szCs w:val="20"/>
                <w:color w:val="auto"/>
              </w:rPr>
            </w:pPr>
            <w:r>
              <w:rPr>
                <w:rFonts w:ascii="Arial" w:cs="Arial" w:eastAsia="Arial" w:hAnsi="Arial"/>
                <w:sz w:val="18"/>
                <w:szCs w:val="18"/>
                <w:b w:val="1"/>
                <w:bCs w:val="1"/>
                <w:color w:val="auto"/>
              </w:rPr>
              <w:t>millions)</w:t>
            </w:r>
          </w:p>
        </w:tc>
        <w:tc>
          <w:tcPr>
            <w:tcW w:w="30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ind w:right="552"/>
              <w:spacing w:after="0"/>
              <w:rPr>
                <w:sz w:val="20"/>
                <w:szCs w:val="20"/>
                <w:color w:val="auto"/>
              </w:rPr>
            </w:pPr>
            <w:r>
              <w:rPr>
                <w:rFonts w:ascii="Arial" w:cs="Arial" w:eastAsia="Arial" w:hAnsi="Arial"/>
                <w:sz w:val="18"/>
                <w:szCs w:val="18"/>
                <w:b w:val="1"/>
                <w:bCs w:val="1"/>
                <w:color w:val="auto"/>
              </w:rPr>
              <w:t>2022</w:t>
            </w: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420" w:type="dxa"/>
            <w:vAlign w:val="bottom"/>
            <w:tcBorders>
              <w:bottom w:val="single" w:sz="8" w:color="auto"/>
            </w:tcBorders>
          </w:tcPr>
          <w:p>
            <w:pPr>
              <w:jc w:val="center"/>
              <w:ind w:right="172"/>
              <w:spacing w:after="0"/>
              <w:rPr>
                <w:sz w:val="20"/>
                <w:szCs w:val="20"/>
                <w:color w:val="auto"/>
              </w:rPr>
            </w:pPr>
            <w:r>
              <w:rPr>
                <w:rFonts w:ascii="Arial" w:cs="Arial" w:eastAsia="Arial" w:hAnsi="Arial"/>
                <w:sz w:val="18"/>
                <w:szCs w:val="18"/>
                <w:b w:val="1"/>
                <w:bCs w:val="1"/>
                <w:color w:val="auto"/>
                <w:w w:val="89"/>
              </w:rPr>
              <w:t>2022</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80" w:type="dxa"/>
            <w:vAlign w:val="bottom"/>
            <w:tcBorders>
              <w:bottom w:val="single" w:sz="8" w:color="auto"/>
            </w:tcBorders>
          </w:tcPr>
          <w:p>
            <w:pPr>
              <w:jc w:val="right"/>
              <w:ind w:right="572"/>
              <w:spacing w:after="0"/>
              <w:rPr>
                <w:sz w:val="20"/>
                <w:szCs w:val="20"/>
                <w:color w:val="auto"/>
              </w:rPr>
            </w:pPr>
            <w:r>
              <w:rPr>
                <w:rFonts w:ascii="Arial" w:cs="Arial" w:eastAsia="Arial" w:hAnsi="Arial"/>
                <w:sz w:val="18"/>
                <w:szCs w:val="18"/>
                <w:b w:val="1"/>
                <w:bCs w:val="1"/>
                <w:color w:val="auto"/>
              </w:rPr>
              <w:t>2021</w:t>
            </w:r>
          </w:p>
        </w:tc>
        <w:tc>
          <w:tcPr>
            <w:tcW w:w="120" w:type="dxa"/>
            <w:vAlign w:val="bottom"/>
            <w:tcBorders>
              <w:bottom w:val="single" w:sz="8" w:color="CCEEFF"/>
            </w:tcBorders>
          </w:tcPr>
          <w:p>
            <w:pPr>
              <w:spacing w:after="0"/>
              <w:rPr>
                <w:sz w:val="19"/>
                <w:szCs w:val="19"/>
                <w:color w:val="auto"/>
              </w:rPr>
            </w:pPr>
          </w:p>
        </w:tc>
        <w:tc>
          <w:tcPr>
            <w:tcW w:w="1800" w:type="dxa"/>
            <w:vAlign w:val="bottom"/>
            <w:tcBorders>
              <w:bottom w:val="single" w:sz="8" w:color="auto"/>
            </w:tcBorders>
            <w:vMerge w:val="continue"/>
          </w:tcPr>
          <w:p>
            <w:pPr>
              <w:spacing w:after="0"/>
              <w:rPr>
                <w:sz w:val="19"/>
                <w:szCs w:val="19"/>
                <w:color w:val="auto"/>
              </w:rPr>
            </w:pPr>
          </w:p>
        </w:tc>
        <w:tc>
          <w:tcPr>
            <w:tcW w:w="120" w:type="dxa"/>
            <w:vAlign w:val="bottom"/>
            <w:tcBorders>
              <w:bottom w:val="single" w:sz="8" w:color="CCEEFF"/>
            </w:tcBorders>
            <w:gridSpan w:val="2"/>
            <w:vMerge w:val="continue"/>
          </w:tcPr>
          <w:p>
            <w:pPr>
              <w:spacing w:after="0"/>
              <w:rPr>
                <w:sz w:val="19"/>
                <w:szCs w:val="19"/>
                <w:color w:val="auto"/>
              </w:rPr>
            </w:pPr>
          </w:p>
        </w:tc>
        <w:tc>
          <w:tcPr>
            <w:tcW w:w="500" w:type="dxa"/>
            <w:vAlign w:val="bottom"/>
            <w:tcBorders>
              <w:bottom w:val="single" w:sz="8" w:color="auto"/>
            </w:tcBorders>
            <w:gridSpan w:val="2"/>
            <w:vMerge w:val="continue"/>
          </w:tcPr>
          <w:p>
            <w:pPr>
              <w:spacing w:after="0"/>
              <w:rPr>
                <w:sz w:val="19"/>
                <w:szCs w:val="19"/>
                <w:color w:val="auto"/>
              </w:rPr>
            </w:pPr>
          </w:p>
        </w:tc>
        <w:tc>
          <w:tcPr>
            <w:tcW w:w="130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3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640.5</w:t>
            </w:r>
          </w:p>
        </w:tc>
        <w:tc>
          <w:tcPr>
            <w:tcW w:w="38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574.1</w:t>
            </w: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jc w:val="center"/>
              <w:ind w:right="72"/>
              <w:spacing w:after="0"/>
              <w:rPr>
                <w:sz w:val="20"/>
                <w:szCs w:val="20"/>
                <w:color w:val="auto"/>
              </w:rPr>
            </w:pPr>
            <w:r>
              <w:rPr>
                <w:rFonts w:ascii="Arial" w:cs="Arial" w:eastAsia="Arial" w:hAnsi="Arial"/>
                <w:sz w:val="18"/>
                <w:szCs w:val="18"/>
                <w:color w:val="auto"/>
                <w:w w:val="79"/>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277.1</w:t>
            </w:r>
          </w:p>
        </w:tc>
        <w:tc>
          <w:tcPr>
            <w:tcW w:w="120" w:type="dxa"/>
            <w:vAlign w:val="bottom"/>
            <w:shd w:val="clear" w:color="auto" w:fill="CCEEFF"/>
          </w:tcPr>
          <w:p>
            <w:pPr>
              <w:spacing w:after="0"/>
              <w:rPr>
                <w:sz w:val="18"/>
                <w:szCs w:val="18"/>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131 %</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Carrier infrastructure</w:t>
            </w:r>
          </w:p>
        </w:tc>
        <w:tc>
          <w:tcPr>
            <w:tcW w:w="30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252.0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241.0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167.6</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50 %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24"/>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30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286.6</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174.8</w:t>
            </w:r>
          </w:p>
        </w:tc>
        <w:tc>
          <w:tcPr>
            <w:tcW w:w="120" w:type="dxa"/>
            <w:vAlign w:val="bottom"/>
            <w:shd w:val="clear" w:color="auto" w:fill="CCEEFF"/>
          </w:tcPr>
          <w:p>
            <w:pPr>
              <w:spacing w:after="0"/>
              <w:rPr>
                <w:sz w:val="19"/>
                <w:szCs w:val="19"/>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Consumer</w:t>
            </w:r>
          </w:p>
        </w:tc>
        <w:tc>
          <w:tcPr>
            <w:tcW w:w="30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178.5</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185.4</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166.7</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7 %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Automotive/industrial</w:t>
            </w:r>
          </w:p>
        </w:tc>
        <w:tc>
          <w:tcPr>
            <w:tcW w:w="30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89.3</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46.1</w:t>
            </w:r>
          </w:p>
        </w:tc>
        <w:tc>
          <w:tcPr>
            <w:tcW w:w="120" w:type="dxa"/>
            <w:vAlign w:val="bottom"/>
            <w:shd w:val="clear" w:color="auto" w:fill="CCEEFF"/>
          </w:tcPr>
          <w:p>
            <w:pPr>
              <w:spacing w:after="0"/>
              <w:rPr>
                <w:sz w:val="19"/>
                <w:szCs w:val="19"/>
                <w:color w:val="auto"/>
              </w:rPr>
            </w:pP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Arial" w:cs="Arial" w:eastAsia="Arial" w:hAnsi="Arial"/>
                <w:sz w:val="18"/>
                <w:szCs w:val="18"/>
                <w:b w:val="1"/>
                <w:bCs w:val="1"/>
                <w:color w:val="auto"/>
              </w:rPr>
              <w:t>Total Net Revenue</w:t>
            </w:r>
          </w:p>
        </w:tc>
        <w:tc>
          <w:tcPr>
            <w:tcW w:w="300" w:type="dxa"/>
            <w:vAlign w:val="bottom"/>
            <w:tcBorders>
              <w:bottom w:val="single" w:sz="8" w:color="auto"/>
            </w:tcBorders>
          </w:tcPr>
          <w:p>
            <w:pPr>
              <w:jc w:val="right"/>
              <w:ind w:right="112"/>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1,446.9</w:t>
            </w:r>
          </w:p>
        </w:tc>
        <w:tc>
          <w:tcPr>
            <w:tcW w:w="120" w:type="dxa"/>
            <w:vAlign w:val="bottom"/>
          </w:tcPr>
          <w:p>
            <w:pPr>
              <w:spacing w:after="0"/>
              <w:rPr>
                <w:sz w:val="18"/>
                <w:szCs w:val="18"/>
                <w:color w:val="auto"/>
              </w:rPr>
            </w:pPr>
          </w:p>
        </w:tc>
        <w:tc>
          <w:tcPr>
            <w:tcW w:w="26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w w:val="99"/>
              </w:rPr>
              <w:t>$</w:t>
            </w: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1,343.0</w:t>
            </w:r>
          </w:p>
        </w:tc>
        <w:tc>
          <w:tcPr>
            <w:tcW w:w="120" w:type="dxa"/>
            <w:vAlign w:val="bottom"/>
          </w:tcPr>
          <w:p>
            <w:pPr>
              <w:spacing w:after="0"/>
              <w:rPr>
                <w:sz w:val="18"/>
                <w:szCs w:val="18"/>
                <w:color w:val="auto"/>
              </w:rPr>
            </w:pPr>
          </w:p>
        </w:tc>
        <w:tc>
          <w:tcPr>
            <w:tcW w:w="280" w:type="dxa"/>
            <w:vAlign w:val="bottom"/>
            <w:tcBorders>
              <w:bottom w:val="single" w:sz="8" w:color="auto"/>
            </w:tcBorders>
          </w:tcPr>
          <w:p>
            <w:pPr>
              <w:jc w:val="center"/>
              <w:ind w:right="72"/>
              <w:spacing w:after="0"/>
              <w:rPr>
                <w:sz w:val="20"/>
                <w:szCs w:val="20"/>
                <w:color w:val="auto"/>
              </w:rPr>
            </w:pPr>
            <w:r>
              <w:rPr>
                <w:rFonts w:ascii="Arial" w:cs="Arial" w:eastAsia="Arial" w:hAnsi="Arial"/>
                <w:sz w:val="18"/>
                <w:szCs w:val="18"/>
                <w:color w:val="auto"/>
                <w:w w:val="79"/>
              </w:rPr>
              <w:t>$</w:t>
            </w: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832.3</w:t>
            </w:r>
          </w:p>
        </w:tc>
        <w:tc>
          <w:tcPr>
            <w:tcW w:w="120" w:type="dxa"/>
            <w:vAlign w:val="bottom"/>
          </w:tcPr>
          <w:p>
            <w:pPr>
              <w:spacing w:after="0"/>
              <w:rPr>
                <w:sz w:val="18"/>
                <w:szCs w:val="18"/>
                <w:color w:val="auto"/>
              </w:rPr>
            </w:pP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74 %</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48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0"/>
        </w:trPr>
        <w:tc>
          <w:tcPr>
            <w:tcW w:w="2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420" w:type="dxa"/>
            <w:vAlign w:val="bottom"/>
            <w:tcBorders>
              <w:bottom w:val="single" w:sz="8" w:color="auto"/>
            </w:tcBorders>
            <w:gridSpan w:val="5"/>
          </w:tcPr>
          <w:p>
            <w:pPr>
              <w:jc w:val="center"/>
              <w:ind w:right="600"/>
              <w:spacing w:after="0"/>
              <w:rPr>
                <w:sz w:val="20"/>
                <w:szCs w:val="20"/>
                <w:color w:val="auto"/>
              </w:rPr>
            </w:pPr>
            <w:r>
              <w:rPr>
                <w:rFonts w:ascii="Arial" w:cs="Arial" w:eastAsia="Arial" w:hAnsi="Arial"/>
                <w:sz w:val="18"/>
                <w:szCs w:val="18"/>
                <w:b w:val="1"/>
                <w:bCs w:val="1"/>
                <w:color w:val="auto"/>
                <w:w w:val="88"/>
              </w:rPr>
              <w:t>Three Months Ended</w:t>
            </w:r>
          </w:p>
        </w:tc>
        <w:tc>
          <w:tcPr>
            <w:tcW w:w="13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0"/>
              <w:spacing w:after="0" w:line="164" w:lineRule="exact"/>
              <w:rPr>
                <w:sz w:val="20"/>
                <w:szCs w:val="20"/>
                <w:color w:val="auto"/>
              </w:rPr>
            </w:pPr>
            <w:r>
              <w:rPr>
                <w:rFonts w:ascii="Arial" w:cs="Arial" w:eastAsia="Arial" w:hAnsi="Arial"/>
                <w:sz w:val="18"/>
                <w:szCs w:val="18"/>
                <w:b w:val="1"/>
                <w:bCs w:val="1"/>
                <w:color w:val="auto"/>
                <w:w w:val="95"/>
              </w:rPr>
              <w:t>Revenue by End Market %</w:t>
            </w:r>
          </w:p>
        </w:tc>
        <w:tc>
          <w:tcPr>
            <w:tcW w:w="30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00" w:type="dxa"/>
            <w:vAlign w:val="bottom"/>
            <w:gridSpan w:val="2"/>
          </w:tcPr>
          <w:p>
            <w:pPr>
              <w:jc w:val="right"/>
              <w:ind w:right="680"/>
              <w:spacing w:after="0" w:line="164" w:lineRule="exact"/>
              <w:rPr>
                <w:sz w:val="20"/>
                <w:szCs w:val="20"/>
                <w:color w:val="auto"/>
              </w:rPr>
            </w:pPr>
            <w:r>
              <w:rPr>
                <w:rFonts w:ascii="Arial" w:cs="Arial" w:eastAsia="Arial" w:hAnsi="Arial"/>
                <w:sz w:val="18"/>
                <w:szCs w:val="18"/>
                <w:b w:val="1"/>
                <w:bCs w:val="1"/>
                <w:color w:val="auto"/>
              </w:rPr>
              <w:t>April 30,</w:t>
            </w:r>
          </w:p>
        </w:tc>
        <w:tc>
          <w:tcPr>
            <w:tcW w:w="2420" w:type="dxa"/>
            <w:vAlign w:val="bottom"/>
            <w:gridSpan w:val="5"/>
          </w:tcPr>
          <w:p>
            <w:pPr>
              <w:jc w:val="center"/>
              <w:ind w:right="600"/>
              <w:spacing w:after="0" w:line="164" w:lineRule="exact"/>
              <w:rPr>
                <w:sz w:val="20"/>
                <w:szCs w:val="20"/>
                <w:color w:val="auto"/>
              </w:rPr>
            </w:pPr>
            <w:r>
              <w:rPr>
                <w:rFonts w:ascii="Arial" w:cs="Arial" w:eastAsia="Arial" w:hAnsi="Arial"/>
                <w:sz w:val="18"/>
                <w:szCs w:val="18"/>
                <w:b w:val="1"/>
                <w:bCs w:val="1"/>
                <w:color w:val="auto"/>
                <w:w w:val="90"/>
              </w:rPr>
              <w:t>January 29,</w:t>
            </w:r>
          </w:p>
        </w:tc>
        <w:tc>
          <w:tcPr>
            <w:tcW w:w="1300" w:type="dxa"/>
            <w:vAlign w:val="bottom"/>
          </w:tcPr>
          <w:p>
            <w:pPr>
              <w:jc w:val="center"/>
              <w:ind w:right="392"/>
              <w:spacing w:after="0" w:line="164" w:lineRule="exact"/>
              <w:rPr>
                <w:sz w:val="20"/>
                <w:szCs w:val="20"/>
                <w:color w:val="auto"/>
              </w:rPr>
            </w:pPr>
            <w:r>
              <w:rPr>
                <w:rFonts w:ascii="Arial" w:cs="Arial" w:eastAsia="Arial" w:hAnsi="Arial"/>
                <w:sz w:val="18"/>
                <w:szCs w:val="18"/>
                <w:b w:val="1"/>
                <w:bCs w:val="1"/>
                <w:color w:val="auto"/>
                <w:w w:val="90"/>
              </w:rPr>
              <w:t>May 1,</w:t>
            </w:r>
          </w:p>
        </w:tc>
        <w:tc>
          <w:tcPr>
            <w:tcW w:w="0" w:type="dxa"/>
            <w:vAlign w:val="bottom"/>
          </w:tcPr>
          <w:p>
            <w:pPr>
              <w:spacing w:after="0"/>
              <w:rPr>
                <w:sz w:val="1"/>
                <w:szCs w:val="1"/>
                <w:color w:val="auto"/>
              </w:rPr>
            </w:pPr>
          </w:p>
        </w:tc>
      </w:tr>
      <w:tr>
        <w:trPr>
          <w:trHeight w:val="223"/>
        </w:trPr>
        <w:tc>
          <w:tcPr>
            <w:tcW w:w="2180" w:type="dxa"/>
            <w:vAlign w:val="bottom"/>
            <w:tcBorders>
              <w:bottom w:val="single" w:sz="8" w:color="CCEEFF"/>
            </w:tcBorders>
          </w:tcPr>
          <w:p>
            <w:pPr>
              <w:ind w:left="20"/>
              <w:spacing w:after="0"/>
              <w:rPr>
                <w:sz w:val="20"/>
                <w:szCs w:val="20"/>
                <w:color w:val="auto"/>
              </w:rPr>
            </w:pPr>
            <w:r>
              <w:rPr>
                <w:rFonts w:ascii="Arial" w:cs="Arial" w:eastAsia="Arial" w:hAnsi="Arial"/>
                <w:sz w:val="18"/>
                <w:szCs w:val="18"/>
                <w:b w:val="1"/>
                <w:bCs w:val="1"/>
                <w:color w:val="auto"/>
              </w:rPr>
              <w:t>of Total</w:t>
            </w:r>
          </w:p>
        </w:tc>
        <w:tc>
          <w:tcPr>
            <w:tcW w:w="300" w:type="dxa"/>
            <w:vAlign w:val="bottom"/>
            <w:tcBorders>
              <w:bottom w:val="single" w:sz="8" w:color="CCEEFF"/>
            </w:tcBorders>
          </w:tcPr>
          <w:p>
            <w:pPr>
              <w:spacing w:after="0"/>
              <w:rPr>
                <w:sz w:val="19"/>
                <w:szCs w:val="19"/>
                <w:color w:val="auto"/>
              </w:rPr>
            </w:pPr>
          </w:p>
        </w:tc>
        <w:tc>
          <w:tcPr>
            <w:tcW w:w="134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260" w:type="dxa"/>
            <w:vAlign w:val="bottom"/>
            <w:tcBorders>
              <w:bottom w:val="single" w:sz="8" w:color="CCEEFF"/>
            </w:tcBorders>
          </w:tcPr>
          <w:p>
            <w:pPr>
              <w:spacing w:after="0"/>
              <w:rPr>
                <w:sz w:val="19"/>
                <w:szCs w:val="19"/>
                <w:color w:val="auto"/>
              </w:rPr>
            </w:pPr>
          </w:p>
        </w:tc>
        <w:tc>
          <w:tcPr>
            <w:tcW w:w="1420" w:type="dxa"/>
            <w:vAlign w:val="bottom"/>
            <w:tcBorders>
              <w:bottom w:val="single" w:sz="8" w:color="CCEEFF"/>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80" w:type="dxa"/>
            <w:vAlign w:val="bottom"/>
            <w:tcBorders>
              <w:bottom w:val="single" w:sz="8" w:color="auto"/>
            </w:tcBorders>
          </w:tcPr>
          <w:p>
            <w:pPr>
              <w:jc w:val="right"/>
              <w:ind w:right="632"/>
              <w:spacing w:after="0"/>
              <w:rPr>
                <w:sz w:val="20"/>
                <w:szCs w:val="20"/>
                <w:color w:val="auto"/>
              </w:rPr>
            </w:pPr>
            <w:r>
              <w:rPr>
                <w:rFonts w:ascii="Arial" w:cs="Arial" w:eastAsia="Arial" w:hAnsi="Arial"/>
                <w:sz w:val="18"/>
                <w:szCs w:val="18"/>
                <w:b w:val="1"/>
                <w:bCs w:val="1"/>
                <w:color w:val="auto"/>
              </w:rPr>
              <w:t>2022</w:t>
            </w:r>
          </w:p>
        </w:tc>
        <w:tc>
          <w:tcPr>
            <w:tcW w:w="120" w:type="dxa"/>
            <w:vAlign w:val="bottom"/>
            <w:tcBorders>
              <w:bottom w:val="single" w:sz="8" w:color="CCEEFF"/>
            </w:tcBorders>
          </w:tcPr>
          <w:p>
            <w:pPr>
              <w:spacing w:after="0"/>
              <w:rPr>
                <w:sz w:val="19"/>
                <w:szCs w:val="19"/>
                <w:color w:val="auto"/>
              </w:rPr>
            </w:pPr>
          </w:p>
        </w:tc>
        <w:tc>
          <w:tcPr>
            <w:tcW w:w="18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84"/>
              </w:rPr>
              <w:t>2022</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20" w:type="dxa"/>
            <w:vAlign w:val="bottom"/>
            <w:tcBorders>
              <w:bottom w:val="single" w:sz="8" w:color="CCEEFF"/>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center"/>
              <w:ind w:right="392"/>
              <w:spacing w:after="0"/>
              <w:rPr>
                <w:sz w:val="20"/>
                <w:szCs w:val="20"/>
                <w:color w:val="auto"/>
              </w:rPr>
            </w:pPr>
            <w:r>
              <w:rPr>
                <w:rFonts w:ascii="Arial" w:cs="Arial" w:eastAsia="Arial" w:hAnsi="Arial"/>
                <w:sz w:val="18"/>
                <w:szCs w:val="18"/>
                <w:b w:val="1"/>
                <w:bCs w:val="1"/>
                <w:color w:val="auto"/>
                <w:w w:val="84"/>
              </w:rPr>
              <w:t>2021</w:t>
            </w: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Data center</w:t>
            </w:r>
          </w:p>
        </w:tc>
        <w:tc>
          <w:tcPr>
            <w:tcW w:w="30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44 %</w:t>
            </w:r>
          </w:p>
        </w:tc>
        <w:tc>
          <w:tcPr>
            <w:tcW w:w="120" w:type="dxa"/>
            <w:vAlign w:val="bottom"/>
            <w:shd w:val="clear" w:color="auto" w:fill="CCEEFF"/>
          </w:tcPr>
          <w:p>
            <w:pPr>
              <w:spacing w:after="0"/>
              <w:rPr>
                <w:sz w:val="18"/>
                <w:szCs w:val="18"/>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Carrier infrastructure</w:t>
            </w:r>
          </w:p>
        </w:tc>
        <w:tc>
          <w:tcPr>
            <w:tcW w:w="3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18 %</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18 %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4"/>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Enterprise networking</w:t>
            </w:r>
          </w:p>
        </w:tc>
        <w:tc>
          <w:tcPr>
            <w:tcW w:w="30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120" w:type="dxa"/>
            <w:vAlign w:val="bottom"/>
            <w:shd w:val="clear" w:color="auto" w:fill="CCEEFF"/>
          </w:tcPr>
          <w:p>
            <w:pPr>
              <w:spacing w:after="0"/>
              <w:rPr>
                <w:sz w:val="19"/>
                <w:szCs w:val="19"/>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Arial" w:cs="Arial" w:eastAsia="Arial" w:hAnsi="Arial"/>
                <w:sz w:val="18"/>
                <w:szCs w:val="18"/>
                <w:color w:val="auto"/>
              </w:rPr>
              <w:t>Consumer</w:t>
            </w:r>
          </w:p>
        </w:tc>
        <w:tc>
          <w:tcPr>
            <w:tcW w:w="3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14 %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Automotive/industrial</w:t>
            </w:r>
          </w:p>
        </w:tc>
        <w:tc>
          <w:tcPr>
            <w:tcW w:w="30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20" w:type="dxa"/>
            <w:vAlign w:val="bottom"/>
            <w:shd w:val="clear" w:color="auto" w:fill="CCEEFF"/>
          </w:tcPr>
          <w:p>
            <w:pPr>
              <w:spacing w:after="0"/>
              <w:rPr>
                <w:sz w:val="19"/>
                <w:szCs w:val="19"/>
                <w:color w:val="auto"/>
              </w:rPr>
            </w:pP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Arial" w:cs="Arial" w:eastAsia="Arial" w:hAnsi="Arial"/>
                <w:sz w:val="18"/>
                <w:szCs w:val="18"/>
                <w:b w:val="1"/>
                <w:bCs w:val="1"/>
                <w:color w:val="auto"/>
              </w:rPr>
              <w:t>Total Net Revenue</w:t>
            </w:r>
          </w:p>
        </w:tc>
        <w:tc>
          <w:tcPr>
            <w:tcW w:w="3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120" w:type="dxa"/>
            <w:vAlign w:val="bottom"/>
          </w:tcPr>
          <w:p>
            <w:pPr>
              <w:spacing w:after="0"/>
              <w:rPr>
                <w:sz w:val="18"/>
                <w:szCs w:val="18"/>
                <w:color w:val="auto"/>
              </w:rPr>
            </w:pP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8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28" w:lineRule="auto"/>
        <w:rPr>
          <w:sz w:val="20"/>
          <w:szCs w:val="20"/>
          <w:color w:val="auto"/>
        </w:rPr>
      </w:pPr>
      <w:r>
        <w:rPr>
          <w:rFonts w:ascii="Arial" w:cs="Arial" w:eastAsia="Arial" w:hAnsi="Arial"/>
          <w:sz w:val="18"/>
          <w:szCs w:val="18"/>
          <w:color w:val="auto"/>
        </w:rPr>
        <w:t>Senior Vice President, Investor Relations</w:t>
      </w:r>
    </w:p>
    <w:p>
      <w:pPr>
        <w:spacing w:after="0" w:line="229" w:lineRule="auto"/>
        <w:rPr>
          <w:sz w:val="20"/>
          <w:szCs w:val="20"/>
          <w:color w:val="auto"/>
        </w:rPr>
      </w:pPr>
      <w:r>
        <w:rPr>
          <w:rFonts w:ascii="Arial" w:cs="Arial" w:eastAsia="Arial" w:hAnsi="Arial"/>
          <w:sz w:val="18"/>
          <w:szCs w:val="18"/>
          <w:color w:val="auto"/>
        </w:rPr>
        <w:t>408-222-0777</w:t>
      </w: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73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2022-05-26T16:27:48Z</dcterms:created>
  <dcterms:modified xsi:type="dcterms:W3CDTF">2022-05-26T16:27:48Z</dcterms:modified>
</cp:coreProperties>
</file>