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19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April 30, 2022</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255"/>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4"/>
        </w:trPr>
        <w:tc>
          <w:tcPr>
            <w:tcW w:w="5940" w:type="dxa"/>
            <w:vAlign w:val="bottom"/>
          </w:tcPr>
          <w:p>
            <w:pPr>
              <w:jc w:val="center"/>
              <w:ind w:right="3999"/>
              <w:spacing w:after="0" w:line="145"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5"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41"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79" w:lineRule="exact"/>
        <w:rPr>
          <w:sz w:val="24"/>
          <w:szCs w:val="24"/>
          <w:color w:val="auto"/>
        </w:rPr>
      </w:pPr>
    </w:p>
    <w:p>
      <w:pPr>
        <w:ind w:left="42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26"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0" w:lineRule="exact"/>
        <w:rPr>
          <w:sz w:val="24"/>
          <w:szCs w:val="24"/>
          <w:color w:val="auto"/>
        </w:rPr>
      </w:pPr>
    </w:p>
    <w:p>
      <w:pPr>
        <w:ind w:right="80" w:firstLine="411"/>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2" w:lineRule="exact"/>
        <w:rPr>
          <w:sz w:val="24"/>
          <w:szCs w:val="24"/>
          <w:color w:val="auto"/>
        </w:rPr>
      </w:pPr>
    </w:p>
    <w:p>
      <w:pPr>
        <w:ind w:right="100" w:firstLine="411"/>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137" w:lineRule="exact"/>
        <w:rPr>
          <w:sz w:val="24"/>
          <w:szCs w:val="24"/>
          <w:color w:val="auto"/>
        </w:rPr>
      </w:pPr>
    </w:p>
    <w:tbl>
      <w:tblPr>
        <w:tblLayout w:type="fixed"/>
        <w:tblInd w:w="440" w:type="dxa"/>
        <w:tblCellMar>
          <w:top w:w="0" w:type="dxa"/>
          <w:left w:w="0" w:type="dxa"/>
          <w:bottom w:w="0" w:type="dxa"/>
          <w:right w:w="0" w:type="dxa"/>
        </w:tblCellMar>
      </w:tblPr>
      <w:tr>
        <w:trPr>
          <w:trHeight w:val="28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2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tcPr>
          <w:p>
            <w:pPr>
              <w:ind w:left="2880"/>
              <w:spacing w:after="0"/>
              <w:rPr>
                <w:sz w:val="20"/>
                <w:szCs w:val="20"/>
                <w:color w:val="auto"/>
              </w:rPr>
            </w:pPr>
            <w:r>
              <w:rPr>
                <w:rFonts w:ascii="Arial" w:cs="Arial" w:eastAsia="Arial" w:hAnsi="Arial"/>
                <w:sz w:val="18"/>
                <w:szCs w:val="18"/>
                <w:color w:val="auto"/>
              </w:rPr>
              <w:t>Accelerated filer</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6"/>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2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c>
          <w:tcPr>
            <w:tcW w:w="5140" w:type="dxa"/>
            <w:vAlign w:val="bottom"/>
          </w:tcPr>
          <w:p>
            <w:pPr>
              <w:ind w:left="2880"/>
              <w:spacing w:after="0"/>
              <w:rPr>
                <w:sz w:val="20"/>
                <w:szCs w:val="20"/>
                <w:color w:val="auto"/>
              </w:rPr>
            </w:pPr>
            <w:r>
              <w:rPr>
                <w:rFonts w:ascii="Arial" w:cs="Arial" w:eastAsia="Arial" w:hAnsi="Arial"/>
                <w:sz w:val="18"/>
                <w:szCs w:val="18"/>
                <w:color w:val="auto"/>
              </w:rPr>
              <w:t>Smaller reporting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5140" w:type="dxa"/>
            <w:vAlign w:val="bottom"/>
          </w:tcPr>
          <w:p>
            <w:pPr>
              <w:ind w:left="2880"/>
              <w:spacing w:after="0"/>
              <w:rPr>
                <w:sz w:val="20"/>
                <w:szCs w:val="20"/>
                <w:color w:val="auto"/>
              </w:rPr>
            </w:pPr>
            <w:r>
              <w:rPr>
                <w:rFonts w:ascii="Arial" w:cs="Arial" w:eastAsia="Arial" w:hAnsi="Arial"/>
                <w:sz w:val="18"/>
                <w:szCs w:val="18"/>
                <w:color w:val="auto"/>
              </w:rPr>
              <w:t>Emerging growth company</w:t>
            </w:r>
          </w:p>
        </w:tc>
        <w:tc>
          <w:tcPr>
            <w:tcW w:w="4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40" w:firstLine="411"/>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 w:lineRule="exact"/>
        <w:rPr>
          <w:sz w:val="24"/>
          <w:szCs w:val="24"/>
          <w:color w:val="auto"/>
        </w:rPr>
      </w:pPr>
    </w:p>
    <w:p>
      <w:pPr>
        <w:ind w:left="420" w:right="1380"/>
        <w:spacing w:after="0" w:line="260"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shares of common stock of the registrant outstanding as of May 20, 2022 was 849.9 million.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313055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0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80" w:type="dxa"/>
            <w:vAlign w:val="bottom"/>
            <w:tcBorders>
              <w:bottom w:val="single" w:sz="8" w:color="auto"/>
            </w:tcBorders>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76"/>
        </w:trPr>
        <w:tc>
          <w:tcPr>
            <w:tcW w:w="9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940" w:type="dxa"/>
            <w:vAlign w:val="bottom"/>
            <w:gridSpan w:val="12"/>
          </w:tcPr>
          <w:p>
            <w:pPr>
              <w:jc w:val="center"/>
              <w:ind w:right="2120"/>
              <w:spacing w:after="0" w:line="176" w:lineRule="exact"/>
              <w:rPr>
                <w:rFonts w:ascii="Arial" w:cs="Arial" w:eastAsia="Arial" w:hAnsi="Arial"/>
                <w:sz w:val="18"/>
                <w:szCs w:val="18"/>
                <w:b w:val="1"/>
                <w:bCs w:val="1"/>
                <w:color w:val="0000FF"/>
              </w:rPr>
            </w:pPr>
            <w:hyperlink w:anchor="page2">
              <w:r>
                <w:rPr>
                  <w:rFonts w:ascii="Arial" w:cs="Arial" w:eastAsia="Arial" w:hAnsi="Arial"/>
                  <w:sz w:val="18"/>
                  <w:szCs w:val="18"/>
                  <w:b w:val="1"/>
                  <w:bCs w:val="1"/>
                  <w:color w:val="0000FF"/>
                </w:rPr>
                <w:t>PART I. FINANCIAL INFORMATION</w:t>
              </w:r>
            </w:hyperlink>
          </w:p>
        </w:tc>
        <w:tc>
          <w:tcPr>
            <w:tcW w:w="3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8"/>
          </w:tcPr>
          <w:p>
            <w:pPr>
              <w:spacing w:after="0"/>
              <w:rPr>
                <w:rFonts w:ascii="Arial" w:cs="Arial" w:eastAsia="Arial" w:hAnsi="Arial"/>
                <w:sz w:val="18"/>
                <w:szCs w:val="18"/>
                <w:color w:val="0000FF"/>
              </w:rPr>
            </w:pPr>
            <w:hyperlink w:anchor="page3">
              <w:r>
                <w:rPr>
                  <w:rFonts w:ascii="Arial" w:cs="Arial" w:eastAsia="Arial" w:hAnsi="Arial"/>
                  <w:sz w:val="18"/>
                  <w:szCs w:val="18"/>
                  <w:color w:val="0000FF"/>
                </w:rPr>
                <w:t>Financial Statements:</w:t>
              </w:r>
            </w:hyperlink>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6"/>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6800" w:type="dxa"/>
            <w:vAlign w:val="bottom"/>
            <w:tcBorders>
              <w:bottom w:val="single" w:sz="8" w:color="0000FF"/>
            </w:tcBorders>
            <w:gridSpan w:val="15"/>
          </w:tcPr>
          <w:p>
            <w:pPr>
              <w:spacing w:after="0"/>
              <w:rPr>
                <w:rFonts w:ascii="Arial" w:cs="Arial" w:eastAsia="Arial" w:hAnsi="Arial"/>
                <w:sz w:val="18"/>
                <w:szCs w:val="18"/>
                <w:color w:val="0000FF"/>
                <w:w w:val="89"/>
              </w:rPr>
            </w:pPr>
            <w:hyperlink w:anchor="page3">
              <w:r>
                <w:rPr>
                  <w:rFonts w:ascii="Arial" w:cs="Arial" w:eastAsia="Arial" w:hAnsi="Arial"/>
                  <w:sz w:val="18"/>
                  <w:szCs w:val="18"/>
                  <w:color w:val="0000FF"/>
                  <w:w w:val="89"/>
                </w:rPr>
                <w:t>Unaudited Condensed Consolidated Balance Sheets as of April 30, 2022 and January 29, 2022</w:t>
              </w:r>
            </w:hyperlink>
          </w:p>
        </w:tc>
        <w:tc>
          <w:tcPr>
            <w:tcW w:w="290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3">
              <w:r>
                <w:rPr>
                  <w:rFonts w:ascii="Arial" w:cs="Arial" w:eastAsia="Arial" w:hAnsi="Arial"/>
                  <w:sz w:val="18"/>
                  <w:szCs w:val="18"/>
                  <w:color w:val="0000FF"/>
                  <w:w w:val="79"/>
                </w:rPr>
                <w:t>2</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19"/>
          </w:tcPr>
          <w:p>
            <w:pPr>
              <w:spacing w:after="0"/>
              <w:rPr>
                <w:rFonts w:ascii="Arial" w:cs="Arial" w:eastAsia="Arial" w:hAnsi="Arial"/>
                <w:sz w:val="18"/>
                <w:szCs w:val="18"/>
                <w:color w:val="0000FF"/>
                <w:w w:val="92"/>
              </w:rPr>
            </w:pPr>
            <w:hyperlink w:anchor="page3">
              <w:r>
                <w:rPr>
                  <w:rFonts w:ascii="Arial" w:cs="Arial" w:eastAsia="Arial" w:hAnsi="Arial"/>
                  <w:sz w:val="18"/>
                  <w:szCs w:val="18"/>
                  <w:color w:val="0000FF"/>
                  <w:w w:val="92"/>
                </w:rPr>
                <w:t>Unaudited Condensed Consolidated Statements of Operations and Comprehensive Loss for the three months ended April 30, 2022</w:t>
              </w:r>
            </w:hyperlink>
          </w:p>
        </w:tc>
        <w:tc>
          <w:tcPr>
            <w:tcW w:w="580" w:type="dxa"/>
            <w:vAlign w:val="bottom"/>
            <w:gridSpan w:val="4"/>
            <w:vMerge w:val="restart"/>
          </w:tcPr>
          <w:p>
            <w:pPr>
              <w:jc w:val="right"/>
              <w:ind w:right="20"/>
              <w:spacing w:after="0"/>
              <w:rPr>
                <w:rFonts w:ascii="Arial" w:cs="Arial" w:eastAsia="Arial" w:hAnsi="Arial"/>
                <w:sz w:val="18"/>
                <w:szCs w:val="18"/>
                <w:color w:val="0000FF"/>
              </w:rPr>
            </w:pPr>
            <w:hyperlink w:anchor="page3">
              <w:r>
                <w:rPr>
                  <w:rFonts w:ascii="Arial" w:cs="Arial" w:eastAsia="Arial" w:hAnsi="Arial"/>
                  <w:sz w:val="18"/>
                  <w:szCs w:val="18"/>
                  <w:color w:val="0000FF"/>
                </w:rPr>
                <w:t>3</w:t>
              </w:r>
            </w:hyperlink>
          </w:p>
        </w:tc>
        <w:tc>
          <w:tcPr>
            <w:tcW w:w="0" w:type="dxa"/>
            <w:vAlign w:val="bottom"/>
          </w:tcPr>
          <w:p>
            <w:pPr>
              <w:spacing w:after="0"/>
              <w:rPr>
                <w:sz w:val="1"/>
                <w:szCs w:val="1"/>
                <w:color w:val="auto"/>
              </w:rPr>
            </w:pPr>
          </w:p>
        </w:tc>
      </w:tr>
      <w:tr>
        <w:trPr>
          <w:trHeight w:val="156"/>
        </w:trPr>
        <w:tc>
          <w:tcPr>
            <w:tcW w:w="920" w:type="dxa"/>
            <w:vAlign w:val="bottom"/>
          </w:tcPr>
          <w:p>
            <w:pPr>
              <w:spacing w:after="0"/>
              <w:rPr>
                <w:sz w:val="13"/>
                <w:szCs w:val="13"/>
                <w:color w:val="auto"/>
              </w:rPr>
            </w:pPr>
          </w:p>
        </w:tc>
        <w:tc>
          <w:tcPr>
            <w:tcW w:w="938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w:anchor="page3">
              <w:r>
                <w:rPr>
                  <w:rFonts w:ascii="Arial" w:cs="Arial" w:eastAsia="Arial" w:hAnsi="Arial"/>
                  <w:sz w:val="18"/>
                  <w:szCs w:val="18"/>
                  <w:color w:val="0000FF"/>
                </w:rPr>
                <w:t>and May 1, 2021</w:t>
              </w:r>
            </w:hyperlink>
          </w:p>
        </w:tc>
        <w:tc>
          <w:tcPr>
            <w:tcW w:w="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80" w:type="dxa"/>
            <w:vAlign w:val="bottom"/>
            <w:gridSpan w:val="4"/>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9520" w:type="dxa"/>
            <w:vAlign w:val="bottom"/>
            <w:tcBorders>
              <w:bottom w:val="single" w:sz="8" w:color="0000FF"/>
            </w:tcBorders>
            <w:gridSpan w:val="18"/>
          </w:tcPr>
          <w:p>
            <w:pPr>
              <w:spacing w:after="0"/>
              <w:rPr>
                <w:rFonts w:ascii="Arial" w:cs="Arial" w:eastAsia="Arial" w:hAnsi="Arial"/>
                <w:sz w:val="18"/>
                <w:szCs w:val="18"/>
                <w:color w:val="0000FF"/>
                <w:w w:val="90"/>
              </w:rPr>
            </w:pPr>
            <w:hyperlink w:anchor="page4">
              <w:r>
                <w:rPr>
                  <w:rFonts w:ascii="Arial" w:cs="Arial" w:eastAsia="Arial" w:hAnsi="Arial"/>
                  <w:sz w:val="18"/>
                  <w:szCs w:val="18"/>
                  <w:color w:val="0000FF"/>
                  <w:w w:val="90"/>
                </w:rPr>
                <w:t>Unaudited Condensed Consolidated Statements of Stockholders’ Equity for the three months ended April 30, 2022 and May 1, 2021</w:t>
              </w:r>
            </w:hyperlink>
          </w:p>
        </w:tc>
        <w:tc>
          <w:tcPr>
            <w:tcW w:w="180" w:type="dxa"/>
            <w:vAlign w:val="bottom"/>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4">
              <w:r>
                <w:rPr>
                  <w:rFonts w:ascii="Arial" w:cs="Arial" w:eastAsia="Arial" w:hAnsi="Arial"/>
                  <w:sz w:val="18"/>
                  <w:szCs w:val="18"/>
                  <w:color w:val="0000FF"/>
                  <w:w w:val="79"/>
                </w:rPr>
                <w:t>4</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8840" w:type="dxa"/>
            <w:vAlign w:val="bottom"/>
            <w:tcBorders>
              <w:bottom w:val="single" w:sz="8" w:color="0000FF"/>
            </w:tcBorders>
            <w:gridSpan w:val="16"/>
          </w:tcPr>
          <w:p>
            <w:pPr>
              <w:spacing w:after="0"/>
              <w:rPr>
                <w:rFonts w:ascii="Arial" w:cs="Arial" w:eastAsia="Arial" w:hAnsi="Arial"/>
                <w:sz w:val="18"/>
                <w:szCs w:val="18"/>
                <w:color w:val="0000FF"/>
                <w:w w:val="89"/>
              </w:rPr>
            </w:pPr>
            <w:hyperlink w:anchor="page5">
              <w:r>
                <w:rPr>
                  <w:rFonts w:ascii="Arial" w:cs="Arial" w:eastAsia="Arial" w:hAnsi="Arial"/>
                  <w:sz w:val="18"/>
                  <w:szCs w:val="18"/>
                  <w:color w:val="0000FF"/>
                  <w:w w:val="89"/>
                </w:rPr>
                <w:t>Unaudited Condensed Consolidated Statements of Cash Flows for the three months ended April 30, 2022 and May 1, 2021</w:t>
              </w:r>
            </w:hyperlink>
          </w:p>
        </w:tc>
        <w:tc>
          <w:tcPr>
            <w:tcW w:w="860" w:type="dxa"/>
            <w:vAlign w:val="bottom"/>
            <w:gridSpan w:val="3"/>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5">
              <w:r>
                <w:rPr>
                  <w:rFonts w:ascii="Arial" w:cs="Arial" w:eastAsia="Arial" w:hAnsi="Arial"/>
                  <w:sz w:val="18"/>
                  <w:szCs w:val="18"/>
                  <w:color w:val="0000FF"/>
                  <w:w w:val="79"/>
                </w:rPr>
                <w:t>5</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bottom w:val="single" w:sz="8" w:color="0000FF"/>
            </w:tcBorders>
            <w:gridSpan w:val="11"/>
          </w:tcPr>
          <w:p>
            <w:pPr>
              <w:spacing w:after="0"/>
              <w:rPr>
                <w:rFonts w:ascii="Arial" w:cs="Arial" w:eastAsia="Arial" w:hAnsi="Arial"/>
                <w:sz w:val="18"/>
                <w:szCs w:val="18"/>
                <w:color w:val="0000FF"/>
                <w:w w:val="89"/>
              </w:rPr>
            </w:pPr>
            <w:hyperlink w:anchor="page6">
              <w:r>
                <w:rPr>
                  <w:rFonts w:ascii="Arial" w:cs="Arial" w:eastAsia="Arial" w:hAnsi="Arial"/>
                  <w:sz w:val="18"/>
                  <w:szCs w:val="18"/>
                  <w:color w:val="0000FF"/>
                  <w:w w:val="89"/>
                </w:rPr>
                <w:t>Notes to Unaudited Condensed Consolidated Financial Statements</w:t>
              </w:r>
            </w:hyperlink>
          </w:p>
        </w:tc>
        <w:tc>
          <w:tcPr>
            <w:tcW w:w="4920" w:type="dxa"/>
            <w:vAlign w:val="bottom"/>
            <w:gridSpan w:val="8"/>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rFonts w:ascii="Arial" w:cs="Arial" w:eastAsia="Arial" w:hAnsi="Arial"/>
                <w:sz w:val="18"/>
                <w:szCs w:val="18"/>
                <w:color w:val="0000FF"/>
                <w:w w:val="79"/>
              </w:rPr>
            </w:pPr>
            <w:hyperlink w:anchor="page6">
              <w:r>
                <w:rPr>
                  <w:rFonts w:ascii="Arial" w:cs="Arial" w:eastAsia="Arial" w:hAnsi="Arial"/>
                  <w:sz w:val="18"/>
                  <w:szCs w:val="18"/>
                  <w:color w:val="0000FF"/>
                  <w:w w:val="79"/>
                </w:rPr>
                <w:t>6</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19"/>
          </w:tcPr>
          <w:p>
            <w:pPr>
              <w:spacing w:after="0"/>
              <w:rPr>
                <w:rFonts w:ascii="Arial" w:cs="Arial" w:eastAsia="Arial" w:hAnsi="Arial"/>
                <w:sz w:val="18"/>
                <w:szCs w:val="18"/>
                <w:color w:val="0000FF"/>
              </w:rPr>
            </w:pPr>
            <w:hyperlink w:anchor="page27">
              <w:r>
                <w:rPr>
                  <w:rFonts w:ascii="Arial" w:cs="Arial" w:eastAsia="Arial" w:hAnsi="Arial"/>
                  <w:sz w:val="18"/>
                  <w:szCs w:val="18"/>
                  <w:color w:val="0000FF"/>
                </w:rPr>
                <w:t>Management’s Discussion and Analysis of Financial Condition and Results of Operations</w:t>
              </w:r>
            </w:hyperlink>
          </w:p>
        </w:tc>
        <w:tc>
          <w:tcPr>
            <w:tcW w:w="560" w:type="dxa"/>
            <w:vAlign w:val="bottom"/>
            <w:gridSpan w:val="3"/>
          </w:tcPr>
          <w:p>
            <w:pPr>
              <w:jc w:val="right"/>
              <w:spacing w:after="0"/>
              <w:rPr>
                <w:rFonts w:ascii="Arial" w:cs="Arial" w:eastAsia="Arial" w:hAnsi="Arial"/>
                <w:sz w:val="18"/>
                <w:szCs w:val="18"/>
                <w:color w:val="0000FF"/>
              </w:rPr>
            </w:pPr>
            <w:hyperlink w:anchor="page27">
              <w:r>
                <w:rPr>
                  <w:rFonts w:ascii="Arial" w:cs="Arial" w:eastAsia="Arial" w:hAnsi="Arial"/>
                  <w:sz w:val="18"/>
                  <w:szCs w:val="18"/>
                  <w:color w:val="0000FF"/>
                </w:rPr>
                <w:t>27</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2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6440" w:type="dxa"/>
            <w:vAlign w:val="bottom"/>
            <w:gridSpan w:val="14"/>
          </w:tcPr>
          <w:p>
            <w:pPr>
              <w:spacing w:after="0"/>
              <w:rPr>
                <w:rFonts w:ascii="Arial" w:cs="Arial" w:eastAsia="Arial" w:hAnsi="Arial"/>
                <w:sz w:val="18"/>
                <w:szCs w:val="18"/>
                <w:color w:val="0000FF"/>
              </w:rPr>
            </w:pPr>
            <w:hyperlink w:anchor="page36">
              <w:r>
                <w:rPr>
                  <w:rFonts w:ascii="Arial" w:cs="Arial" w:eastAsia="Arial" w:hAnsi="Arial"/>
                  <w:sz w:val="18"/>
                  <w:szCs w:val="18"/>
                  <w:color w:val="0000FF"/>
                </w:rPr>
                <w:t>Quantitative and Qualitative Disclosures About Market Risk</w:t>
              </w:r>
            </w:hyperlink>
          </w:p>
        </w:tc>
        <w:tc>
          <w:tcPr>
            <w:tcW w:w="3260" w:type="dxa"/>
            <w:vAlign w:val="bottom"/>
            <w:gridSpan w:val="5"/>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36">
              <w:r>
                <w:rPr>
                  <w:rFonts w:ascii="Arial" w:cs="Arial" w:eastAsia="Arial" w:hAnsi="Arial"/>
                  <w:sz w:val="18"/>
                  <w:szCs w:val="18"/>
                  <w:color w:val="0000FF"/>
                </w:rPr>
                <w:t>36</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0"/>
          </w:tcPr>
          <w:p>
            <w:pPr>
              <w:spacing w:after="0"/>
              <w:rPr>
                <w:rFonts w:ascii="Arial" w:cs="Arial" w:eastAsia="Arial" w:hAnsi="Arial"/>
                <w:sz w:val="18"/>
                <w:szCs w:val="18"/>
                <w:color w:val="0000FF"/>
              </w:rPr>
            </w:pPr>
            <w:hyperlink w:anchor="page37">
              <w:r>
                <w:rPr>
                  <w:rFonts w:ascii="Arial" w:cs="Arial" w:eastAsia="Arial" w:hAnsi="Arial"/>
                  <w:sz w:val="18"/>
                  <w:szCs w:val="18"/>
                  <w:color w:val="0000FF"/>
                </w:rPr>
                <w:t>Controls and Procedures</w:t>
              </w:r>
            </w:hyperlink>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37">
              <w:r>
                <w:rPr>
                  <w:rFonts w:ascii="Arial" w:cs="Arial" w:eastAsia="Arial" w:hAnsi="Arial"/>
                  <w:sz w:val="18"/>
                  <w:szCs w:val="18"/>
                  <w:color w:val="0000FF"/>
                </w:rPr>
                <w:t>37</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60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300" w:type="dxa"/>
            <w:vAlign w:val="bottom"/>
            <w:tcBorders>
              <w:top w:val="single" w:sz="8" w:color="0000FF"/>
            </w:tcBorders>
          </w:tcPr>
          <w:p>
            <w:pPr>
              <w:spacing w:after="0"/>
              <w:rPr>
                <w:sz w:val="18"/>
                <w:szCs w:val="18"/>
                <w:color w:val="auto"/>
              </w:rPr>
            </w:pPr>
          </w:p>
        </w:tc>
        <w:tc>
          <w:tcPr>
            <w:tcW w:w="1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1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rFonts w:ascii="Arial" w:cs="Arial" w:eastAsia="Arial" w:hAnsi="Arial"/>
                <w:sz w:val="18"/>
                <w:szCs w:val="18"/>
                <w:b w:val="1"/>
                <w:bCs w:val="1"/>
                <w:color w:val="0000FF"/>
              </w:rPr>
            </w:pPr>
            <w:hyperlink w:anchor="page38">
              <w:r>
                <w:rPr>
                  <w:rFonts w:ascii="Arial" w:cs="Arial" w:eastAsia="Arial" w:hAnsi="Arial"/>
                  <w:sz w:val="18"/>
                  <w:szCs w:val="18"/>
                  <w:b w:val="1"/>
                  <w:bCs w:val="1"/>
                  <w:color w:val="0000FF"/>
                </w:rPr>
                <w:t>PART II. OTHER INFORMATION</w:t>
              </w:r>
            </w:hyperlink>
          </w:p>
        </w:tc>
        <w:tc>
          <w:tcPr>
            <w:tcW w:w="364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19"/>
          </w:tcPr>
          <w:p>
            <w:pPr>
              <w:spacing w:after="0"/>
              <w:rPr>
                <w:rFonts w:ascii="Arial" w:cs="Arial" w:eastAsia="Arial" w:hAnsi="Arial"/>
                <w:sz w:val="18"/>
                <w:szCs w:val="18"/>
                <w:color w:val="0000FF"/>
              </w:rPr>
            </w:pPr>
            <w:hyperlink w:anchor="page39">
              <w:r>
                <w:rPr>
                  <w:rFonts w:ascii="Arial" w:cs="Arial" w:eastAsia="Arial" w:hAnsi="Arial"/>
                  <w:sz w:val="18"/>
                  <w:szCs w:val="18"/>
                  <w:color w:val="0000FF"/>
                </w:rPr>
                <w:t>Legal Proceedings</w:t>
              </w:r>
            </w:hyperlink>
          </w:p>
        </w:tc>
        <w:tc>
          <w:tcPr>
            <w:tcW w:w="560" w:type="dxa"/>
            <w:vAlign w:val="bottom"/>
            <w:gridSpan w:val="3"/>
          </w:tcPr>
          <w:p>
            <w:pPr>
              <w:jc w:val="right"/>
              <w:spacing w:after="0"/>
              <w:rPr>
                <w:rFonts w:ascii="Arial" w:cs="Arial" w:eastAsia="Arial" w:hAnsi="Arial"/>
                <w:sz w:val="18"/>
                <w:szCs w:val="18"/>
                <w:color w:val="0000FF"/>
              </w:rPr>
            </w:pPr>
            <w:hyperlink w:anchor="page39">
              <w:r>
                <w:rPr>
                  <w:rFonts w:ascii="Arial" w:cs="Arial" w:eastAsia="Arial" w:hAnsi="Arial"/>
                  <w:sz w:val="18"/>
                  <w:szCs w:val="18"/>
                  <w:color w:val="0000FF"/>
                </w:rPr>
                <w:t>38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20" w:type="dxa"/>
            <w:vAlign w:val="bottom"/>
            <w:gridSpan w:val="2"/>
            <w:shd w:val="clear" w:color="auto" w:fill="0000FF"/>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360" w:type="dxa"/>
            <w:vAlign w:val="bottom"/>
            <w:gridSpan w:val="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3"/>
          </w:tcPr>
          <w:p>
            <w:pPr>
              <w:spacing w:after="0"/>
              <w:rPr>
                <w:rFonts w:ascii="Arial" w:cs="Arial" w:eastAsia="Arial" w:hAnsi="Arial"/>
                <w:sz w:val="18"/>
                <w:szCs w:val="18"/>
                <w:color w:val="0000FF"/>
                <w:w w:val="87"/>
              </w:rPr>
            </w:pPr>
            <w:hyperlink w:anchor="page39">
              <w:r>
                <w:rPr>
                  <w:rFonts w:ascii="Arial" w:cs="Arial" w:eastAsia="Arial" w:hAnsi="Arial"/>
                  <w:sz w:val="18"/>
                  <w:szCs w:val="18"/>
                  <w:color w:val="0000FF"/>
                  <w:w w:val="87"/>
                </w:rPr>
                <w:t>Risk Factors</w:t>
              </w:r>
            </w:hyperlink>
          </w:p>
        </w:tc>
        <w:tc>
          <w:tcPr>
            <w:tcW w:w="420" w:type="dxa"/>
            <w:vAlign w:val="bottom"/>
            <w:gridSpan w:val="2"/>
          </w:tcPr>
          <w:p>
            <w:pPr>
              <w:spacing w:after="0"/>
              <w:rPr>
                <w:sz w:val="18"/>
                <w:szCs w:val="18"/>
                <w:color w:val="auto"/>
              </w:rPr>
            </w:pPr>
          </w:p>
        </w:tc>
        <w:tc>
          <w:tcPr>
            <w:tcW w:w="8380" w:type="dxa"/>
            <w:vAlign w:val="bottom"/>
            <w:gridSpan w:val="14"/>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39">
              <w:r>
                <w:rPr>
                  <w:rFonts w:ascii="Arial" w:cs="Arial" w:eastAsia="Arial" w:hAnsi="Arial"/>
                  <w:sz w:val="18"/>
                  <w:szCs w:val="18"/>
                  <w:color w:val="0000FF"/>
                </w:rPr>
                <w:t>38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360" w:type="dxa"/>
            <w:vAlign w:val="bottom"/>
            <w:gridSpan w:val="9"/>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0"/>
          </w:tcPr>
          <w:p>
            <w:pPr>
              <w:spacing w:after="0"/>
              <w:rPr>
                <w:rFonts w:ascii="Arial" w:cs="Arial" w:eastAsia="Arial" w:hAnsi="Arial"/>
                <w:sz w:val="18"/>
                <w:szCs w:val="18"/>
                <w:color w:val="0000FF"/>
                <w:w w:val="89"/>
              </w:rPr>
            </w:pPr>
            <w:hyperlink w:anchor="page64">
              <w:r>
                <w:rPr>
                  <w:rFonts w:ascii="Arial" w:cs="Arial" w:eastAsia="Arial" w:hAnsi="Arial"/>
                  <w:sz w:val="18"/>
                  <w:szCs w:val="18"/>
                  <w:color w:val="0000FF"/>
                  <w:w w:val="89"/>
                </w:rPr>
                <w:t>Unregistered Sales of Equity Securities and Use of Proceeds</w:t>
              </w:r>
            </w:hyperlink>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4">
              <w:r>
                <w:rPr>
                  <w:rFonts w:ascii="Arial" w:cs="Arial" w:eastAsia="Arial" w:hAnsi="Arial"/>
                  <w:sz w:val="18"/>
                  <w:szCs w:val="18"/>
                  <w:color w:val="0000FF"/>
                </w:rPr>
                <w:t>63</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tcPr>
          <w:p>
            <w:pPr>
              <w:spacing w:after="0"/>
              <w:rPr>
                <w:rFonts w:ascii="Arial" w:cs="Arial" w:eastAsia="Arial" w:hAnsi="Arial"/>
                <w:sz w:val="18"/>
                <w:szCs w:val="18"/>
                <w:color w:val="0000FF"/>
                <w:w w:val="91"/>
              </w:rPr>
            </w:pPr>
            <w:hyperlink w:anchor="page64">
              <w:r>
                <w:rPr>
                  <w:rFonts w:ascii="Arial" w:cs="Arial" w:eastAsia="Arial" w:hAnsi="Arial"/>
                  <w:sz w:val="18"/>
                  <w:szCs w:val="18"/>
                  <w:color w:val="0000FF"/>
                  <w:w w:val="91"/>
                </w:rPr>
                <w:t>Exhibits</w:t>
              </w:r>
            </w:hyperlink>
          </w:p>
        </w:tc>
        <w:tc>
          <w:tcPr>
            <w:tcW w:w="3740" w:type="dxa"/>
            <w:vAlign w:val="bottom"/>
            <w:gridSpan w:val="9"/>
          </w:tcPr>
          <w:p>
            <w:pPr>
              <w:spacing w:after="0"/>
              <w:rPr>
                <w:sz w:val="18"/>
                <w:szCs w:val="18"/>
                <w:color w:val="auto"/>
              </w:rPr>
            </w:pPr>
          </w:p>
        </w:tc>
        <w:tc>
          <w:tcPr>
            <w:tcW w:w="5360" w:type="dxa"/>
            <w:vAlign w:val="bottom"/>
            <w:gridSpan w:val="9"/>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4">
              <w:r>
                <w:rPr>
                  <w:rFonts w:ascii="Arial" w:cs="Arial" w:eastAsia="Arial" w:hAnsi="Arial"/>
                  <w:sz w:val="18"/>
                  <w:szCs w:val="18"/>
                  <w:color w:val="0000FF"/>
                </w:rPr>
                <w:t>64</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7"/>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2"/>
          </w:tcPr>
          <w:p>
            <w:pPr>
              <w:spacing w:after="0"/>
              <w:rPr>
                <w:rFonts w:ascii="Arial" w:cs="Arial" w:eastAsia="Arial" w:hAnsi="Arial"/>
                <w:sz w:val="18"/>
                <w:szCs w:val="18"/>
                <w:color w:val="0000FF"/>
                <w:w w:val="85"/>
              </w:rPr>
            </w:pPr>
            <w:hyperlink w:anchor="page68">
              <w:r>
                <w:rPr>
                  <w:rFonts w:ascii="Arial" w:cs="Arial" w:eastAsia="Arial" w:hAnsi="Arial"/>
                  <w:sz w:val="18"/>
                  <w:szCs w:val="18"/>
                  <w:color w:val="0000FF"/>
                  <w:w w:val="85"/>
                </w:rPr>
                <w:t>Signatures</w:t>
              </w:r>
            </w:hyperlink>
          </w:p>
        </w:tc>
        <w:tc>
          <w:tcPr>
            <w:tcW w:w="8940" w:type="dxa"/>
            <w:vAlign w:val="bottom"/>
            <w:gridSpan w:val="17"/>
          </w:tcPr>
          <w:p>
            <w:pPr>
              <w:spacing w:after="0"/>
              <w:rPr>
                <w:sz w:val="18"/>
                <w:szCs w:val="18"/>
                <w:color w:val="auto"/>
              </w:rPr>
            </w:pPr>
          </w:p>
        </w:tc>
        <w:tc>
          <w:tcPr>
            <w:tcW w:w="560" w:type="dxa"/>
            <w:vAlign w:val="bottom"/>
            <w:gridSpan w:val="3"/>
          </w:tcPr>
          <w:p>
            <w:pPr>
              <w:jc w:val="right"/>
              <w:spacing w:after="0"/>
              <w:rPr>
                <w:rFonts w:ascii="Arial" w:cs="Arial" w:eastAsia="Arial" w:hAnsi="Arial"/>
                <w:sz w:val="18"/>
                <w:szCs w:val="18"/>
                <w:color w:val="0000FF"/>
              </w:rPr>
            </w:pPr>
            <w:hyperlink w:anchor="page68">
              <w:r>
                <w:rPr>
                  <w:rFonts w:ascii="Arial" w:cs="Arial" w:eastAsia="Arial" w:hAnsi="Arial"/>
                  <w:sz w:val="18"/>
                  <w:szCs w:val="18"/>
                  <w:color w:val="0000FF"/>
                </w:rPr>
                <w:t>68</w:t>
              </w:r>
            </w:hyperlink>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par value per share)</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gridSpan w:val="2"/>
          </w:tcPr>
          <w:p>
            <w:pPr>
              <w:ind w:left="18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3620" w:type="dxa"/>
            <w:vAlign w:val="bottom"/>
            <w:tcBorders>
              <w:bottom w:val="single" w:sz="8" w:color="CCEEFF"/>
            </w:tcBorders>
          </w:tcPr>
          <w:p>
            <w:pPr>
              <w:spacing w:after="0"/>
              <w:rPr>
                <w:sz w:val="16"/>
                <w:szCs w:val="16"/>
                <w:color w:val="auto"/>
              </w:rPr>
            </w:pPr>
          </w:p>
        </w:tc>
        <w:tc>
          <w:tcPr>
            <w:tcW w:w="46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r>
      <w:tr>
        <w:trPr>
          <w:trHeight w:val="211"/>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92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1,191.1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835.5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29"/>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107.3</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2,598.9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502.2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11,539.0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5,888.1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331.8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1,178.7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22,038.7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29"/>
        </w:trPr>
        <w:tc>
          <w:tcPr>
            <w:tcW w:w="3620" w:type="dxa"/>
            <w:vAlign w:val="bottom"/>
            <w:shd w:val="clear" w:color="auto" w:fill="CCEEFF"/>
          </w:tcPr>
          <w:p>
            <w:pPr>
              <w:spacing w:after="0"/>
              <w:rPr>
                <w:sz w:val="19"/>
                <w:szCs w:val="19"/>
                <w:color w:val="auto"/>
              </w:rPr>
            </w:pPr>
          </w:p>
        </w:tc>
        <w:tc>
          <w:tcPr>
            <w:tcW w:w="4920" w:type="dxa"/>
            <w:vAlign w:val="bottom"/>
            <w:gridSpan w:val="2"/>
            <w:shd w:val="clear" w:color="auto" w:fill="CCEEFF"/>
          </w:tcPr>
          <w:p>
            <w:pPr>
              <w:jc w:val="right"/>
              <w:ind w:right="870"/>
              <w:spacing w:after="0"/>
              <w:rPr>
                <w:sz w:val="20"/>
                <w:szCs w:val="20"/>
                <w:color w:val="auto"/>
              </w:rPr>
            </w:pPr>
            <w:r>
              <w:rPr>
                <w:rFonts w:ascii="Arial" w:cs="Arial" w:eastAsia="Arial" w:hAnsi="Arial"/>
                <w:sz w:val="18"/>
                <w:szCs w:val="18"/>
                <w:b w:val="1"/>
                <w:bCs w:val="1"/>
                <w:color w:val="auto"/>
              </w:rPr>
              <w:t>LIABILITIES AND STOCKHOLDERS’ EQUITY</w:t>
            </w: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920" w:type="dxa"/>
            <w:vAlign w:val="bottom"/>
            <w:gridSpan w:val="2"/>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553.1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735.0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1,554.1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4,465.3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554.3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6,573.7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0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5)</w:t>
            </w:r>
          </w:p>
        </w:tc>
        <w:tc>
          <w:tcPr>
            <w:tcW w:w="4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14,188.5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14,209.0</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1,274.8</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15,702.1</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22,038.7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 AND COMPREHENSIVE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r>
      <w:tr>
        <w:trPr>
          <w:trHeight w:val="134"/>
        </w:trPr>
        <w:tc>
          <w:tcPr>
            <w:tcW w:w="8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6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April 30,</w:t>
            </w:r>
          </w:p>
        </w:tc>
        <w:tc>
          <w:tcPr>
            <w:tcW w:w="320" w:type="dxa"/>
            <w:vAlign w:val="bottom"/>
          </w:tcPr>
          <w:p>
            <w:pPr>
              <w:spacing w:after="0"/>
              <w:rPr>
                <w:sz w:val="11"/>
                <w:szCs w:val="11"/>
                <w:color w:val="auto"/>
              </w:rPr>
            </w:pPr>
          </w:p>
        </w:tc>
        <w:tc>
          <w:tcPr>
            <w:tcW w:w="1120" w:type="dxa"/>
            <w:vAlign w:val="bottom"/>
          </w:tcPr>
          <w:p>
            <w:pPr>
              <w:jc w:val="right"/>
              <w:ind w:right="412"/>
              <w:spacing w:after="0" w:line="135" w:lineRule="exact"/>
              <w:rPr>
                <w:sz w:val="20"/>
                <w:szCs w:val="20"/>
                <w:color w:val="auto"/>
              </w:rPr>
            </w:pPr>
            <w:r>
              <w:rPr>
                <w:rFonts w:ascii="Arial" w:cs="Arial" w:eastAsia="Arial" w:hAnsi="Arial"/>
                <w:sz w:val="14"/>
                <w:szCs w:val="14"/>
                <w:b w:val="1"/>
                <w:bCs w:val="1"/>
                <w:color w:val="auto"/>
              </w:rPr>
              <w:t>May 1,</w:t>
            </w:r>
          </w:p>
        </w:tc>
      </w:tr>
      <w:tr>
        <w:trPr>
          <w:trHeight w:val="188"/>
        </w:trPr>
        <w:tc>
          <w:tcPr>
            <w:tcW w:w="82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r>
      <w:tr>
        <w:trPr>
          <w:trHeight w:val="224"/>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1,446.9</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832.3</w:t>
            </w:r>
          </w:p>
        </w:tc>
      </w:tr>
      <w:tr>
        <w:trPr>
          <w:trHeight w:val="229"/>
        </w:trPr>
        <w:tc>
          <w:tcPr>
            <w:tcW w:w="82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696.0</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414.1</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750.9</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418.2</w:t>
            </w:r>
          </w:p>
        </w:tc>
      </w:tr>
      <w:tr>
        <w:trPr>
          <w:trHeight w:val="209"/>
        </w:trPr>
        <w:tc>
          <w:tcPr>
            <w:tcW w:w="826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444.1</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286.1</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235.7</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201.5</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w:t>
            </w:r>
          </w:p>
        </w:tc>
      </w:tr>
      <w:tr>
        <w:trPr>
          <w:trHeight w:val="223"/>
        </w:trPr>
        <w:tc>
          <w:tcPr>
            <w:tcW w:w="82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681.1</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500.5</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income (loss)</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Interest income</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0.2</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expense</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(36.3)</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w:t>
            </w:r>
          </w:p>
        </w:tc>
      </w:tr>
      <w:tr>
        <w:trPr>
          <w:trHeight w:val="230"/>
        </w:trPr>
        <w:tc>
          <w:tcPr>
            <w:tcW w:w="82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 income, net</w:t>
            </w: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w:t>
            </w: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r>
      <w:tr>
        <w:trPr>
          <w:trHeight w:val="223"/>
        </w:trPr>
        <w:tc>
          <w:tcPr>
            <w:tcW w:w="82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and other income (loss), net</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(33.7)</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Income (loss) before income taxes</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39.2</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(116.0)</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204.9</w:t>
            </w:r>
          </w:p>
        </w:tc>
        <w:tc>
          <w:tcPr>
            <w:tcW w:w="10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(27.8)</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Net loss</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(165.7)</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spacing w:after="0"/>
              <w:rPr>
                <w:sz w:val="20"/>
                <w:szCs w:val="20"/>
                <w:color w:val="auto"/>
              </w:rPr>
            </w:pPr>
          </w:p>
        </w:tc>
        <w:tc>
          <w:tcPr>
            <w:tcW w:w="1160" w:type="dxa"/>
            <w:vAlign w:val="bottom"/>
            <w:tcBorders>
              <w:bottom w:val="single" w:sz="8" w:color="auto"/>
            </w:tcBorders>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tcBorders>
              <w:bottom w:val="single" w:sz="8" w:color="auto"/>
            </w:tcBorders>
            <w:shd w:val="clear" w:color="auto" w:fill="CCEEFF"/>
          </w:tcPr>
          <w:p>
            <w:pPr>
              <w:spacing w:after="0"/>
              <w:rPr>
                <w:sz w:val="20"/>
                <w:szCs w:val="20"/>
                <w:color w:val="auto"/>
              </w:rPr>
            </w:pPr>
          </w:p>
        </w:tc>
        <w:tc>
          <w:tcPr>
            <w:tcW w:w="1120" w:type="dxa"/>
            <w:vAlign w:val="bottom"/>
            <w:tcBorders>
              <w:bottom w:val="single" w:sz="8" w:color="auto"/>
            </w:tcBorders>
            <w:shd w:val="clear" w:color="auto" w:fill="CCEEFF"/>
          </w:tcPr>
          <w:p>
            <w:pPr>
              <w:spacing w:after="0"/>
              <w:rPr>
                <w:sz w:val="20"/>
                <w:szCs w:val="20"/>
                <w:color w:val="auto"/>
              </w:rPr>
            </w:pPr>
          </w:p>
        </w:tc>
      </w:tr>
      <w:tr>
        <w:trPr>
          <w:trHeight w:val="196"/>
        </w:trPr>
        <w:tc>
          <w:tcPr>
            <w:tcW w:w="8260" w:type="dxa"/>
            <w:vAlign w:val="bottom"/>
          </w:tcPr>
          <w:p>
            <w:pPr>
              <w:ind w:left="20"/>
              <w:spacing w:after="0" w:line="196" w:lineRule="exact"/>
              <w:rPr>
                <w:sz w:val="20"/>
                <w:szCs w:val="20"/>
                <w:color w:val="auto"/>
              </w:rPr>
            </w:pPr>
            <w:r>
              <w:rPr>
                <w:rFonts w:ascii="Arial" w:cs="Arial" w:eastAsia="Arial" w:hAnsi="Arial"/>
                <w:sz w:val="18"/>
                <w:szCs w:val="18"/>
                <w:color w:val="auto"/>
              </w:rPr>
              <w:t>Comprehensive loss, net of tax</w:t>
            </w:r>
          </w:p>
        </w:tc>
        <w:tc>
          <w:tcPr>
            <w:tcW w:w="280" w:type="dxa"/>
            <w:vAlign w:val="bottom"/>
            <w:tcBorders>
              <w:bottom w:val="single" w:sz="8" w:color="auto"/>
            </w:tcBorders>
          </w:tcPr>
          <w:p>
            <w:pPr>
              <w:jc w:val="right"/>
              <w:ind w:right="70"/>
              <w:spacing w:after="0" w:line="196" w:lineRule="exact"/>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(165.7)</w:t>
            </w:r>
          </w:p>
        </w:tc>
        <w:tc>
          <w:tcPr>
            <w:tcW w:w="100" w:type="dxa"/>
            <w:vAlign w:val="bottom"/>
          </w:tcPr>
          <w:p>
            <w:pPr>
              <w:spacing w:after="0"/>
              <w:rPr>
                <w:sz w:val="17"/>
                <w:szCs w:val="17"/>
                <w:color w:val="auto"/>
              </w:rPr>
            </w:pPr>
          </w:p>
        </w:tc>
        <w:tc>
          <w:tcPr>
            <w:tcW w:w="320" w:type="dxa"/>
            <w:vAlign w:val="bottom"/>
            <w:tcBorders>
              <w:bottom w:val="single" w:sz="8" w:color="auto"/>
            </w:tcBorders>
          </w:tcPr>
          <w:p>
            <w:pPr>
              <w:jc w:val="right"/>
              <w:ind w:right="110"/>
              <w:spacing w:after="0" w:line="196"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(88.2)</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basic</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(0.13)</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Net loss per share - diluted</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(0.13)</w:t>
            </w:r>
          </w:p>
        </w:tc>
      </w:tr>
      <w:tr>
        <w:trPr>
          <w:trHeight w:val="20"/>
        </w:trPr>
        <w:tc>
          <w:tcPr>
            <w:tcW w:w="82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r>
        <w:trPr>
          <w:trHeight w:val="237"/>
        </w:trPr>
        <w:tc>
          <w:tcPr>
            <w:tcW w:w="82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1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Weighted-average shares:</w:t>
            </w:r>
          </w:p>
        </w:tc>
        <w:tc>
          <w:tcPr>
            <w:tcW w:w="2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r>
      <w:tr>
        <w:trPr>
          <w:trHeight w:val="255"/>
        </w:trPr>
        <w:tc>
          <w:tcPr>
            <w:tcW w:w="82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auto"/>
            </w:tcBorders>
            <w:shd w:val="clear" w:color="auto" w:fill="CCEEFF"/>
          </w:tcPr>
          <w:p>
            <w:pPr>
              <w:spacing w:after="0"/>
              <w:rPr>
                <w:sz w:val="21"/>
                <w:szCs w:val="21"/>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848.0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693.4</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8260" w:type="dxa"/>
            <w:vAlign w:val="bottom"/>
          </w:tcPr>
          <w:p>
            <w:pPr>
              <w:ind w:left="360"/>
              <w:spacing w:after="0" w:line="203" w:lineRule="exact"/>
              <w:rPr>
                <w:sz w:val="20"/>
                <w:szCs w:val="20"/>
                <w:color w:val="auto"/>
              </w:rPr>
            </w:pPr>
            <w:r>
              <w:rPr>
                <w:rFonts w:ascii="Arial" w:cs="Arial" w:eastAsia="Arial" w:hAnsi="Arial"/>
                <w:sz w:val="18"/>
                <w:szCs w:val="18"/>
                <w:color w:val="auto"/>
              </w:rPr>
              <w:t>Diluted</w:t>
            </w:r>
          </w:p>
        </w:tc>
        <w:tc>
          <w:tcPr>
            <w:tcW w:w="28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848.0</w:t>
            </w:r>
          </w:p>
        </w:tc>
        <w:tc>
          <w:tcPr>
            <w:tcW w:w="10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693.4</w:t>
            </w:r>
          </w:p>
        </w:tc>
      </w:tr>
      <w:tr>
        <w:trPr>
          <w:trHeight w:val="20"/>
        </w:trPr>
        <w:tc>
          <w:tcPr>
            <w:tcW w:w="82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900" w:type="dxa"/>
            <w:vAlign w:val="bottom"/>
            <w:tcBorders>
              <w:bottom w:val="single" w:sz="8" w:color="auto"/>
            </w:tcBorders>
            <w:gridSpan w:val="7"/>
          </w:tcPr>
          <w:p>
            <w:pPr>
              <w:ind w:left="460"/>
              <w:spacing w:after="0"/>
              <w:rPr>
                <w:sz w:val="20"/>
                <w:szCs w:val="20"/>
                <w:color w:val="auto"/>
              </w:rPr>
            </w:pPr>
            <w:r>
              <w:rPr>
                <w:rFonts w:ascii="Arial" w:cs="Arial" w:eastAsia="Arial" w:hAnsi="Arial"/>
                <w:sz w:val="14"/>
                <w:szCs w:val="14"/>
                <w:b w:val="1"/>
                <w:bCs w:val="1"/>
                <w:color w:val="auto"/>
              </w:rPr>
              <w:t>Common Stock</w:t>
            </w: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0"/>
        </w:trPr>
        <w:tc>
          <w:tcPr>
            <w:tcW w:w="53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20" w:type="dxa"/>
            <w:vAlign w:val="bottom"/>
            <w:gridSpan w:val="4"/>
            <w:vMerge w:val="restart"/>
          </w:tcPr>
          <w:p>
            <w:pPr>
              <w:ind w:left="22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9"/>
                <w:szCs w:val="19"/>
                <w:color w:val="auto"/>
              </w:rPr>
            </w:pPr>
          </w:p>
        </w:tc>
        <w:tc>
          <w:tcPr>
            <w:tcW w:w="860" w:type="dxa"/>
            <w:vAlign w:val="bottom"/>
            <w:gridSpan w:val="3"/>
            <w:vMerge w:val="restart"/>
          </w:tcPr>
          <w:p>
            <w:pPr>
              <w:ind w:left="6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tcPr>
          <w:p>
            <w:pPr>
              <w:ind w:left="40"/>
              <w:spacing w:after="0"/>
              <w:rPr>
                <w:sz w:val="20"/>
                <w:szCs w:val="20"/>
                <w:color w:val="auto"/>
              </w:rPr>
            </w:pPr>
            <w:r>
              <w:rPr>
                <w:rFonts w:ascii="Arial" w:cs="Arial" w:eastAsia="Arial" w:hAnsi="Arial"/>
                <w:sz w:val="14"/>
                <w:szCs w:val="14"/>
                <w:b w:val="1"/>
                <w:bCs w:val="1"/>
                <w:color w:val="auto"/>
              </w:rPr>
              <w:t>Additional Paid-in</w:t>
            </w: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9"/>
                <w:szCs w:val="19"/>
                <w:color w:val="auto"/>
              </w:rPr>
            </w:pPr>
          </w:p>
        </w:tc>
        <w:tc>
          <w:tcPr>
            <w:tcW w:w="920" w:type="dxa"/>
            <w:vAlign w:val="bottom"/>
            <w:vMerge w:val="restart"/>
          </w:tcPr>
          <w:p>
            <w:pPr>
              <w:jc w:val="right"/>
              <w:ind w:right="35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5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20" w:type="dxa"/>
            <w:vAlign w:val="bottom"/>
            <w:gridSpan w:val="4"/>
            <w:vMerge w:val="continue"/>
          </w:tcPr>
          <w:p>
            <w:pPr>
              <w:spacing w:after="0"/>
              <w:rPr>
                <w:sz w:val="16"/>
                <w:szCs w:val="16"/>
                <w:color w:val="auto"/>
              </w:rPr>
            </w:pPr>
          </w:p>
        </w:tc>
        <w:tc>
          <w:tcPr>
            <w:tcW w:w="120" w:type="dxa"/>
            <w:vAlign w:val="bottom"/>
          </w:tcPr>
          <w:p>
            <w:pPr>
              <w:spacing w:after="0"/>
              <w:rPr>
                <w:sz w:val="16"/>
                <w:szCs w:val="16"/>
                <w:color w:val="auto"/>
              </w:rPr>
            </w:pPr>
          </w:p>
        </w:tc>
        <w:tc>
          <w:tcPr>
            <w:tcW w:w="860" w:type="dxa"/>
            <w:vAlign w:val="bottom"/>
            <w:gridSpan w:val="3"/>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5360" w:type="dxa"/>
            <w:vAlign w:val="bottom"/>
            <w:tcBorders>
              <w:top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29, 2022</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846.7</w:t>
            </w:r>
          </w:p>
        </w:tc>
        <w:tc>
          <w:tcPr>
            <w:tcW w:w="20" w:type="dxa"/>
            <w:vAlign w:val="bottom"/>
            <w:tcBorders>
              <w:top w:val="single" w:sz="8" w:color="auto"/>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14,209.0</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c>
          <w:tcPr>
            <w:tcW w:w="1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c>
          <w:tcPr>
            <w:tcW w:w="0" w:type="dxa"/>
            <w:vAlign w:val="bottom"/>
          </w:tcPr>
          <w:p>
            <w:pPr>
              <w:spacing w:after="0"/>
              <w:rPr>
                <w:sz w:val="1"/>
                <w:szCs w:val="1"/>
                <w:color w:val="auto"/>
              </w:rPr>
            </w:pPr>
          </w:p>
        </w:tc>
      </w:tr>
      <w:tr>
        <w:trPr>
          <w:trHeight w:val="230"/>
        </w:trPr>
        <w:tc>
          <w:tcPr>
            <w:tcW w:w="5360" w:type="dxa"/>
            <w:vAlign w:val="bottom"/>
            <w:gridSpan w:val="2"/>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60" w:type="dxa"/>
            <w:vAlign w:val="bottom"/>
          </w:tcPr>
          <w:p>
            <w:pPr>
              <w:jc w:val="right"/>
              <w:spacing w:after="0"/>
              <w:rPr>
                <w:sz w:val="20"/>
                <w:szCs w:val="20"/>
                <w:color w:val="auto"/>
              </w:rPr>
            </w:pPr>
            <w:r>
              <w:rPr>
                <w:rFonts w:ascii="Arial" w:cs="Arial" w:eastAsia="Arial" w:hAnsi="Arial"/>
                <w:sz w:val="18"/>
                <w:szCs w:val="18"/>
                <w:color w:val="auto"/>
              </w:rPr>
              <w:t>4.1</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29"/>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3"/>
              </w:rPr>
              <w:t>Tax withholdings related to net share settlement of restricted stock units</w:t>
            </w:r>
          </w:p>
        </w:tc>
        <w:tc>
          <w:tcPr>
            <w:tcW w:w="10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0" w:type="dxa"/>
            <w:vAlign w:val="bottom"/>
          </w:tcPr>
          <w:p>
            <w:pPr>
              <w:spacing w:after="0"/>
              <w:rPr>
                <w:sz w:val="1"/>
                <w:szCs w:val="1"/>
                <w:color w:val="auto"/>
              </w:rPr>
            </w:pPr>
          </w:p>
        </w:tc>
      </w:tr>
      <w:tr>
        <w:trPr>
          <w:trHeight w:val="229"/>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4"/>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129.7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129.7</w:t>
            </w:r>
          </w:p>
        </w:tc>
        <w:tc>
          <w:tcPr>
            <w:tcW w:w="0" w:type="dxa"/>
            <w:vAlign w:val="bottom"/>
          </w:tcPr>
          <w:p>
            <w:pPr>
              <w:spacing w:after="0"/>
              <w:rPr>
                <w:sz w:val="1"/>
                <w:szCs w:val="1"/>
                <w:color w:val="auto"/>
              </w:rPr>
            </w:pPr>
          </w:p>
        </w:tc>
      </w:tr>
      <w:tr>
        <w:trPr>
          <w:trHeight w:val="230"/>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29"/>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4"/>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(50.9)</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(50.9)</w:t>
            </w:r>
          </w:p>
        </w:tc>
        <w:tc>
          <w:tcPr>
            <w:tcW w:w="0" w:type="dxa"/>
            <w:vAlign w:val="bottom"/>
          </w:tcPr>
          <w:p>
            <w:pPr>
              <w:spacing w:after="0"/>
              <w:rPr>
                <w:sz w:val="1"/>
                <w:szCs w:val="1"/>
                <w:color w:val="auto"/>
              </w:rPr>
            </w:pPr>
          </w:p>
        </w:tc>
      </w:tr>
      <w:tr>
        <w:trPr>
          <w:trHeight w:val="229"/>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0" w:type="dxa"/>
            <w:vAlign w:val="bottom"/>
          </w:tcPr>
          <w:p>
            <w:pPr>
              <w:spacing w:after="0"/>
              <w:rPr>
                <w:sz w:val="1"/>
                <w:szCs w:val="1"/>
                <w:color w:val="auto"/>
              </w:rPr>
            </w:pPr>
          </w:p>
        </w:tc>
      </w:tr>
      <w:tr>
        <w:trPr>
          <w:trHeight w:val="223"/>
        </w:trPr>
        <w:tc>
          <w:tcPr>
            <w:tcW w:w="5360" w:type="dxa"/>
            <w:vAlign w:val="bottom"/>
            <w:gridSpan w:val="2"/>
          </w:tcPr>
          <w:p>
            <w:pPr>
              <w:ind w:left="20"/>
              <w:spacing w:after="0"/>
              <w:rPr>
                <w:sz w:val="20"/>
                <w:szCs w:val="20"/>
                <w:color w:val="auto"/>
              </w:rPr>
            </w:pPr>
            <w:r>
              <w:rPr>
                <w:rFonts w:ascii="Arial" w:cs="Arial" w:eastAsia="Arial" w:hAnsi="Arial"/>
                <w:sz w:val="18"/>
                <w:szCs w:val="18"/>
                <w:b w:val="1"/>
                <w:bCs w:val="1"/>
                <w:color w:val="auto"/>
              </w:rPr>
              <w:t>Balance at April 30, 2022</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850.5</w:t>
            </w:r>
          </w:p>
        </w:tc>
        <w:tc>
          <w:tcPr>
            <w:tcW w:w="20" w:type="dxa"/>
            <w:vAlign w:val="bottom"/>
            <w:tcBorders>
              <w:top w:val="single" w:sz="8" w:color="auto"/>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w:t>
            </w:r>
          </w:p>
        </w:tc>
        <w:tc>
          <w:tcPr>
            <w:tcW w:w="20" w:type="dxa"/>
            <w:vAlign w:val="bottom"/>
            <w:tcBorders>
              <w:top w:val="single" w:sz="8" w:color="auto"/>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14,188.5</w:t>
            </w:r>
          </w:p>
        </w:tc>
        <w:tc>
          <w:tcPr>
            <w:tcW w:w="140" w:type="dxa"/>
            <w:vAlign w:val="bottom"/>
          </w:tcPr>
          <w:p>
            <w:pPr>
              <w:spacing w:after="0"/>
              <w:rPr>
                <w:sz w:val="19"/>
                <w:szCs w:val="19"/>
                <w:color w:val="auto"/>
              </w:rPr>
            </w:pPr>
          </w:p>
        </w:tc>
        <w:tc>
          <w:tcPr>
            <w:tcW w:w="36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1,274.8</w:t>
            </w:r>
          </w:p>
        </w:tc>
        <w:tc>
          <w:tcPr>
            <w:tcW w:w="14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0" w:type="dxa"/>
            <w:vAlign w:val="bottom"/>
          </w:tcPr>
          <w:p>
            <w:pPr>
              <w:spacing w:after="0"/>
              <w:rPr>
                <w:sz w:val="1"/>
                <w:szCs w:val="1"/>
                <w:color w:val="auto"/>
              </w:rPr>
            </w:pPr>
          </w:p>
        </w:tc>
      </w:tr>
      <w:tr>
        <w:trPr>
          <w:trHeight w:val="21"/>
        </w:trPr>
        <w:tc>
          <w:tcPr>
            <w:tcW w:w="5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60" w:type="dxa"/>
            <w:vAlign w:val="bottom"/>
            <w:tcBorders>
              <w:bottom w:val="single" w:sz="8" w:color="auto"/>
            </w:tcBorders>
            <w:gridSpan w:val="2"/>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38"/>
        </w:trPr>
        <w:tc>
          <w:tcPr>
            <w:tcW w:w="534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80" w:type="dxa"/>
            <w:vAlign w:val="bottom"/>
            <w:tcBorders>
              <w:bottom w:val="single" w:sz="8" w:color="auto"/>
            </w:tcBorders>
            <w:gridSpan w:val="6"/>
          </w:tcPr>
          <w:p>
            <w:pPr>
              <w:jc w:val="right"/>
              <w:ind w:right="392"/>
              <w:spacing w:after="0"/>
              <w:rPr>
                <w:sz w:val="20"/>
                <w:szCs w:val="20"/>
                <w:color w:val="auto"/>
              </w:rPr>
            </w:pPr>
            <w:r>
              <w:rPr>
                <w:rFonts w:ascii="Arial" w:cs="Arial" w:eastAsia="Arial" w:hAnsi="Arial"/>
                <w:sz w:val="14"/>
                <w:szCs w:val="14"/>
                <w:b w:val="1"/>
                <w:bCs w:val="1"/>
                <w:color w:val="auto"/>
              </w:rPr>
              <w:t>Common Stock</w:t>
            </w:r>
          </w:p>
        </w:tc>
        <w:tc>
          <w:tcPr>
            <w:tcW w:w="120" w:type="dxa"/>
            <w:vAlign w:val="bottom"/>
            <w:gridSpan w:val="2"/>
          </w:tcPr>
          <w:p>
            <w:pPr>
              <w:spacing w:after="0"/>
              <w:rPr>
                <w:sz w:val="24"/>
                <w:szCs w:val="24"/>
                <w:color w:val="auto"/>
              </w:rPr>
            </w:pPr>
          </w:p>
        </w:tc>
        <w:tc>
          <w:tcPr>
            <w:tcW w:w="24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5"/>
        </w:trPr>
        <w:tc>
          <w:tcPr>
            <w:tcW w:w="5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20" w:type="dxa"/>
            <w:vAlign w:val="bottom"/>
            <w:gridSpan w:val="4"/>
            <w:vMerge w:val="restart"/>
          </w:tcPr>
          <w:p>
            <w:pPr>
              <w:ind w:left="22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5"/>
                <w:szCs w:val="15"/>
                <w:color w:val="auto"/>
              </w:rPr>
            </w:pPr>
          </w:p>
        </w:tc>
        <w:tc>
          <w:tcPr>
            <w:tcW w:w="86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tcPr>
          <w:p>
            <w:pPr>
              <w:ind w:left="40"/>
              <w:spacing w:after="0"/>
              <w:rPr>
                <w:sz w:val="20"/>
                <w:szCs w:val="20"/>
                <w:color w:val="auto"/>
              </w:rPr>
            </w:pPr>
            <w:r>
              <w:rPr>
                <w:rFonts w:ascii="Arial" w:cs="Arial" w:eastAsia="Arial" w:hAnsi="Arial"/>
                <w:sz w:val="14"/>
                <w:szCs w:val="14"/>
                <w:b w:val="1"/>
                <w:bCs w:val="1"/>
                <w:color w:val="auto"/>
              </w:rPr>
              <w:t>Additional Paid-in</w:t>
            </w:r>
          </w:p>
        </w:tc>
        <w:tc>
          <w:tcPr>
            <w:tcW w:w="13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5"/>
                <w:szCs w:val="15"/>
                <w:color w:val="auto"/>
              </w:rPr>
            </w:pPr>
          </w:p>
        </w:tc>
        <w:tc>
          <w:tcPr>
            <w:tcW w:w="920" w:type="dxa"/>
            <w:vAlign w:val="bottom"/>
            <w:vMerge w:val="restart"/>
          </w:tcPr>
          <w:p>
            <w:pPr>
              <w:jc w:val="right"/>
              <w:ind w:right="35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53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20" w:type="dxa"/>
            <w:vAlign w:val="bottom"/>
            <w:gridSpan w:val="4"/>
            <w:vMerge w:val="continue"/>
          </w:tcPr>
          <w:p>
            <w:pPr>
              <w:spacing w:after="0"/>
              <w:rPr>
                <w:sz w:val="16"/>
                <w:szCs w:val="16"/>
                <w:color w:val="auto"/>
              </w:rPr>
            </w:pPr>
          </w:p>
        </w:tc>
        <w:tc>
          <w:tcPr>
            <w:tcW w:w="120" w:type="dxa"/>
            <w:vAlign w:val="bottom"/>
          </w:tcPr>
          <w:p>
            <w:pPr>
              <w:spacing w:after="0"/>
              <w:rPr>
                <w:sz w:val="16"/>
                <w:szCs w:val="16"/>
                <w:color w:val="auto"/>
              </w:rPr>
            </w:pPr>
          </w:p>
        </w:tc>
        <w:tc>
          <w:tcPr>
            <w:tcW w:w="860" w:type="dxa"/>
            <w:vAlign w:val="bottom"/>
            <w:gridSpan w:val="3"/>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6"/>
                <w:szCs w:val="16"/>
                <w:color w:val="auto"/>
              </w:rPr>
            </w:pPr>
          </w:p>
        </w:tc>
        <w:tc>
          <w:tcPr>
            <w:tcW w:w="28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53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30, 2021</w:t>
            </w:r>
          </w:p>
        </w:tc>
        <w:tc>
          <w:tcPr>
            <w:tcW w:w="20" w:type="dxa"/>
            <w:vAlign w:val="bottom"/>
            <w:tcBorders>
              <w:top w:val="single" w:sz="8" w:color="auto"/>
            </w:tcBorders>
            <w:shd w:val="clear" w:color="auto" w:fill="CCEEFF"/>
          </w:tcPr>
          <w:p>
            <w:pPr>
              <w:spacing w:after="0"/>
              <w:rPr>
                <w:sz w:val="19"/>
                <w:szCs w:val="19"/>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675.4</w:t>
            </w:r>
          </w:p>
        </w:tc>
        <w:tc>
          <w:tcPr>
            <w:tcW w:w="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CCEEFF"/>
            </w:tcBorders>
            <w:shd w:val="clear" w:color="auto" w:fill="CCEEFF"/>
          </w:tcPr>
          <w:p>
            <w:pPr>
              <w:spacing w:after="0"/>
              <w:rPr>
                <w:sz w:val="19"/>
                <w:szCs w:val="19"/>
                <w:color w:val="auto"/>
              </w:rPr>
            </w:pPr>
          </w:p>
        </w:tc>
        <w:tc>
          <w:tcPr>
            <w:tcW w:w="20" w:type="dxa"/>
            <w:vAlign w:val="bottom"/>
            <w:tcBorders>
              <w:top w:val="single" w:sz="8" w:color="auto"/>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6,331.0</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w:t>
            </w:r>
          </w:p>
        </w:tc>
        <w:tc>
          <w:tcPr>
            <w:tcW w:w="14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8,435.8</w:t>
            </w:r>
          </w:p>
        </w:tc>
        <w:tc>
          <w:tcPr>
            <w:tcW w:w="0" w:type="dxa"/>
            <w:vAlign w:val="bottom"/>
          </w:tcPr>
          <w:p>
            <w:pPr>
              <w:spacing w:after="0"/>
              <w:rPr>
                <w:sz w:val="1"/>
                <w:szCs w:val="1"/>
                <w:color w:val="auto"/>
              </w:rPr>
            </w:pPr>
          </w:p>
        </w:tc>
      </w:tr>
      <w:tr>
        <w:trPr>
          <w:trHeight w:val="229"/>
        </w:trPr>
        <w:tc>
          <w:tcPr>
            <w:tcW w:w="5360" w:type="dxa"/>
            <w:vAlign w:val="bottom"/>
            <w:gridSpan w:val="2"/>
          </w:tcPr>
          <w:p>
            <w:pPr>
              <w:ind w:left="20"/>
              <w:spacing w:after="0"/>
              <w:rPr>
                <w:sz w:val="20"/>
                <w:szCs w:val="20"/>
                <w:color w:val="auto"/>
              </w:rPr>
            </w:pPr>
            <w:r>
              <w:rPr>
                <w:rFonts w:ascii="Arial" w:cs="Arial" w:eastAsia="Arial" w:hAnsi="Arial"/>
                <w:sz w:val="18"/>
                <w:szCs w:val="18"/>
                <w:color w:val="auto"/>
                <w:w w:val="98"/>
              </w:rPr>
              <w:t>Issuance of common stock in connection with equity incentive plans</w:t>
            </w:r>
          </w:p>
        </w:tc>
        <w:tc>
          <w:tcPr>
            <w:tcW w:w="860" w:type="dxa"/>
            <w:vAlign w:val="bottom"/>
          </w:tcPr>
          <w:p>
            <w:pPr>
              <w:jc w:val="right"/>
              <w:spacing w:after="0"/>
              <w:rPr>
                <w:sz w:val="20"/>
                <w:szCs w:val="20"/>
                <w:color w:val="auto"/>
              </w:rPr>
            </w:pPr>
            <w:r>
              <w:rPr>
                <w:rFonts w:ascii="Arial" w:cs="Arial" w:eastAsia="Arial" w:hAnsi="Arial"/>
                <w:sz w:val="18"/>
                <w:szCs w:val="18"/>
                <w:color w:val="auto"/>
              </w:rPr>
              <w:t>2.2</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0.5</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29"/>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3"/>
              </w:rPr>
              <w:t>Tax withholdings related to net share settlement of restricted stock units</w:t>
            </w:r>
          </w:p>
        </w:tc>
        <w:tc>
          <w:tcPr>
            <w:tcW w:w="102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0" w:type="dxa"/>
            <w:vAlign w:val="bottom"/>
          </w:tcPr>
          <w:p>
            <w:pPr>
              <w:spacing w:after="0"/>
              <w:rPr>
                <w:sz w:val="1"/>
                <w:szCs w:val="1"/>
                <w:color w:val="auto"/>
              </w:rPr>
            </w:pPr>
          </w:p>
        </w:tc>
      </w:tr>
      <w:tr>
        <w:trPr>
          <w:trHeight w:val="230"/>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Stock-based compensation</w:t>
            </w:r>
          </w:p>
        </w:tc>
        <w:tc>
          <w:tcPr>
            <w:tcW w:w="1020" w:type="dxa"/>
            <w:vAlign w:val="bottom"/>
            <w:gridSpan w:val="4"/>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92.7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92.7</w:t>
            </w:r>
          </w:p>
        </w:tc>
        <w:tc>
          <w:tcPr>
            <w:tcW w:w="0" w:type="dxa"/>
            <w:vAlign w:val="bottom"/>
          </w:tcPr>
          <w:p>
            <w:pPr>
              <w:spacing w:after="0"/>
              <w:rPr>
                <w:sz w:val="1"/>
                <w:szCs w:val="1"/>
                <w:color w:val="auto"/>
              </w:rPr>
            </w:pPr>
          </w:p>
        </w:tc>
      </w:tr>
      <w:tr>
        <w:trPr>
          <w:trHeight w:val="229"/>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Issuance of common stock in connection with acquisitions</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129.2</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5,910.9</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5,911.2</w:t>
            </w:r>
          </w:p>
        </w:tc>
        <w:tc>
          <w:tcPr>
            <w:tcW w:w="0" w:type="dxa"/>
            <w:vAlign w:val="bottom"/>
          </w:tcPr>
          <w:p>
            <w:pPr>
              <w:spacing w:after="0"/>
              <w:rPr>
                <w:sz w:val="1"/>
                <w:szCs w:val="1"/>
                <w:color w:val="auto"/>
              </w:rPr>
            </w:pPr>
          </w:p>
        </w:tc>
      </w:tr>
      <w:tr>
        <w:trPr>
          <w:trHeight w:val="230"/>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Equity related issuance cost</w:t>
            </w:r>
          </w:p>
        </w:tc>
        <w:tc>
          <w:tcPr>
            <w:tcW w:w="1020" w:type="dxa"/>
            <w:vAlign w:val="bottom"/>
            <w:gridSpan w:val="4"/>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(8.2)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30"/>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Replacement equity awards attributable to pre-acquisition service</w:t>
            </w:r>
          </w:p>
        </w:tc>
        <w:tc>
          <w:tcPr>
            <w:tcW w:w="102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c>
          <w:tcPr>
            <w:tcW w:w="0" w:type="dxa"/>
            <w:vAlign w:val="bottom"/>
          </w:tcPr>
          <w:p>
            <w:pPr>
              <w:spacing w:after="0"/>
              <w:rPr>
                <w:sz w:val="1"/>
                <w:szCs w:val="1"/>
                <w:color w:val="auto"/>
              </w:rPr>
            </w:pPr>
          </w:p>
        </w:tc>
      </w:tr>
      <w:tr>
        <w:trPr>
          <w:trHeight w:val="229"/>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Conversion feature of convertible notes</w:t>
            </w:r>
          </w:p>
        </w:tc>
        <w:tc>
          <w:tcPr>
            <w:tcW w:w="1020" w:type="dxa"/>
            <w:vAlign w:val="bottom"/>
            <w:gridSpan w:val="4"/>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244.2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244.2</w:t>
            </w:r>
          </w:p>
        </w:tc>
        <w:tc>
          <w:tcPr>
            <w:tcW w:w="0" w:type="dxa"/>
            <w:vAlign w:val="bottom"/>
          </w:tcPr>
          <w:p>
            <w:pPr>
              <w:spacing w:after="0"/>
              <w:rPr>
                <w:sz w:val="1"/>
                <w:szCs w:val="1"/>
                <w:color w:val="auto"/>
              </w:rPr>
            </w:pPr>
          </w:p>
        </w:tc>
      </w:tr>
      <w:tr>
        <w:trPr>
          <w:trHeight w:val="230"/>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Impact of repurchases of convertible notes</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234.3</w:t>
            </w:r>
          </w:p>
        </w:tc>
        <w:tc>
          <w:tcPr>
            <w:tcW w:w="0" w:type="dxa"/>
            <w:vAlign w:val="bottom"/>
          </w:tcPr>
          <w:p>
            <w:pPr>
              <w:spacing w:after="0"/>
              <w:rPr>
                <w:sz w:val="1"/>
                <w:szCs w:val="1"/>
                <w:color w:val="auto"/>
              </w:rPr>
            </w:pPr>
          </w:p>
        </w:tc>
      </w:tr>
      <w:tr>
        <w:trPr>
          <w:trHeight w:val="230"/>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Conversion of convertible notes to common stock</w:t>
            </w:r>
          </w:p>
        </w:tc>
        <w:tc>
          <w:tcPr>
            <w:tcW w:w="860" w:type="dxa"/>
            <w:vAlign w:val="bottom"/>
          </w:tcPr>
          <w:p>
            <w:pPr>
              <w:jc w:val="right"/>
              <w:spacing w:after="0"/>
              <w:rPr>
                <w:sz w:val="20"/>
                <w:szCs w:val="20"/>
                <w:color w:val="auto"/>
              </w:rPr>
            </w:pPr>
            <w:r>
              <w:rPr>
                <w:rFonts w:ascii="Arial" w:cs="Arial" w:eastAsia="Arial" w:hAnsi="Arial"/>
                <w:sz w:val="18"/>
                <w:szCs w:val="18"/>
                <w:color w:val="auto"/>
              </w:rPr>
              <w:t>2.5</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59.7</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30"/>
        </w:trPr>
        <w:tc>
          <w:tcPr>
            <w:tcW w:w="536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02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8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29"/>
        </w:trPr>
        <w:tc>
          <w:tcPr>
            <w:tcW w:w="5360" w:type="dxa"/>
            <w:vAlign w:val="bottom"/>
            <w:gridSpan w:val="2"/>
          </w:tcPr>
          <w:p>
            <w:pPr>
              <w:ind w:left="20"/>
              <w:spacing w:after="0"/>
              <w:rPr>
                <w:sz w:val="20"/>
                <w:szCs w:val="20"/>
                <w:color w:val="auto"/>
              </w:rPr>
            </w:pPr>
            <w:r>
              <w:rPr>
                <w:rFonts w:ascii="Arial" w:cs="Arial" w:eastAsia="Arial" w:hAnsi="Arial"/>
                <w:sz w:val="18"/>
                <w:szCs w:val="18"/>
                <w:color w:val="auto"/>
              </w:rPr>
              <w:t>Net loss</w:t>
            </w:r>
          </w:p>
        </w:tc>
        <w:tc>
          <w:tcPr>
            <w:tcW w:w="1020" w:type="dxa"/>
            <w:vAlign w:val="bottom"/>
            <w:gridSpan w:val="4"/>
          </w:tcPr>
          <w:p>
            <w:pPr>
              <w:jc w:val="right"/>
              <w:ind w:righ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1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(88.2)</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(88.2)</w:t>
            </w:r>
          </w:p>
        </w:tc>
        <w:tc>
          <w:tcPr>
            <w:tcW w:w="0" w:type="dxa"/>
            <w:vAlign w:val="bottom"/>
          </w:tcPr>
          <w:p>
            <w:pPr>
              <w:spacing w:after="0"/>
              <w:rPr>
                <w:sz w:val="1"/>
                <w:szCs w:val="1"/>
                <w:color w:val="auto"/>
              </w:rPr>
            </w:pPr>
          </w:p>
        </w:tc>
      </w:tr>
      <w:tr>
        <w:trPr>
          <w:trHeight w:val="248"/>
        </w:trPr>
        <w:tc>
          <w:tcPr>
            <w:tcW w:w="53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1, 2021</w:t>
            </w:r>
          </w:p>
        </w:tc>
        <w:tc>
          <w:tcPr>
            <w:tcW w:w="20" w:type="dxa"/>
            <w:vAlign w:val="bottom"/>
            <w:tcBorders>
              <w:top w:val="single" w:sz="8" w:color="auto"/>
              <w:bottom w:val="single" w:sz="8" w:color="auto"/>
            </w:tcBorders>
            <w:shd w:val="clear" w:color="auto" w:fill="CCEEFF"/>
          </w:tcPr>
          <w:p>
            <w:pPr>
              <w:spacing w:after="0"/>
              <w:rPr>
                <w:sz w:val="21"/>
                <w:szCs w:val="21"/>
                <w:color w:val="auto"/>
              </w:rPr>
            </w:pP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816.4</w:t>
            </w:r>
          </w:p>
        </w:tc>
        <w:tc>
          <w:tcPr>
            <w:tcW w:w="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 w:type="dxa"/>
            <w:vAlign w:val="bottom"/>
            <w:tcBorders>
              <w:top w:val="single" w:sz="8" w:color="auto"/>
              <w:bottom w:val="single" w:sz="8" w:color="auto"/>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 w:type="dxa"/>
            <w:vAlign w:val="bottom"/>
            <w:tcBorders>
              <w:top w:val="single" w:sz="8" w:color="CCEEFF"/>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12,879.1</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14,855.4</w:t>
            </w:r>
          </w:p>
        </w:tc>
        <w:tc>
          <w:tcPr>
            <w:tcW w:w="0" w:type="dxa"/>
            <w:vAlign w:val="bottom"/>
          </w:tcPr>
          <w:p>
            <w:pPr>
              <w:spacing w:after="0"/>
              <w:rPr>
                <w:sz w:val="1"/>
                <w:szCs w:val="1"/>
                <w:color w:val="auto"/>
              </w:rPr>
            </w:pPr>
          </w:p>
        </w:tc>
      </w:tr>
      <w:tr>
        <w:trPr>
          <w:trHeight w:val="20"/>
        </w:trPr>
        <w:tc>
          <w:tcPr>
            <w:tcW w:w="534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74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82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4"/>
          </w:tcPr>
          <w:p>
            <w:pPr>
              <w:jc w:val="right"/>
              <w:ind w:right="731"/>
              <w:spacing w:after="0"/>
              <w:rPr>
                <w:sz w:val="20"/>
                <w:szCs w:val="20"/>
                <w:color w:val="auto"/>
              </w:rPr>
            </w:pPr>
            <w:r>
              <w:rPr>
                <w:rFonts w:ascii="Arial" w:cs="Arial" w:eastAsia="Arial" w:hAnsi="Arial"/>
                <w:sz w:val="14"/>
                <w:szCs w:val="14"/>
                <w:b w:val="1"/>
                <w:bCs w:val="1"/>
                <w:color w:val="auto"/>
              </w:rPr>
              <w:t>Three Months Ended</w:t>
            </w:r>
          </w:p>
        </w:tc>
      </w:tr>
      <w:tr>
        <w:trPr>
          <w:trHeight w:val="134"/>
        </w:trPr>
        <w:tc>
          <w:tcPr>
            <w:tcW w:w="82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6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April 30,</w:t>
            </w:r>
          </w:p>
        </w:tc>
        <w:tc>
          <w:tcPr>
            <w:tcW w:w="300" w:type="dxa"/>
            <w:vAlign w:val="bottom"/>
          </w:tcPr>
          <w:p>
            <w:pPr>
              <w:spacing w:after="0"/>
              <w:rPr>
                <w:sz w:val="11"/>
                <w:szCs w:val="11"/>
                <w:color w:val="auto"/>
              </w:rPr>
            </w:pPr>
          </w:p>
        </w:tc>
        <w:tc>
          <w:tcPr>
            <w:tcW w:w="1120" w:type="dxa"/>
            <w:vAlign w:val="bottom"/>
          </w:tcPr>
          <w:p>
            <w:pPr>
              <w:jc w:val="right"/>
              <w:ind w:right="411"/>
              <w:spacing w:after="0" w:line="135" w:lineRule="exact"/>
              <w:rPr>
                <w:sz w:val="20"/>
                <w:szCs w:val="20"/>
                <w:color w:val="auto"/>
              </w:rPr>
            </w:pPr>
            <w:r>
              <w:rPr>
                <w:rFonts w:ascii="Arial" w:cs="Arial" w:eastAsia="Arial" w:hAnsi="Arial"/>
                <w:sz w:val="14"/>
                <w:szCs w:val="14"/>
                <w:b w:val="1"/>
                <w:bCs w:val="1"/>
                <w:color w:val="auto"/>
              </w:rPr>
              <w:t>May 1,</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2021</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(165.7)</w:t>
            </w:r>
          </w:p>
        </w:tc>
        <w:tc>
          <w:tcPr>
            <w:tcW w:w="120" w:type="dxa"/>
            <w:vAlign w:val="bottom"/>
          </w:tcPr>
          <w:p>
            <w:pPr>
              <w:spacing w:after="0"/>
              <w:rPr>
                <w:sz w:val="19"/>
                <w:szCs w:val="19"/>
                <w:color w:val="auto"/>
              </w:rPr>
            </w:pP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(88.2)</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(used in) operating activities: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75.7</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51.8</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272.5</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128.6</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6.7</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31.4</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165.0</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w:t>
            </w:r>
          </w:p>
        </w:tc>
      </w:tr>
      <w:tr>
        <w:trPr>
          <w:trHeight w:val="229"/>
        </w:trPr>
        <w:tc>
          <w:tcPr>
            <w:tcW w:w="8240" w:type="dxa"/>
            <w:vAlign w:val="bottom"/>
          </w:tcPr>
          <w:p>
            <w:pPr>
              <w:ind w:left="460"/>
              <w:spacing w:after="0"/>
              <w:rPr>
                <w:sz w:val="20"/>
                <w:szCs w:val="20"/>
                <w:color w:val="auto"/>
              </w:rPr>
            </w:pPr>
            <w:r>
              <w:rPr>
                <w:rFonts w:ascii="Arial" w:cs="Arial" w:eastAsia="Arial" w:hAnsi="Arial"/>
                <w:sz w:val="18"/>
                <w:szCs w:val="18"/>
                <w:color w:val="auto"/>
              </w:rPr>
              <w:t>Changes in assets and liabilities, net of acquisitions:</w:t>
            </w:r>
          </w:p>
        </w:tc>
        <w:tc>
          <w:tcPr>
            <w:tcW w:w="2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spacing w:after="0"/>
              <w:rPr>
                <w:sz w:val="19"/>
                <w:szCs w:val="19"/>
                <w:color w:val="auto"/>
              </w:rPr>
            </w:pP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receivable</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(139.5)</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(142.9)</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Inventories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w:t>
            </w:r>
          </w:p>
        </w:tc>
      </w:tr>
      <w:tr>
        <w:trPr>
          <w:trHeight w:val="230"/>
        </w:trPr>
        <w:tc>
          <w:tcPr>
            <w:tcW w:w="8240" w:type="dxa"/>
            <w:vAlign w:val="bottom"/>
          </w:tcPr>
          <w:p>
            <w:pPr>
              <w:ind w:left="680"/>
              <w:spacing w:after="0"/>
              <w:rPr>
                <w:sz w:val="20"/>
                <w:szCs w:val="20"/>
                <w:color w:val="auto"/>
              </w:rPr>
            </w:pPr>
            <w:r>
              <w:rPr>
                <w:rFonts w:ascii="Arial" w:cs="Arial" w:eastAsia="Arial" w:hAnsi="Arial"/>
                <w:sz w:val="18"/>
                <w:szCs w:val="18"/>
                <w:color w:val="auto"/>
              </w:rPr>
              <w:t>Accounts payable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61.4</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(51.6)</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employee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w:t>
            </w:r>
          </w:p>
        </w:tc>
      </w:tr>
      <w:tr>
        <w:trPr>
          <w:trHeight w:val="230"/>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97.0</w:t>
            </w:r>
          </w:p>
        </w:tc>
        <w:tc>
          <w:tcPr>
            <w:tcW w:w="12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(47.0)</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provided by (used in) operating activities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194.8</w:t>
            </w:r>
          </w:p>
        </w:tc>
        <w:tc>
          <w:tcPr>
            <w:tcW w:w="12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w:t>
            </w:r>
          </w:p>
        </w:tc>
      </w:tr>
      <w:tr>
        <w:trPr>
          <w:trHeight w:val="209"/>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(36.9)</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(21.4)</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Acquisitions, net of cash acquired</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(3,600.2)</w:t>
            </w:r>
          </w:p>
        </w:tc>
      </w:tr>
      <w:tr>
        <w:trPr>
          <w:trHeight w:val="230"/>
        </w:trPr>
        <w:tc>
          <w:tcPr>
            <w:tcW w:w="82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12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(82.4)</w:t>
            </w:r>
          </w:p>
        </w:tc>
        <w:tc>
          <w:tcPr>
            <w:tcW w:w="12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(3,624.6)</w:t>
            </w:r>
          </w:p>
        </w:tc>
      </w:tr>
      <w:tr>
        <w:trPr>
          <w:trHeight w:val="210"/>
        </w:trPr>
        <w:tc>
          <w:tcPr>
            <w:tcW w:w="8240" w:type="dxa"/>
            <w:vAlign w:val="bottom"/>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Repurchases of common stock</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0.5</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Dividend payments to stockholders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(50.9)</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(40.6)</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Proceeds from issuance of debt</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3,731.1</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Principal payments of debt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1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for repurchases and settlement of convertible notes</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(71.1)</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capped calls</w:t>
            </w:r>
          </w:p>
        </w:tc>
        <w:tc>
          <w:tcPr>
            <w:tcW w:w="28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111.2</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Payment of equity and debt financing costs</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23"/>
        </w:trPr>
        <w:tc>
          <w:tcPr>
            <w:tcW w:w="8240" w:type="dxa"/>
            <w:vAlign w:val="bottom"/>
            <w:tcBorders>
              <w:top w:val="single" w:sz="8" w:color="CCEEFF"/>
            </w:tcBorders>
            <w:shd w:val="clear" w:color="auto" w:fill="CCEEFF"/>
          </w:tcPr>
          <w:p>
            <w:pPr>
              <w:ind w:left="1220"/>
              <w:spacing w:after="0"/>
              <w:rPr>
                <w:sz w:val="20"/>
                <w:szCs w:val="20"/>
                <w:color w:val="auto"/>
              </w:rPr>
            </w:pPr>
            <w:r>
              <w:rPr>
                <w:rFonts w:ascii="Arial" w:cs="Arial" w:eastAsia="Arial" w:hAnsi="Arial"/>
                <w:sz w:val="18"/>
                <w:szCs w:val="18"/>
                <w:color w:val="auto"/>
              </w:rPr>
              <w:t>Net cash provided by (used in) financing activities</w:t>
            </w:r>
          </w:p>
        </w:tc>
        <w:tc>
          <w:tcPr>
            <w:tcW w:w="280" w:type="dxa"/>
            <w:vAlign w:val="bottom"/>
            <w:tcBorders>
              <w:top w:val="single" w:sz="8" w:color="auto"/>
              <w:bottom w:val="single" w:sz="8" w:color="auto"/>
            </w:tcBorders>
            <w:shd w:val="clear" w:color="auto" w:fill="CCEEFF"/>
          </w:tcPr>
          <w:p>
            <w:pPr>
              <w:spacing w:after="0"/>
              <w:rPr>
                <w:sz w:val="19"/>
                <w:szCs w:val="19"/>
                <w:color w:val="auto"/>
              </w:rPr>
            </w:pP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(260.9)</w:t>
            </w:r>
          </w:p>
        </w:tc>
        <w:tc>
          <w:tcPr>
            <w:tcW w:w="12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bottom w:val="single" w:sz="8" w:color="auto"/>
            </w:tcBorders>
            <w:shd w:val="clear" w:color="auto" w:fill="CCEEFF"/>
          </w:tcPr>
          <w:p>
            <w:pPr>
              <w:spacing w:after="0"/>
              <w:rPr>
                <w:sz w:val="19"/>
                <w:szCs w:val="19"/>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3,412.3</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Net decrease in cash and cash equivalents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(148.5)</w:t>
            </w:r>
          </w:p>
        </w:tc>
        <w:tc>
          <w:tcPr>
            <w:tcW w:w="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(226.0)</w:t>
            </w: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c>
          <w:tcPr>
            <w:tcW w:w="12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748.5</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465.0</w:t>
            </w:r>
          </w:p>
        </w:tc>
        <w:tc>
          <w:tcPr>
            <w:tcW w:w="120" w:type="dxa"/>
            <w:vAlign w:val="bottom"/>
          </w:tcPr>
          <w:p>
            <w:pPr>
              <w:spacing w:after="0"/>
              <w:rPr>
                <w:sz w:val="19"/>
                <w:szCs w:val="19"/>
                <w:color w:val="auto"/>
              </w:rPr>
            </w:pPr>
          </w:p>
        </w:tc>
        <w:tc>
          <w:tcPr>
            <w:tcW w:w="30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522.5</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 w:name="page7"/>
    <w:bookmarkEnd w:id="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43" w:lineRule="exact"/>
        <w:rPr>
          <w:sz w:val="20"/>
          <w:szCs w:val="20"/>
          <w:color w:val="auto"/>
        </w:rPr>
      </w:pPr>
    </w:p>
    <w:p>
      <w:pPr>
        <w:ind w:firstLine="405"/>
        <w:spacing w:after="0" w:line="269" w:lineRule="auto"/>
        <w:rPr>
          <w:sz w:val="20"/>
          <w:szCs w:val="20"/>
          <w:color w:val="auto"/>
        </w:rPr>
      </w:pPr>
      <w:r>
        <w:rPr>
          <w:rFonts w:ascii="Arial" w:cs="Arial" w:eastAsia="Arial" w:hAnsi="Arial"/>
          <w:sz w:val="16"/>
          <w:szCs w:val="16"/>
          <w:color w:val="auto"/>
        </w:rPr>
        <w:t>The unaudited condensed consolidated financial statements of Marvell Technology, Inc. (“MTI”), a Delaware corporation, and its wholly owned subsidiaries (the “Company”), as of and for the three months ended April 30, 2022,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2022 audited financial statements included in the Company’s Annual Report on Form 10-K for the fiscal year ended January 29, 2022.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29, 2022 and those included in this Form 10-Q below. All dollar amounts in the financial statements and tables in these notes, except per share amounts, are stated in millions of U.S. dollars unless otherwise noted.</w:t>
      </w:r>
    </w:p>
    <w:p>
      <w:pPr>
        <w:spacing w:after="0" w:line="198"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2022 had a 52-week year. Fiscal 2023 is a 52-week year.</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affected by COVID-19, these estimates require increased judgment and carry a higher degree of variability and volatility. As events continue to evolve and additional information becomes available, these estimates may change materially in future periods.</w:t>
      </w:r>
    </w:p>
    <w:p>
      <w:pPr>
        <w:spacing w:after="0" w:line="200" w:lineRule="exact"/>
        <w:rPr>
          <w:sz w:val="20"/>
          <w:szCs w:val="20"/>
          <w:color w:val="auto"/>
        </w:rPr>
      </w:pP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39" w:lineRule="exact"/>
        <w:rPr>
          <w:sz w:val="20"/>
          <w:szCs w:val="20"/>
          <w:color w:val="auto"/>
        </w:rPr>
      </w:pPr>
    </w:p>
    <w:p>
      <w:pPr>
        <w:ind w:right="80" w:firstLine="405"/>
        <w:spacing w:after="0" w:line="262" w:lineRule="auto"/>
        <w:rPr>
          <w:sz w:val="20"/>
          <w:szCs w:val="20"/>
          <w:color w:val="auto"/>
        </w:rPr>
      </w:pPr>
      <w:r>
        <w:rPr>
          <w:rFonts w:ascii="Arial" w:cs="Arial" w:eastAsia="Arial" w:hAnsi="Arial"/>
          <w:sz w:val="17"/>
          <w:szCs w:val="17"/>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should be applied prospectively to acquisitions occurring on or after the effective date. The new standard was early adopted by the Company on January 30, 2022 and did not have a material effect on the Company’s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7" w:name="page8"/>
    <w:bookmarkEnd w:id="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Revenue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gridSpan w:val="4"/>
          </w:tcPr>
          <w:p>
            <w:pPr>
              <w:jc w:val="right"/>
              <w:ind w:right="49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tcPr>
          <w:p>
            <w:pPr>
              <w:jc w:val="right"/>
              <w:ind w:right="235"/>
              <w:spacing w:after="0" w:line="135"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1260" w:type="dxa"/>
            <w:vAlign w:val="bottom"/>
            <w:gridSpan w:val="3"/>
            <w:vMerge w:val="restart"/>
          </w:tcPr>
          <w:p>
            <w:pPr>
              <w:jc w:val="right"/>
              <w:ind w:right="39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95"/>
              <w:spacing w:after="0" w:line="135"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60" w:type="dxa"/>
            <w:vAlign w:val="bottom"/>
          </w:tcPr>
          <w:p>
            <w:pPr>
              <w:jc w:val="right"/>
              <w:ind w:right="35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260" w:type="dxa"/>
            <w:vAlign w:val="bottom"/>
            <w:gridSpan w:val="3"/>
            <w:vMerge w:val="continue"/>
          </w:tcPr>
          <w:p>
            <w:pPr>
              <w:spacing w:after="0"/>
              <w:rPr>
                <w:sz w:val="16"/>
                <w:szCs w:val="16"/>
                <w:color w:val="auto"/>
              </w:rPr>
            </w:pPr>
          </w:p>
        </w:tc>
        <w:tc>
          <w:tcPr>
            <w:tcW w:w="940" w:type="dxa"/>
            <w:vAlign w:val="bottom"/>
          </w:tcPr>
          <w:p>
            <w:pPr>
              <w:jc w:val="right"/>
              <w:ind w:right="35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4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22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4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640.5</w:t>
            </w:r>
          </w:p>
        </w:tc>
        <w:tc>
          <w:tcPr>
            <w:tcW w:w="1360" w:type="dxa"/>
            <w:vAlign w:val="bottom"/>
            <w:gridSpan w:val="4"/>
          </w:tcPr>
          <w:p>
            <w:pPr>
              <w:jc w:val="right"/>
              <w:ind w:right="50"/>
              <w:spacing w:after="0"/>
              <w:rPr>
                <w:sz w:val="20"/>
                <w:szCs w:val="20"/>
                <w:color w:val="auto"/>
              </w:rPr>
            </w:pPr>
            <w:r>
              <w:rPr>
                <w:rFonts w:ascii="Arial" w:cs="Arial" w:eastAsia="Arial" w:hAnsi="Arial"/>
                <w:sz w:val="18"/>
                <w:szCs w:val="18"/>
                <w:color w:val="auto"/>
              </w:rPr>
              <w:t>44 %  $</w:t>
            </w:r>
          </w:p>
        </w:tc>
        <w:tc>
          <w:tcPr>
            <w:tcW w:w="940" w:type="dxa"/>
            <w:vAlign w:val="bottom"/>
          </w:tcPr>
          <w:p>
            <w:pPr>
              <w:jc w:val="right"/>
              <w:spacing w:after="0"/>
              <w:rPr>
                <w:sz w:val="20"/>
                <w:szCs w:val="20"/>
                <w:color w:val="auto"/>
              </w:rPr>
            </w:pPr>
            <w:r>
              <w:rPr>
                <w:rFonts w:ascii="Arial" w:cs="Arial" w:eastAsia="Arial" w:hAnsi="Arial"/>
                <w:sz w:val="18"/>
                <w:szCs w:val="18"/>
                <w:color w:val="auto"/>
              </w:rPr>
              <w:t>277.1</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33 %</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Carrier infrastructure</w:t>
            </w:r>
          </w:p>
        </w:tc>
        <w:tc>
          <w:tcPr>
            <w:tcW w:w="22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Enterprise networking</w:t>
            </w:r>
          </w:p>
        </w:tc>
        <w:tc>
          <w:tcPr>
            <w:tcW w:w="22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286.6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20 %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174.8</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22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178.5</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29"/>
        </w:trPr>
        <w:tc>
          <w:tcPr>
            <w:tcW w:w="6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22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89.3</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46.1</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1,446.9</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832.3</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jc w:val="both"/>
        <w:ind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millions, except percentages):</w:t>
      </w:r>
    </w:p>
    <w:p>
      <w:pPr>
        <w:spacing w:after="0" w:line="230" w:lineRule="exact"/>
        <w:rPr>
          <w:sz w:val="20"/>
          <w:szCs w:val="20"/>
          <w:color w:val="auto"/>
        </w:rPr>
      </w:pPr>
    </w:p>
    <w:p>
      <w:pPr>
        <w:ind w:left="8340"/>
        <w:spacing w:after="0"/>
        <w:rPr>
          <w:sz w:val="20"/>
          <w:szCs w:val="20"/>
          <w:color w:val="auto"/>
        </w:rPr>
      </w:pPr>
      <w:r>
        <w:rPr>
          <w:rFonts w:ascii="Arial" w:cs="Arial" w:eastAsia="Arial" w:hAnsi="Arial"/>
          <w:sz w:val="14"/>
          <w:szCs w:val="14"/>
          <w:b w:val="1"/>
          <w:bCs w:val="1"/>
          <w:color w:val="auto"/>
        </w:rPr>
        <w:t>Three Months Ended</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6740" w:type="dxa"/>
            <w:vAlign w:val="bottom"/>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tcPr>
          <w:p>
            <w:pPr>
              <w:jc w:val="right"/>
              <w:ind w:right="213"/>
              <w:spacing w:after="0" w:line="141" w:lineRule="exact"/>
              <w:rPr>
                <w:sz w:val="20"/>
                <w:szCs w:val="20"/>
                <w:color w:val="auto"/>
              </w:rPr>
            </w:pPr>
            <w:r>
              <w:rPr>
                <w:rFonts w:ascii="Arial" w:cs="Arial" w:eastAsia="Arial" w:hAnsi="Arial"/>
                <w:sz w:val="14"/>
                <w:szCs w:val="14"/>
                <w:b w:val="1"/>
                <w:bCs w:val="1"/>
                <w:color w:val="auto"/>
              </w:rPr>
              <w:t>April 30,</w:t>
            </w:r>
          </w:p>
        </w:tc>
        <w:tc>
          <w:tcPr>
            <w:tcW w:w="120" w:type="dxa"/>
            <w:vAlign w:val="bottom"/>
            <w:tcBorders>
              <w:top w:val="single" w:sz="8" w:color="auto"/>
            </w:tcBorders>
          </w:tcPr>
          <w:p>
            <w:pPr>
              <w:spacing w:after="0"/>
              <w:rPr>
                <w:sz w:val="12"/>
                <w:szCs w:val="12"/>
                <w:color w:val="auto"/>
              </w:rPr>
            </w:pPr>
          </w:p>
        </w:tc>
        <w:tc>
          <w:tcPr>
            <w:tcW w:w="1020" w:type="dxa"/>
            <w:vAlign w:val="bottom"/>
            <w:tcBorders>
              <w:top w:val="single" w:sz="8" w:color="auto"/>
            </w:tcBorders>
            <w:gridSpan w:val="2"/>
            <w:vMerge w:val="restart"/>
          </w:tcPr>
          <w:p>
            <w:pPr>
              <w:ind w:left="120"/>
              <w:spacing w:after="0"/>
              <w:rPr>
                <w:sz w:val="20"/>
                <w:szCs w:val="20"/>
                <w:color w:val="auto"/>
              </w:rPr>
            </w:pPr>
            <w:r>
              <w:rPr>
                <w:rFonts w:ascii="Arial" w:cs="Arial" w:eastAsia="Arial" w:hAnsi="Arial"/>
                <w:sz w:val="14"/>
                <w:szCs w:val="14"/>
                <w:b w:val="1"/>
                <w:bCs w:val="1"/>
                <w:color w:val="auto"/>
              </w:rPr>
              <w:t>% of Total</w:t>
            </w:r>
          </w:p>
        </w:tc>
        <w:tc>
          <w:tcPr>
            <w:tcW w:w="240" w:type="dxa"/>
            <w:vAlign w:val="bottom"/>
            <w:tcBorders>
              <w:top w:val="single" w:sz="8" w:color="auto"/>
            </w:tcBorders>
          </w:tcPr>
          <w:p>
            <w:pPr>
              <w:spacing w:after="0"/>
              <w:rPr>
                <w:sz w:val="12"/>
                <w:szCs w:val="12"/>
                <w:color w:val="auto"/>
              </w:rPr>
            </w:pPr>
          </w:p>
        </w:tc>
        <w:tc>
          <w:tcPr>
            <w:tcW w:w="940" w:type="dxa"/>
            <w:vAlign w:val="bottom"/>
            <w:tcBorders>
              <w:top w:val="single" w:sz="8" w:color="auto"/>
            </w:tcBorders>
          </w:tcPr>
          <w:p>
            <w:pPr>
              <w:jc w:val="right"/>
              <w:ind w:right="293"/>
              <w:spacing w:after="0" w:line="141" w:lineRule="exact"/>
              <w:rPr>
                <w:sz w:val="20"/>
                <w:szCs w:val="20"/>
                <w:color w:val="auto"/>
              </w:rPr>
            </w:pPr>
            <w:r>
              <w:rPr>
                <w:rFonts w:ascii="Arial" w:cs="Arial" w:eastAsia="Arial" w:hAnsi="Arial"/>
                <w:sz w:val="14"/>
                <w:szCs w:val="14"/>
                <w:b w:val="1"/>
                <w:bCs w:val="1"/>
                <w:color w:val="auto"/>
              </w:rPr>
              <w:t>May 1,</w:t>
            </w:r>
          </w:p>
        </w:tc>
        <w:tc>
          <w:tcPr>
            <w:tcW w:w="100" w:type="dxa"/>
            <w:vAlign w:val="bottom"/>
            <w:tcBorders>
              <w:top w:val="single" w:sz="8" w:color="auto"/>
            </w:tcBorders>
          </w:tcPr>
          <w:p>
            <w:pPr>
              <w:spacing w:after="0"/>
              <w:rPr>
                <w:sz w:val="12"/>
                <w:szCs w:val="12"/>
                <w:color w:val="auto"/>
              </w:rPr>
            </w:pPr>
          </w:p>
        </w:tc>
        <w:tc>
          <w:tcPr>
            <w:tcW w:w="920" w:type="dxa"/>
            <w:vAlign w:val="bottom"/>
            <w:tcBorders>
              <w:top w:val="single" w:sz="8" w:color="auto"/>
            </w:tcBorders>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60" w:type="dxa"/>
            <w:vAlign w:val="bottom"/>
          </w:tcPr>
          <w:p>
            <w:pPr>
              <w:jc w:val="right"/>
              <w:ind w:right="353"/>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02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940" w:type="dxa"/>
            <w:vAlign w:val="bottom"/>
          </w:tcPr>
          <w:p>
            <w:pPr>
              <w:jc w:val="right"/>
              <w:ind w:right="353"/>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4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based on destination of shipment:</w:t>
            </w:r>
          </w:p>
        </w:tc>
        <w:tc>
          <w:tcPr>
            <w:tcW w:w="20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China</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644.0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45 %</w:t>
            </w:r>
          </w:p>
        </w:tc>
        <w:tc>
          <w:tcPr>
            <w:tcW w:w="100" w:type="dxa"/>
            <w:vAlign w:val="bottom"/>
          </w:tcPr>
          <w:p>
            <w:pPr>
              <w:spacing w:after="0"/>
              <w:rPr>
                <w:sz w:val="19"/>
                <w:szCs w:val="19"/>
                <w:color w:val="auto"/>
              </w:rPr>
            </w:pP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341.1</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41 %</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149.5</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87.4</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Thailand</w:t>
            </w: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99.3</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77.8</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Malaysia</w:t>
            </w: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30"/>
        </w:trPr>
        <w:tc>
          <w:tcPr>
            <w:tcW w:w="6740" w:type="dxa"/>
            <w:vAlign w:val="bottom"/>
          </w:tcPr>
          <w:p>
            <w:pPr>
              <w:ind w:left="340"/>
              <w:spacing w:after="0"/>
              <w:rPr>
                <w:sz w:val="20"/>
                <w:szCs w:val="20"/>
                <w:color w:val="auto"/>
              </w:rPr>
            </w:pPr>
            <w:r>
              <w:rPr>
                <w:rFonts w:ascii="Arial" w:cs="Arial" w:eastAsia="Arial" w:hAnsi="Arial"/>
                <w:sz w:val="18"/>
                <w:szCs w:val="18"/>
                <w:color w:val="auto"/>
              </w:rPr>
              <w:t>Japan</w:t>
            </w: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67.0</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43.8</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Taiwan</w:t>
            </w: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53.6</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Philippines</w:t>
            </w: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51.9</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47.6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Singapore</w:t>
            </w:r>
          </w:p>
        </w:tc>
        <w:tc>
          <w:tcPr>
            <w:tcW w:w="20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6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250.3</w:t>
            </w:r>
          </w:p>
        </w:tc>
        <w:tc>
          <w:tcPr>
            <w:tcW w:w="10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16 %</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95.9</w:t>
            </w:r>
          </w:p>
        </w:tc>
        <w:tc>
          <w:tcPr>
            <w:tcW w:w="10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1,446.9</w:t>
            </w:r>
          </w:p>
        </w:tc>
        <w:tc>
          <w:tcPr>
            <w:tcW w:w="1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832.3</w:t>
            </w:r>
          </w:p>
        </w:tc>
        <w:tc>
          <w:tcPr>
            <w:tcW w:w="1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8" w:name="page9"/>
    <w:bookmarkEnd w:id="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gridSpan w:val="4"/>
          </w:tcPr>
          <w:p>
            <w:pPr>
              <w:jc w:val="right"/>
              <w:ind w:right="497"/>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7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60" w:type="dxa"/>
            <w:vAlign w:val="bottom"/>
          </w:tcPr>
          <w:p>
            <w:pPr>
              <w:jc w:val="right"/>
              <w:ind w:right="217"/>
              <w:spacing w:after="0" w:line="135" w:lineRule="exact"/>
              <w:rPr>
                <w:sz w:val="20"/>
                <w:szCs w:val="20"/>
                <w:color w:val="auto"/>
              </w:rPr>
            </w:pPr>
            <w:r>
              <w:rPr>
                <w:rFonts w:ascii="Arial" w:cs="Arial" w:eastAsia="Arial" w:hAnsi="Arial"/>
                <w:sz w:val="14"/>
                <w:szCs w:val="14"/>
                <w:b w:val="1"/>
                <w:bCs w:val="1"/>
                <w:color w:val="auto"/>
              </w:rPr>
              <w:t>April 30,</w:t>
            </w:r>
          </w:p>
        </w:tc>
        <w:tc>
          <w:tcPr>
            <w:tcW w:w="120" w:type="dxa"/>
            <w:vAlign w:val="bottom"/>
          </w:tcPr>
          <w:p>
            <w:pPr>
              <w:spacing w:after="0"/>
              <w:rPr>
                <w:sz w:val="11"/>
                <w:szCs w:val="11"/>
                <w:color w:val="auto"/>
              </w:rPr>
            </w:pPr>
          </w:p>
        </w:tc>
        <w:tc>
          <w:tcPr>
            <w:tcW w:w="1260" w:type="dxa"/>
            <w:vAlign w:val="bottom"/>
            <w:gridSpan w:val="3"/>
            <w:vMerge w:val="restart"/>
          </w:tcPr>
          <w:p>
            <w:pPr>
              <w:jc w:val="right"/>
              <w:ind w:right="39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97"/>
              <w:spacing w:after="0" w:line="135"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c>
          <w:tcPr>
            <w:tcW w:w="92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8"/>
        </w:trPr>
        <w:tc>
          <w:tcPr>
            <w:tcW w:w="6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60" w:type="dxa"/>
            <w:vAlign w:val="bottom"/>
          </w:tcPr>
          <w:p>
            <w:pPr>
              <w:jc w:val="right"/>
              <w:ind w:right="357"/>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260" w:type="dxa"/>
            <w:vAlign w:val="bottom"/>
            <w:gridSpan w:val="3"/>
            <w:vMerge w:val="continue"/>
          </w:tcPr>
          <w:p>
            <w:pPr>
              <w:spacing w:after="0"/>
              <w:rPr>
                <w:sz w:val="16"/>
                <w:szCs w:val="16"/>
                <w:color w:val="auto"/>
              </w:rPr>
            </w:pPr>
          </w:p>
        </w:tc>
        <w:tc>
          <w:tcPr>
            <w:tcW w:w="940" w:type="dxa"/>
            <w:vAlign w:val="bottom"/>
          </w:tcPr>
          <w:p>
            <w:pPr>
              <w:jc w:val="right"/>
              <w:ind w:right="357"/>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1"/>
        </w:trPr>
        <w:tc>
          <w:tcPr>
            <w:tcW w:w="674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customer type:</w:t>
            </w:r>
          </w:p>
        </w:tc>
        <w:tc>
          <w:tcPr>
            <w:tcW w:w="200" w:type="dxa"/>
            <w:vAlign w:val="bottom"/>
            <w:tcBorders>
              <w:top w:val="single" w:sz="8" w:color="auto"/>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4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993.9</w:t>
            </w:r>
          </w:p>
        </w:tc>
        <w:tc>
          <w:tcPr>
            <w:tcW w:w="1380" w:type="dxa"/>
            <w:vAlign w:val="bottom"/>
            <w:gridSpan w:val="4"/>
          </w:tcPr>
          <w:p>
            <w:pPr>
              <w:jc w:val="right"/>
              <w:ind w:right="50"/>
              <w:spacing w:after="0"/>
              <w:rPr>
                <w:sz w:val="20"/>
                <w:szCs w:val="20"/>
                <w:color w:val="auto"/>
              </w:rPr>
            </w:pPr>
            <w:r>
              <w:rPr>
                <w:rFonts w:ascii="Arial" w:cs="Arial" w:eastAsia="Arial" w:hAnsi="Arial"/>
                <w:sz w:val="18"/>
                <w:szCs w:val="18"/>
                <w:color w:val="auto"/>
              </w:rPr>
              <w:t>69 %  $</w:t>
            </w:r>
          </w:p>
        </w:tc>
        <w:tc>
          <w:tcPr>
            <w:tcW w:w="940" w:type="dxa"/>
            <w:vAlign w:val="bottom"/>
          </w:tcPr>
          <w:p>
            <w:pPr>
              <w:jc w:val="right"/>
              <w:spacing w:after="0"/>
              <w:rPr>
                <w:sz w:val="20"/>
                <w:szCs w:val="20"/>
                <w:color w:val="auto"/>
              </w:rPr>
            </w:pPr>
            <w:r>
              <w:rPr>
                <w:rFonts w:ascii="Arial" w:cs="Arial" w:eastAsia="Arial" w:hAnsi="Arial"/>
                <w:sz w:val="18"/>
                <w:szCs w:val="18"/>
                <w:color w:val="auto"/>
              </w:rPr>
              <w:t>570.3</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69 %</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20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453.0</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31 %</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262.0</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31 %</w:t>
            </w:r>
          </w:p>
        </w:tc>
        <w:tc>
          <w:tcPr>
            <w:tcW w:w="0" w:type="dxa"/>
            <w:vAlign w:val="bottom"/>
          </w:tcPr>
          <w:p>
            <w:pPr>
              <w:spacing w:after="0"/>
              <w:rPr>
                <w:sz w:val="1"/>
                <w:szCs w:val="1"/>
                <w:color w:val="auto"/>
              </w:rPr>
            </w:pPr>
          </w:p>
        </w:tc>
      </w:tr>
      <w:tr>
        <w:trPr>
          <w:trHeight w:val="223"/>
        </w:trPr>
        <w:tc>
          <w:tcPr>
            <w:tcW w:w="674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1,446.9</w:t>
            </w:r>
          </w:p>
        </w:tc>
        <w:tc>
          <w:tcPr>
            <w:tcW w:w="1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832.3</w:t>
            </w: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67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jc w:val="both"/>
        <w:ind w:right="60" w:firstLine="405"/>
        <w:spacing w:after="0" w:line="270" w:lineRule="auto"/>
        <w:rPr>
          <w:sz w:val="20"/>
          <w:szCs w:val="20"/>
          <w:color w:val="auto"/>
        </w:rPr>
      </w:pPr>
      <w:r>
        <w:rPr>
          <w:rFonts w:ascii="Arial" w:cs="Arial" w:eastAsia="Arial" w:hAnsi="Arial"/>
          <w:sz w:val="17"/>
          <w:szCs w:val="17"/>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three months ended April 30, 2022 that was included in deferred revenue balance at January 29, 2022 was not material.</w:t>
      </w:r>
    </w:p>
    <w:p>
      <w:pPr>
        <w:spacing w:after="0" w:line="191" w:lineRule="exact"/>
        <w:rPr>
          <w:sz w:val="20"/>
          <w:szCs w:val="20"/>
          <w:color w:val="auto"/>
        </w:rPr>
      </w:pPr>
    </w:p>
    <w:p>
      <w:pPr>
        <w:jc w:val="both"/>
        <w:ind w:right="580" w:firstLine="405"/>
        <w:spacing w:after="0" w:line="248"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April 30, 2022 and January 29, 2022 (in millions):</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40" w:type="dxa"/>
            <w:vAlign w:val="bottom"/>
            <w:gridSpan w:val="2"/>
          </w:tcPr>
          <w:p>
            <w:pPr>
              <w:ind w:left="16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r>
      <w:tr>
        <w:trPr>
          <w:trHeight w:val="211"/>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2020 Term Loan - 3 Year Tranche</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735.0</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735.0</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2020 Term Loan - 5 Year Tranche</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842.2</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853.1</w:t>
            </w:r>
          </w:p>
        </w:tc>
      </w:tr>
      <w:tr>
        <w:trPr>
          <w:trHeight w:val="223"/>
        </w:trPr>
        <w:tc>
          <w:tcPr>
            <w:tcW w:w="8180" w:type="dxa"/>
            <w:vAlign w:val="bottom"/>
            <w:gridSpan w:val="2"/>
          </w:tcPr>
          <w:p>
            <w:pPr>
              <w:ind w:left="240"/>
              <w:spacing w:after="0"/>
              <w:rPr>
                <w:sz w:val="20"/>
                <w:szCs w:val="20"/>
                <w:color w:val="auto"/>
              </w:rPr>
            </w:pPr>
            <w:r>
              <w:rPr>
                <w:rFonts w:ascii="Arial" w:cs="Arial" w:eastAsia="Arial" w:hAnsi="Arial"/>
                <w:sz w:val="18"/>
                <w:szCs w:val="18"/>
                <w:color w:val="auto"/>
              </w:rPr>
              <w:t>Term Loan Total</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1,577.2</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1,588.1</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4.200%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2023 Senior Notes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499.9</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750.0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r>
      <w:tr>
        <w:trPr>
          <w:trHeight w:val="223"/>
        </w:trPr>
        <w:tc>
          <w:tcPr>
            <w:tcW w:w="8180" w:type="dxa"/>
            <w:vAlign w:val="bottom"/>
            <w:tcBorders>
              <w:bottom w:val="single" w:sz="8" w:color="CCEEFF"/>
            </w:tcBorders>
            <w:gridSpan w:val="2"/>
          </w:tcPr>
          <w:p>
            <w:pPr>
              <w:ind w:left="260"/>
              <w:spacing w:after="0"/>
              <w:rPr>
                <w:sz w:val="20"/>
                <w:szCs w:val="20"/>
                <w:color w:val="auto"/>
              </w:rPr>
            </w:pPr>
            <w:r>
              <w:rPr>
                <w:rFonts w:ascii="Arial" w:cs="Arial" w:eastAsia="Arial" w:hAnsi="Arial"/>
                <w:sz w:val="18"/>
                <w:szCs w:val="18"/>
                <w:color w:val="auto"/>
              </w:rPr>
              <w:t>Senior Notes Total</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4,577.1</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4,588.0</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(37.7)</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4,539.4</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4,548.0</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Current portion (1)</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74.1</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48"/>
        </w:trPr>
        <w:tc>
          <w:tcPr>
            <w:tcW w:w="81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4,465.3</w:t>
            </w:r>
          </w:p>
        </w:tc>
        <w:tc>
          <w:tcPr>
            <w:tcW w:w="2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4,484.8</w:t>
            </w:r>
          </w:p>
        </w:tc>
      </w:tr>
      <w:tr>
        <w:trPr>
          <w:trHeight w:val="20"/>
        </w:trPr>
        <w:tc>
          <w:tcPr>
            <w:tcW w:w="600" w:type="dxa"/>
            <w:vAlign w:val="bottom"/>
            <w:tcBorders>
              <w:top w:val="single" w:sz="8" w:color="CCEEFF"/>
            </w:tcBorders>
          </w:tcPr>
          <w:p>
            <w:pPr>
              <w:spacing w:after="0" w:line="20" w:lineRule="exact"/>
              <w:rPr>
                <w:sz w:val="1"/>
                <w:szCs w:val="1"/>
                <w:color w:val="auto"/>
              </w:rPr>
            </w:pPr>
          </w:p>
        </w:tc>
        <w:tc>
          <w:tcPr>
            <w:tcW w:w="75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right="20" w:hanging="412"/>
        <w:spacing w:after="0" w:line="261" w:lineRule="auto"/>
        <w:tabs>
          <w:tab w:leader="none" w:pos="41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April 30, 2022, the current portion of outstanding debt includes the 2020 Term Loan - 5 Year Tranche, which is due within twelve months. The Company intends to repay the amount with operating cash flow.</w:t>
      </w:r>
    </w:p>
    <w:p>
      <w:pPr>
        <w:spacing w:after="0" w:line="198" w:lineRule="exact"/>
        <w:rPr>
          <w:sz w:val="20"/>
          <w:szCs w:val="20"/>
          <w:color w:val="auto"/>
        </w:rPr>
      </w:pPr>
    </w:p>
    <w:p>
      <w:pPr>
        <w:jc w:val="both"/>
        <w:ind w:right="4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As part of the acquisition, the Company assumed $15.7 million principal amount of Inphi’s 0.75% convertible senior notes due 2021 (the “Inphi 2021 Convertible Notes”) and $506.0 million principal amount of Inphi’s 0.75% convertible senior notes due 2025 (the “Inphi 2025 Convertible Notes”, and together with the 2021 Notes, the “Inphi Convertible Notes”). As of January 29, 2022, the Inphi Convertible Notes have been settled.</w:t>
      </w:r>
    </w:p>
    <w:p>
      <w:pPr>
        <w:spacing w:after="0" w:line="215" w:lineRule="exact"/>
        <w:rPr>
          <w:sz w:val="20"/>
          <w:szCs w:val="20"/>
          <w:color w:val="auto"/>
        </w:rPr>
      </w:pPr>
    </w:p>
    <w:p>
      <w:pPr>
        <w:jc w:val="both"/>
        <w:ind w:firstLine="405"/>
        <w:spacing w:after="0" w:line="241" w:lineRule="auto"/>
        <w:rPr>
          <w:sz w:val="20"/>
          <w:szCs w:val="20"/>
          <w:color w:val="auto"/>
        </w:rPr>
      </w:pPr>
      <w:r>
        <w:rPr>
          <w:rFonts w:ascii="Arial" w:cs="Arial" w:eastAsia="Arial" w:hAnsi="Arial"/>
          <w:sz w:val="18"/>
          <w:szCs w:val="18"/>
          <w:color w:val="auto"/>
        </w:rPr>
        <w:t>In connection with the acquisition, the Company entered into a series of financing arrangements from December 2020 through April 2021 as summarized below. In April 2021, the Company also terminated a $2.5 billion bridge loan commitment. This bridge loan commitment was provided by the underwriting bankers at the time of the Inphi merger agreement execution in October 2020. The bridge loan was never drawn upon. The Company recognized a write-off of $11.4 million in capitalized debt issuance costs related to the termination of the bridge loan commitment during the quarter ended May 1, 2021.</w:t>
      </w:r>
    </w:p>
    <w:p>
      <w:pPr>
        <w:spacing w:after="0" w:line="216" w:lineRule="exact"/>
        <w:rPr>
          <w:sz w:val="20"/>
          <w:szCs w:val="20"/>
          <w:color w:val="auto"/>
        </w:rPr>
      </w:pPr>
    </w:p>
    <w:p>
      <w:pPr>
        <w:ind w:right="200" w:firstLine="405"/>
        <w:spacing w:after="0" w:line="274" w:lineRule="auto"/>
        <w:rPr>
          <w:sz w:val="20"/>
          <w:szCs w:val="20"/>
          <w:color w:val="auto"/>
        </w:rPr>
      </w:pPr>
      <w:r>
        <w:rPr>
          <w:rFonts w:ascii="Arial" w:cs="Arial" w:eastAsia="Arial" w:hAnsi="Arial"/>
          <w:sz w:val="16"/>
          <w:szCs w:val="16"/>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w:t>
      </w:r>
    </w:p>
    <w:p>
      <w:pPr>
        <w:spacing w:after="0" w:line="1" w:lineRule="exact"/>
        <w:rPr>
          <w:sz w:val="20"/>
          <w:szCs w:val="20"/>
          <w:color w:val="auto"/>
        </w:rPr>
      </w:pPr>
    </w:p>
    <w:p>
      <w:pPr>
        <w:jc w:val="both"/>
        <w:ind w:right="100"/>
        <w:spacing w:after="0" w:line="239" w:lineRule="auto"/>
        <w:rPr>
          <w:sz w:val="20"/>
          <w:szCs w:val="20"/>
          <w:color w:val="auto"/>
        </w:rPr>
      </w:pPr>
      <w:r>
        <w:rPr>
          <w:rFonts w:ascii="Arial" w:cs="Arial" w:eastAsia="Arial" w:hAnsi="Arial"/>
          <w:sz w:val="18"/>
          <w:szCs w:val="18"/>
          <w:color w:val="auto"/>
        </w:rPr>
        <w:t>$500.0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216" w:lineRule="exact"/>
        <w:rPr>
          <w:sz w:val="20"/>
          <w:szCs w:val="20"/>
          <w:color w:val="auto"/>
        </w:rPr>
      </w:pPr>
    </w:p>
    <w:p>
      <w:pPr>
        <w:ind w:right="280" w:firstLine="405"/>
        <w:spacing w:after="0" w:line="294" w:lineRule="auto"/>
        <w:rPr>
          <w:sz w:val="20"/>
          <w:szCs w:val="20"/>
          <w:color w:val="auto"/>
        </w:rPr>
      </w:pPr>
      <w:r>
        <w:rPr>
          <w:rFonts w:ascii="Arial" w:cs="Arial" w:eastAsia="Arial" w:hAnsi="Arial"/>
          <w:sz w:val="16"/>
          <w:szCs w:val="16"/>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200" w:lineRule="exact"/>
        <w:rPr>
          <w:sz w:val="20"/>
          <w:szCs w:val="20"/>
          <w:color w:val="auto"/>
        </w:rPr>
      </w:pPr>
    </w:p>
    <w:p>
      <w:pPr>
        <w:spacing w:after="0" w:line="3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Term Loan Agreement</w:t>
      </w:r>
    </w:p>
    <w:p>
      <w:pPr>
        <w:spacing w:after="0" w:line="239" w:lineRule="exact"/>
        <w:rPr>
          <w:sz w:val="20"/>
          <w:szCs w:val="20"/>
          <w:color w:val="auto"/>
        </w:rPr>
      </w:pPr>
    </w:p>
    <w:p>
      <w:pPr>
        <w:ind w:firstLine="405"/>
        <w:spacing w:after="0" w:line="262" w:lineRule="auto"/>
        <w:rPr>
          <w:sz w:val="20"/>
          <w:szCs w:val="20"/>
          <w:color w:val="auto"/>
        </w:rPr>
      </w:pPr>
      <w:r>
        <w:rPr>
          <w:rFonts w:ascii="Arial" w:cs="Arial" w:eastAsia="Arial" w:hAnsi="Arial"/>
          <w:sz w:val="17"/>
          <w:szCs w:val="17"/>
          <w:color w:val="auto"/>
        </w:rPr>
        <w:t>On December 7, 2020, the Company entered into a term loan credit agreement with a lending syndicate led by JP Morgan Chase Bank, N.A (the “2020 Term Loan Agreement”) in order to finance the merger with Inphi. The 2020 Term Loan Agreement provides for borrowings of $1.75 billion consisting of: (i) $875.0 million loan with a three-year term from the funding date (the “3-Year Tranche Loan”) and (ii) $875.0 million loan with a five-year term from the funding date (the “5-Year Tranche Loan” and, together with the 3-Year Tranche Loan, the “2020 Term Loans”).</w:t>
      </w:r>
    </w:p>
    <w:p>
      <w:pPr>
        <w:spacing w:after="0" w:line="199"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The 3-Year Tranche Loan has a stated floating interest rate which equates to reserve-adjusted LIBOR + 125 bps. The effective interest rate for the 3-Year Tranche Loan was 2.048% as of April 30, 2022. The 5-Year Tranche Loan has a stated floating interest rate which equates to reserve-adjusted LIBOR</w:t>
      </w:r>
    </w:p>
    <w:p>
      <w:pPr>
        <w:spacing w:after="0" w:line="1" w:lineRule="exact"/>
        <w:rPr>
          <w:sz w:val="20"/>
          <w:szCs w:val="20"/>
          <w:color w:val="auto"/>
        </w:rPr>
      </w:pPr>
    </w:p>
    <w:p>
      <w:pPr>
        <w:ind w:right="80" w:firstLine="8"/>
        <w:spacing w:after="0" w:line="252" w:lineRule="auto"/>
        <w:tabs>
          <w:tab w:leader="none" w:pos="146" w:val="left"/>
        </w:tabs>
        <w:numPr>
          <w:ilvl w:val="0"/>
          <w:numId w:val="4"/>
        </w:numPr>
        <w:rPr>
          <w:rFonts w:ascii="Arial" w:cs="Arial" w:eastAsia="Arial" w:hAnsi="Arial"/>
          <w:sz w:val="17"/>
          <w:szCs w:val="17"/>
          <w:color w:val="auto"/>
        </w:rPr>
      </w:pPr>
      <w:r>
        <w:rPr>
          <w:rFonts w:ascii="Arial" w:cs="Arial" w:eastAsia="Arial" w:hAnsi="Arial"/>
          <w:sz w:val="17"/>
          <w:szCs w:val="17"/>
          <w:color w:val="auto"/>
        </w:rPr>
        <w:t>137.5 bps. The effective interest rate for the 5-Year Tranche Loan was 2.178% as of April 30, 2022.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quarter ended April 30, 2022, the Company repaid $10.9 million of the principal outstanding of the 5-Year Tranche Loan.</w:t>
      </w:r>
    </w:p>
    <w:p>
      <w:pPr>
        <w:spacing w:after="0" w:line="208" w:lineRule="exact"/>
        <w:rPr>
          <w:sz w:val="20"/>
          <w:szCs w:val="20"/>
          <w:color w:val="auto"/>
        </w:rPr>
      </w:pPr>
    </w:p>
    <w:p>
      <w:pPr>
        <w:ind w:right="20" w:firstLine="405"/>
        <w:spacing w:after="0" w:line="241" w:lineRule="auto"/>
        <w:rPr>
          <w:sz w:val="20"/>
          <w:szCs w:val="20"/>
          <w:color w:val="auto"/>
        </w:rPr>
      </w:pPr>
      <w:r>
        <w:rPr>
          <w:rFonts w:ascii="Arial" w:cs="Arial" w:eastAsia="Arial" w:hAnsi="Arial"/>
          <w:sz w:val="18"/>
          <w:szCs w:val="18"/>
          <w:color w:val="auto"/>
        </w:rPr>
        <w:t>The 2020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April 30, 2022, the Company has $1.6 billion Term Loan borrowings outstanding, and is in compliance with its debt covenants.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39" w:lineRule="exact"/>
        <w:rPr>
          <w:sz w:val="20"/>
          <w:szCs w:val="20"/>
          <w:color w:val="auto"/>
        </w:rPr>
      </w:pPr>
    </w:p>
    <w:p>
      <w:pPr>
        <w:ind w:right="40" w:firstLine="405"/>
        <w:spacing w:after="0" w:line="238" w:lineRule="auto"/>
        <w:rPr>
          <w:sz w:val="20"/>
          <w:szCs w:val="20"/>
          <w:color w:val="auto"/>
        </w:rPr>
      </w:pPr>
      <w:r>
        <w:rPr>
          <w:rFonts w:ascii="Arial" w:cs="Arial" w:eastAsia="Arial" w:hAnsi="Arial"/>
          <w:sz w:val="18"/>
          <w:szCs w:val="18"/>
          <w:color w:val="auto"/>
        </w:rPr>
        <w:t>On December 7, 2020, the Company entered into a revolving line of credit agreement (the “2020 Revolving Credit Facility”) with a lending syndicate led by JP Morgan Chase Bank, N.A for borrowings of up to $750.0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As of April 30, 2022, the 2020 Revolving Credit Facility is undrawn and will be available for draw down through December 7, 2025. An unused commitment fee is payable quarterly based on unused balances at a rate that is based on the ratings of the Company’s senior unsecured long-term indebtedness. This annual rate was 0.175% at April 30, 2022.</w:t>
      </w:r>
    </w:p>
    <w:p>
      <w:pPr>
        <w:spacing w:after="0" w:line="221" w:lineRule="exact"/>
        <w:rPr>
          <w:sz w:val="20"/>
          <w:szCs w:val="20"/>
          <w:color w:val="auto"/>
        </w:rPr>
      </w:pPr>
    </w:p>
    <w:p>
      <w:pPr>
        <w:jc w:val="both"/>
        <w:ind w:right="80" w:firstLine="405"/>
        <w:spacing w:after="0" w:line="261" w:lineRule="auto"/>
        <w:rPr>
          <w:sz w:val="20"/>
          <w:szCs w:val="20"/>
          <w:color w:val="auto"/>
        </w:rPr>
      </w:pPr>
      <w:r>
        <w:rPr>
          <w:rFonts w:ascii="Arial" w:cs="Arial" w:eastAsia="Arial" w:hAnsi="Arial"/>
          <w:sz w:val="18"/>
          <w:szCs w:val="18"/>
          <w:color w:val="auto"/>
        </w:rPr>
        <w:t>Subsequent to quarter end, on May 3, 2022, the Company drew down $150.0 million on the 2020 Revolving Credit Facility. The Company intends to repay the drawn amount during the second quarter of fiscal 2023.</w:t>
      </w:r>
    </w:p>
    <w:p>
      <w:pPr>
        <w:spacing w:after="0" w:line="198" w:lineRule="exact"/>
        <w:rPr>
          <w:sz w:val="20"/>
          <w:szCs w:val="20"/>
          <w:color w:val="auto"/>
        </w:rPr>
      </w:pPr>
    </w:p>
    <w:p>
      <w:pPr>
        <w:ind w:right="66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2020 Term Loan covenants discussed above.</w:t>
      </w:r>
    </w:p>
    <w:p>
      <w:pPr>
        <w:spacing w:after="0" w:line="198"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The Company currently carries debt that relies on one-month LIBOR as the benchmark rate. The one-month LIBOR is expected to cease publication after June 30, 2023. To the extent the one-month LIBOR ceases to exist, the 2020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1" w:name="page12"/>
    <w:bookmarkEnd w:id="1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right="20" w:firstLine="405"/>
        <w:spacing w:after="0" w:line="239" w:lineRule="auto"/>
        <w:rPr>
          <w:sz w:val="20"/>
          <w:szCs w:val="20"/>
          <w:color w:val="auto"/>
        </w:rPr>
      </w:pPr>
      <w:r>
        <w:rPr>
          <w:rFonts w:ascii="Arial" w:cs="Arial" w:eastAsia="Arial" w:hAnsi="Arial"/>
          <w:sz w:val="18"/>
          <w:szCs w:val="18"/>
          <w:color w:val="auto"/>
        </w:rPr>
        <w:t>On April 12, 2021, the Company completed an offering of (i) $500.0 million aggregate principal amount of the Company’s 1.650% Senior Notes due 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218" w:lineRule="exact"/>
        <w:rPr>
          <w:sz w:val="20"/>
          <w:szCs w:val="20"/>
          <w:color w:val="auto"/>
        </w:rPr>
      </w:pPr>
    </w:p>
    <w:p>
      <w:pPr>
        <w:ind w:right="40" w:firstLine="405"/>
        <w:spacing w:after="0" w:line="252"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April 30, 2022, the Company had $2.0 billion Senior Notes borrowings outstanding.</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2023 Notes, the “MTG Senior Notes”).</w:t>
      </w:r>
    </w:p>
    <w:p>
      <w:pPr>
        <w:spacing w:after="0" w:line="223"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new U.S. domiciled parent Marvell Technology, Inc.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accounting guidance. On December 16, 2021, the MTI Senior Notes issued on May 4, 2021 were exchanged for new notes. The terms of the new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are substantially identical to the notes issued in May 2021, except that the new notes are registered under the Securities Act of 1933</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and the transfer restrictions and registration rights applicable to the MTI Senior Notes issued in May 2021 do not apply to the new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2" w:name="page13"/>
    <w:bookmarkEnd w:id="1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40"/>
        <w:spacing w:after="0" w:line="251"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12"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April 30, 2022, the Company had $1.0 billion MTG/MTI Senior Notes borrowings outstanding.</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a result of the Inphi acquisition, the Company assumed all of Inphi’s outstanding convertible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2021 Convertible Notes</w:t>
      </w:r>
    </w:p>
    <w:p>
      <w:pPr>
        <w:spacing w:after="0" w:line="239" w:lineRule="exact"/>
        <w:rPr>
          <w:sz w:val="20"/>
          <w:szCs w:val="20"/>
          <w:color w:val="auto"/>
        </w:rPr>
      </w:pPr>
    </w:p>
    <w:p>
      <w:pPr>
        <w:ind w:right="160" w:firstLine="405"/>
        <w:spacing w:after="0" w:line="294" w:lineRule="auto"/>
        <w:rPr>
          <w:sz w:val="20"/>
          <w:szCs w:val="20"/>
          <w:color w:val="auto"/>
        </w:rPr>
      </w:pPr>
      <w:r>
        <w:rPr>
          <w:rFonts w:ascii="Arial" w:cs="Arial" w:eastAsia="Arial" w:hAnsi="Arial"/>
          <w:sz w:val="16"/>
          <w:szCs w:val="16"/>
          <w:color w:val="auto"/>
        </w:rPr>
        <w:t>A total of $9.6 million in aggregate principal of the Inphi 2021 Convertible Notes was settled pursuant to the Exchange Agreements (discussed below). Between April 20 and September 1, 2021, $6.1 million in aggregate principal of the Inphi 2021 Convertible Notes was converted into 0.2 million shares of the Company’s common stock and $7.1 million in cash pursuant to the contractual terms of the Inphi 2021 convertible notes indenture.</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Inphi 2021 Convertible Notes matured on September 1, 2021 and the Company settled the remaining outstanding balance.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2025 Convertible Notes</w:t>
      </w:r>
    </w:p>
    <w:p>
      <w:pPr>
        <w:spacing w:after="0" w:line="239"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A total of $199.5 million in aggregate principal of the Inphi 2025 Convertible Notes was settled pursuant to the Exchange Agreements (discussed below). Between April 20 and May 1, 2021, $114.0 million in aggregate principal of the Inphi 2025 Convertible Notes was converted pursuant to the contractual terms of the Inphi 2025 convertible notes indenture into 2.3 million shares of the Company’s common stock and $64.7 million in cash. Between May 2, 2021 and June 3, 2021, $192.5 million in aggregate principal of the Inphi 2025 Convertible Notes was converted pursuant to the contractual terms of the Inphi 2025 convertible notes indenture into 3.8 million shares of the Company’s common stock and $109.2 million in cash. After these conversions, there was no outstanding balance of Inphi 2025 Convertible Notes.</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 Capped Calls</w:t>
      </w:r>
    </w:p>
    <w:p>
      <w:pPr>
        <w:spacing w:after="0" w:line="239" w:lineRule="exact"/>
        <w:rPr>
          <w:sz w:val="20"/>
          <w:szCs w:val="20"/>
          <w:color w:val="auto"/>
        </w:rPr>
      </w:pPr>
    </w:p>
    <w:p>
      <w:pPr>
        <w:ind w:firstLine="405"/>
        <w:spacing w:after="0" w:line="255" w:lineRule="auto"/>
        <w:rPr>
          <w:sz w:val="20"/>
          <w:szCs w:val="20"/>
          <w:color w:val="auto"/>
        </w:rPr>
      </w:pPr>
      <w:r>
        <w:rPr>
          <w:rFonts w:ascii="Arial" w:cs="Arial" w:eastAsia="Arial" w:hAnsi="Arial"/>
          <w:sz w:val="17"/>
          <w:szCs w:val="17"/>
          <w:color w:val="auto"/>
        </w:rPr>
        <w:t>In connection with the issuance of each of the Inphi Convertible Notes, Inphi entered into capped call transactions (the “Inphi 2021 Capped Calls” and the “Inphi 2025 Capped Calls,” collectively, the “Inphi Capped Calls”) in private transactions. In connection with the Inphi acquisition, the Company entered into unwind agreements related to the Inphi Capped Calls. Under the unwind agreements, the Company and the counterparties agreed to settle a portion of Inphi Capped Calls for a fixed payment of $74.1 million, which were settled on April 23, 2021. The remaining Inphi Capped Calls provided for variable cash settlement based on the Company’s stock price. The Company reports cash flows from capped calls in cash flows from financing activities. In connection with the Exchange Agreements (discussed below), a portion of the remaining Inphi Capped Calls were settled for $35.5 million on April 29, 2021. As of April 30, 2022, there was no outstanding balance of Inphi Capped Calls.</w:t>
      </w:r>
    </w:p>
    <w:p>
      <w:pPr>
        <w:spacing w:after="0" w:line="200" w:lineRule="exact"/>
        <w:rPr>
          <w:sz w:val="20"/>
          <w:szCs w:val="20"/>
          <w:color w:val="auto"/>
        </w:rPr>
      </w:pPr>
    </w:p>
    <w:p>
      <w:pPr>
        <w:spacing w:after="0" w:line="3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3" w:name="page14"/>
    <w:bookmarkEnd w:id="1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Exchange Agreements</w:t>
      </w:r>
    </w:p>
    <w:p>
      <w:pPr>
        <w:spacing w:after="0" w:line="239" w:lineRule="exact"/>
        <w:rPr>
          <w:sz w:val="20"/>
          <w:szCs w:val="20"/>
          <w:color w:val="auto"/>
        </w:rPr>
      </w:pPr>
    </w:p>
    <w:p>
      <w:pPr>
        <w:ind w:right="40" w:firstLine="405"/>
        <w:spacing w:after="0" w:line="241" w:lineRule="auto"/>
        <w:rPr>
          <w:sz w:val="20"/>
          <w:szCs w:val="20"/>
          <w:color w:val="auto"/>
        </w:rPr>
      </w:pPr>
      <w:r>
        <w:rPr>
          <w:rFonts w:ascii="Arial" w:cs="Arial" w:eastAsia="Arial" w:hAnsi="Arial"/>
          <w:sz w:val="18"/>
          <w:szCs w:val="18"/>
          <w:color w:val="auto"/>
        </w:rPr>
        <w:t>On April 20, 2021, the Company entered into separate, privately negotiated exchange agreements (the “Exchange Agreements”) with a limited number of holders (“Noteholders”) of the Inphi Convertible Notes. Under the terms of the Exchange Agreements, the Noteholders agreed to exchange approximately $9.6 million in aggregate principal amount of Inphi 2021 Convertible Notes and $199.5 million in aggregate principal amount of Inphi 2025 Convertible Notes for a number of shares of the Company’s common stock that was partially based on a trailing daily volume-weighted average of the Company’s stock price.</w:t>
      </w:r>
    </w:p>
    <w:p>
      <w:pPr>
        <w:spacing w:after="0" w:line="216" w:lineRule="exact"/>
        <w:rPr>
          <w:sz w:val="20"/>
          <w:szCs w:val="20"/>
          <w:color w:val="auto"/>
        </w:rPr>
      </w:pPr>
    </w:p>
    <w:p>
      <w:pPr>
        <w:ind w:right="160" w:firstLine="405"/>
        <w:spacing w:after="0" w:line="248" w:lineRule="auto"/>
        <w:rPr>
          <w:sz w:val="20"/>
          <w:szCs w:val="20"/>
          <w:color w:val="auto"/>
        </w:rPr>
      </w:pPr>
      <w:r>
        <w:rPr>
          <w:rFonts w:ascii="Arial" w:cs="Arial" w:eastAsia="Arial" w:hAnsi="Arial"/>
          <w:sz w:val="18"/>
          <w:szCs w:val="18"/>
          <w:color w:val="auto"/>
        </w:rPr>
        <w:t>The Exchange Agreements were settled on April 29, 2021. In exchange for $9.6 million and $199.5 million in aggregate principal of the Inphi 2021 Convertible Notes and Inphi 2025 Convertible Notes, respectively, the Company issued a total of 7.1 million shares of its common stock to the Noteholders.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jc w:val="both"/>
        <w:ind w:right="260" w:firstLine="405"/>
        <w:spacing w:after="0" w:line="248" w:lineRule="auto"/>
        <w:rPr>
          <w:sz w:val="20"/>
          <w:szCs w:val="20"/>
          <w:color w:val="auto"/>
        </w:rPr>
      </w:pPr>
      <w:r>
        <w:rPr>
          <w:rFonts w:ascii="Arial" w:cs="Arial" w:eastAsia="Arial" w:hAnsi="Arial"/>
          <w:sz w:val="18"/>
          <w:szCs w:val="18"/>
          <w:color w:val="auto"/>
        </w:rPr>
        <w:t>During the three months ended April 30, 2022, the Company recognized $32.9 million of interest expense in its unaudited condensed consolidated statements of operations related to interest, amortization of debt issuance costs and accretion of discount associated with the outstanding term loans and senior notes.</w:t>
      </w:r>
    </w:p>
    <w:p>
      <w:pPr>
        <w:spacing w:after="0" w:line="209"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During the three months ended May 1, 2021, the Company recognized $22.1 million of interest expense in its unaudited condensed consolidated statements of operations related to interest, amortization of debt issuance costs and accretion of discount associated with the outstanding term loans and senior notes.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As of April 30, 2022, the aggregate future contractual maturities of the Company’s outstanding debt, at face value, were as follows (in millions):</w:t>
      </w:r>
    </w:p>
    <w:p>
      <w:pPr>
        <w:sectPr>
          <w:pgSz w:w="11900" w:h="16838" w:orient="portrait"/>
          <w:cols w:equalWidth="0" w:num="1">
            <w:col w:w="11220"/>
          </w:cols>
          <w:pgMar w:left="320" w:top="130" w:right="359" w:bottom="1440" w:gutter="0" w:footer="0" w:header="0"/>
        </w:sectPr>
      </w:pPr>
    </w:p>
    <w:p>
      <w:pPr>
        <w:spacing w:after="0" w:line="282"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Fiscal Year</w:t>
      </w:r>
    </w:p>
    <w:p>
      <w:pPr>
        <w:spacing w:after="0" w:line="50" w:lineRule="exact"/>
        <w:rPr>
          <w:sz w:val="20"/>
          <w:szCs w:val="20"/>
          <w:color w:val="auto"/>
        </w:rPr>
      </w:pPr>
    </w:p>
    <w:p>
      <w:pPr>
        <w:ind w:left="20"/>
        <w:spacing w:after="0"/>
        <w:rPr>
          <w:sz w:val="20"/>
          <w:szCs w:val="20"/>
          <w:color w:val="auto"/>
        </w:rPr>
      </w:pPr>
      <w:r>
        <w:rPr>
          <w:rFonts w:ascii="Arial" w:cs="Arial" w:eastAsia="Arial" w:hAnsi="Arial"/>
          <w:sz w:val="18"/>
          <w:szCs w:val="18"/>
          <w:color w:val="auto"/>
        </w:rPr>
        <w:t>Remainder of 2023</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2024</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2025</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2026</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2027</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Thereafter</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Note 5. Commitments and Contingencies</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0" w:lineRule="exact"/>
        <w:rPr>
          <w:sz w:val="20"/>
          <w:szCs w:val="20"/>
          <w:color w:val="auto"/>
        </w:rPr>
      </w:pPr>
      <w:r>
        <w:rPr>
          <w:sz w:val="20"/>
          <w:szCs w:val="20"/>
          <w:color w:val="auto"/>
        </w:rPr>
        <w:br w:type="column"/>
      </w:r>
    </w:p>
    <w:p>
      <w:pPr>
        <w:spacing w:after="0" w:line="262"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2"/>
        </w:trPr>
        <w:tc>
          <w:tcPr>
            <w:tcW w:w="8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28"/>
        </w:trPr>
        <w:tc>
          <w:tcPr>
            <w:tcW w:w="840" w:type="dxa"/>
            <w:vAlign w:val="bottom"/>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Pr>
          <w:p>
            <w:pPr>
              <w:jc w:val="right"/>
              <w:spacing w:after="0"/>
              <w:rPr>
                <w:sz w:val="20"/>
                <w:szCs w:val="20"/>
                <w:color w:val="auto"/>
              </w:rPr>
            </w:pPr>
            <w:r>
              <w:rPr>
                <w:rFonts w:ascii="Arial" w:cs="Arial" w:eastAsia="Arial" w:hAnsi="Arial"/>
                <w:sz w:val="18"/>
                <w:szCs w:val="18"/>
                <w:color w:val="auto"/>
              </w:rPr>
              <w:t>54.7</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587.5</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844.4</w:t>
            </w:r>
          </w:p>
        </w:tc>
      </w:tr>
      <w:tr>
        <w:trPr>
          <w:trHeight w:val="229"/>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131.2</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959.4</w:t>
            </w:r>
          </w:p>
        </w:tc>
      </w:tr>
      <w:tr>
        <w:trPr>
          <w:trHeight w:val="230"/>
        </w:trPr>
        <w:tc>
          <w:tcPr>
            <w:tcW w:w="840" w:type="dxa"/>
            <w:vAlign w:val="bottom"/>
            <w:tcBorders>
              <w:bottom w:val="single" w:sz="8" w:color="auto"/>
            </w:tcBorders>
          </w:tcPr>
          <w:p>
            <w:pPr>
              <w:spacing w:after="0"/>
              <w:rPr>
                <w:sz w:val="20"/>
                <w:szCs w:val="20"/>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1,999.9</w:t>
            </w:r>
          </w:p>
        </w:tc>
      </w:tr>
      <w:tr>
        <w:trPr>
          <w:trHeight w:val="223"/>
        </w:trPr>
        <w:tc>
          <w:tcPr>
            <w:tcW w:w="840" w:type="dxa"/>
            <w:vAlign w:val="bottom"/>
            <w:tcBorders>
              <w:bottom w:val="single" w:sz="8" w:color="auto"/>
            </w:tcBorders>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4,577.1</w:t>
            </w:r>
          </w:p>
        </w:tc>
      </w:tr>
      <w:tr>
        <w:trPr>
          <w:trHeight w:val="20"/>
        </w:trPr>
        <w:tc>
          <w:tcPr>
            <w:tcW w:w="840" w:type="dxa"/>
            <w:vAlign w:val="bottom"/>
            <w:tcBorders>
              <w:bottom w:val="single" w:sz="8" w:color="auto"/>
            </w:tcBorders>
          </w:tcPr>
          <w:p>
            <w:pPr>
              <w:spacing w:after="0" w:line="20" w:lineRule="exact"/>
              <w:rPr>
                <w:sz w:val="1"/>
                <w:szCs w:val="1"/>
                <w:color w:val="auto"/>
              </w:rPr>
            </w:pPr>
          </w:p>
        </w:tc>
        <w:tc>
          <w:tcPr>
            <w:tcW w:w="286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-4769485</wp:posOffset>
            </wp:positionH>
            <wp:positionV relativeFrom="paragraph">
              <wp:posOffset>-770890</wp:posOffset>
            </wp:positionV>
            <wp:extent cx="7115175" cy="1454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15175" cy="145415"/>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-479425</wp:posOffset>
            </wp:positionV>
            <wp:extent cx="7115175" cy="1460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15175" cy="1460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-187960</wp:posOffset>
            </wp:positionV>
            <wp:extent cx="7115175" cy="171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15175" cy="1714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-1070610</wp:posOffset>
            </wp:positionV>
            <wp:extent cx="7115175" cy="1543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15175" cy="154305"/>
                    </a:xfrm>
                    <a:prstGeom prst="rect">
                      <a:avLst/>
                    </a:prstGeom>
                    <a:noFill/>
                  </pic:spPr>
                </pic:pic>
              </a:graphicData>
            </a:graphic>
          </wp:anchor>
        </w:drawing>
      </w:r>
    </w:p>
    <w:p>
      <w:pPr>
        <w:spacing w:after="0" w:line="1418" w:lineRule="exact"/>
        <w:rPr>
          <w:sz w:val="20"/>
          <w:szCs w:val="20"/>
          <w:color w:val="auto"/>
        </w:rPr>
      </w:pPr>
    </w:p>
    <w:p>
      <w:pPr>
        <w:sectPr>
          <w:pgSz w:w="11900" w:h="16838" w:orient="portrait"/>
          <w:cols w:equalWidth="0" w:num="2">
            <w:col w:w="6800" w:space="720"/>
            <w:col w:w="3700"/>
          </w:cols>
          <w:pgMar w:left="320" w:top="130" w:right="359" w:bottom="1440" w:gutter="0" w:footer="0" w:header="0"/>
          <w:type w:val="continuous"/>
        </w:sectPr>
      </w:pPr>
    </w:p>
    <w:p>
      <w:pPr>
        <w:spacing w:after="0" w:line="39" w:lineRule="exact"/>
        <w:rPr>
          <w:sz w:val="20"/>
          <w:szCs w:val="20"/>
          <w:color w:val="auto"/>
        </w:rPr>
      </w:pPr>
    </w:p>
    <w:p>
      <w:pPr>
        <w:ind w:right="180" w:firstLine="405"/>
        <w:spacing w:after="0" w:line="261"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material in the periods presented.</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39" w:lineRule="exact"/>
        <w:rPr>
          <w:sz w:val="20"/>
          <w:szCs w:val="20"/>
          <w:color w:val="auto"/>
        </w:rPr>
      </w:pPr>
    </w:p>
    <w:p>
      <w:pPr>
        <w:ind w:right="880" w:firstLine="405"/>
        <w:spacing w:after="0" w:line="261"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payment obligations.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14" w:name="page15"/>
    <w:bookmarkEnd w:id="1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April 30, 2022 are as follows (in millions):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89"/>
              </w:rPr>
              <w:t>Purchase Commitments to</w:t>
            </w:r>
          </w:p>
        </w:tc>
        <w:tc>
          <w:tcPr>
            <w:tcW w:w="240" w:type="dxa"/>
            <w:vAlign w:val="bottom"/>
          </w:tcPr>
          <w:p>
            <w:pPr>
              <w:spacing w:after="0"/>
              <w:rPr>
                <w:sz w:val="17"/>
                <w:szCs w:val="17"/>
                <w:color w:val="auto"/>
              </w:rPr>
            </w:pPr>
          </w:p>
        </w:tc>
        <w:tc>
          <w:tcPr>
            <w:tcW w:w="24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5"/>
        </w:trPr>
        <w:tc>
          <w:tcPr>
            <w:tcW w:w="568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Fiscal Year</w:t>
            </w:r>
          </w:p>
        </w:tc>
        <w:tc>
          <w:tcPr>
            <w:tcW w:w="2920" w:type="dxa"/>
            <w:vAlign w:val="bottom"/>
            <w:gridSpan w:val="3"/>
          </w:tcPr>
          <w:p>
            <w:pPr>
              <w:jc w:val="center"/>
              <w:ind w:right="280"/>
              <w:spacing w:after="0" w:line="176" w:lineRule="exact"/>
              <w:rPr>
                <w:sz w:val="20"/>
                <w:szCs w:val="20"/>
                <w:color w:val="auto"/>
              </w:rPr>
            </w:pPr>
            <w:r>
              <w:rPr>
                <w:rFonts w:ascii="Arial" w:cs="Arial" w:eastAsia="Arial" w:hAnsi="Arial"/>
                <w:sz w:val="18"/>
                <w:szCs w:val="18"/>
                <w:b w:val="1"/>
                <w:bCs w:val="1"/>
                <w:color w:val="auto"/>
                <w:w w:val="89"/>
              </w:rPr>
              <w:t>Foundries and Test &amp; Assembly</w:t>
            </w:r>
          </w:p>
        </w:tc>
        <w:tc>
          <w:tcPr>
            <w:tcW w:w="240" w:type="dxa"/>
            <w:vAlign w:val="bottom"/>
          </w:tcPr>
          <w:p>
            <w:pPr>
              <w:spacing w:after="0"/>
              <w:rPr>
                <w:sz w:val="15"/>
                <w:szCs w:val="15"/>
                <w:color w:val="auto"/>
              </w:rPr>
            </w:pPr>
          </w:p>
        </w:tc>
        <w:tc>
          <w:tcPr>
            <w:tcW w:w="2400" w:type="dxa"/>
            <w:vAlign w:val="bottom"/>
            <w:vMerge w:val="restart"/>
          </w:tcPr>
          <w:p>
            <w:pPr>
              <w:jc w:val="right"/>
              <w:ind w:right="290"/>
              <w:spacing w:after="0"/>
              <w:rPr>
                <w:sz w:val="20"/>
                <w:szCs w:val="20"/>
                <w:color w:val="auto"/>
              </w:rPr>
            </w:pPr>
            <w:r>
              <w:rPr>
                <w:rFonts w:ascii="Arial" w:cs="Arial" w:eastAsia="Arial" w:hAnsi="Arial"/>
                <w:sz w:val="18"/>
                <w:szCs w:val="18"/>
                <w:b w:val="1"/>
                <w:bCs w:val="1"/>
                <w:color w:val="auto"/>
                <w:w w:val="91"/>
              </w:rPr>
              <w:t>Technology License Fees</w:t>
            </w:r>
          </w:p>
        </w:tc>
        <w:tc>
          <w:tcPr>
            <w:tcW w:w="0" w:type="dxa"/>
            <w:vAlign w:val="bottom"/>
          </w:tcPr>
          <w:p>
            <w:pPr>
              <w:spacing w:after="0"/>
              <w:rPr>
                <w:sz w:val="1"/>
                <w:szCs w:val="1"/>
                <w:color w:val="auto"/>
              </w:rPr>
            </w:pPr>
          </w:p>
        </w:tc>
      </w:tr>
      <w:tr>
        <w:trPr>
          <w:trHeight w:val="229"/>
        </w:trPr>
        <w:tc>
          <w:tcPr>
            <w:tcW w:w="568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2720" w:type="dxa"/>
            <w:vAlign w:val="bottom"/>
            <w:gridSpan w:val="2"/>
          </w:tcPr>
          <w:p>
            <w:pPr>
              <w:jc w:val="center"/>
              <w:ind w:right="480"/>
              <w:spacing w:after="0"/>
              <w:rPr>
                <w:sz w:val="20"/>
                <w:szCs w:val="20"/>
                <w:color w:val="auto"/>
              </w:rPr>
            </w:pPr>
            <w:r>
              <w:rPr>
                <w:rFonts w:ascii="Arial" w:cs="Arial" w:eastAsia="Arial" w:hAnsi="Arial"/>
                <w:sz w:val="18"/>
                <w:szCs w:val="18"/>
                <w:b w:val="1"/>
                <w:bCs w:val="1"/>
                <w:color w:val="auto"/>
                <w:w w:val="93"/>
              </w:rPr>
              <w:t>Partners</w:t>
            </w:r>
          </w:p>
        </w:tc>
        <w:tc>
          <w:tcPr>
            <w:tcW w:w="240" w:type="dxa"/>
            <w:vAlign w:val="bottom"/>
          </w:tcPr>
          <w:p>
            <w:pPr>
              <w:spacing w:after="0"/>
              <w:rPr>
                <w:sz w:val="19"/>
                <w:szCs w:val="19"/>
                <w:color w:val="auto"/>
              </w:rPr>
            </w:pPr>
          </w:p>
        </w:tc>
        <w:tc>
          <w:tcPr>
            <w:tcW w:w="240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4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2023</w:t>
            </w:r>
          </w:p>
        </w:tc>
        <w:tc>
          <w:tcPr>
            <w:tcW w:w="28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964.8</w:t>
            </w:r>
          </w:p>
        </w:tc>
        <w:tc>
          <w:tcPr>
            <w:tcW w:w="28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122.1</w:t>
            </w:r>
          </w:p>
        </w:tc>
        <w:tc>
          <w:tcPr>
            <w:tcW w:w="0" w:type="dxa"/>
            <w:vAlign w:val="bottom"/>
          </w:tcPr>
          <w:p>
            <w:pPr>
              <w:spacing w:after="0"/>
              <w:rPr>
                <w:sz w:val="1"/>
                <w:szCs w:val="1"/>
                <w:color w:val="auto"/>
              </w:rPr>
            </w:pPr>
          </w:p>
        </w:tc>
      </w:tr>
      <w:tr>
        <w:trPr>
          <w:trHeight w:val="229"/>
        </w:trPr>
        <w:tc>
          <w:tcPr>
            <w:tcW w:w="5400" w:type="dxa"/>
            <w:vAlign w:val="bottom"/>
          </w:tcPr>
          <w:p>
            <w:pPr>
              <w:ind w:left="20"/>
              <w:spacing w:after="0"/>
              <w:rPr>
                <w:sz w:val="20"/>
                <w:szCs w:val="20"/>
                <w:color w:val="auto"/>
              </w:rPr>
            </w:pPr>
            <w:r>
              <w:rPr>
                <w:rFonts w:ascii="Arial" w:cs="Arial" w:eastAsia="Arial" w:hAnsi="Arial"/>
                <w:sz w:val="18"/>
                <w:szCs w:val="18"/>
                <w:color w:val="auto"/>
              </w:rPr>
              <w:t>2024</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433.6</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150.0</w:t>
            </w:r>
          </w:p>
        </w:tc>
        <w:tc>
          <w:tcPr>
            <w:tcW w:w="0" w:type="dxa"/>
            <w:vAlign w:val="bottom"/>
          </w:tcPr>
          <w:p>
            <w:pPr>
              <w:spacing w:after="0"/>
              <w:rPr>
                <w:sz w:val="1"/>
                <w:szCs w:val="1"/>
                <w:color w:val="auto"/>
              </w:rPr>
            </w:pPr>
          </w:p>
        </w:tc>
      </w:tr>
      <w:tr>
        <w:trPr>
          <w:trHeight w:val="230"/>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2025</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501.5</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w:t>
            </w:r>
          </w:p>
        </w:tc>
        <w:tc>
          <w:tcPr>
            <w:tcW w:w="0" w:type="dxa"/>
            <w:vAlign w:val="bottom"/>
          </w:tcPr>
          <w:p>
            <w:pPr>
              <w:spacing w:after="0"/>
              <w:rPr>
                <w:sz w:val="1"/>
                <w:szCs w:val="1"/>
                <w:color w:val="auto"/>
              </w:rPr>
            </w:pPr>
          </w:p>
        </w:tc>
      </w:tr>
      <w:tr>
        <w:trPr>
          <w:trHeight w:val="229"/>
        </w:trPr>
        <w:tc>
          <w:tcPr>
            <w:tcW w:w="5400" w:type="dxa"/>
            <w:vAlign w:val="bottom"/>
          </w:tcPr>
          <w:p>
            <w:pPr>
              <w:ind w:left="20"/>
              <w:spacing w:after="0"/>
              <w:rPr>
                <w:sz w:val="20"/>
                <w:szCs w:val="20"/>
                <w:color w:val="auto"/>
              </w:rPr>
            </w:pPr>
            <w:r>
              <w:rPr>
                <w:rFonts w:ascii="Arial" w:cs="Arial" w:eastAsia="Arial" w:hAnsi="Arial"/>
                <w:sz w:val="18"/>
                <w:szCs w:val="18"/>
                <w:color w:val="auto"/>
              </w:rPr>
              <w:t>2026</w:t>
            </w:r>
          </w:p>
        </w:tc>
        <w:tc>
          <w:tcPr>
            <w:tcW w:w="2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440" w:type="dxa"/>
            <w:vAlign w:val="bottom"/>
          </w:tcPr>
          <w:p>
            <w:pPr>
              <w:jc w:val="right"/>
              <w:spacing w:after="0"/>
              <w:rPr>
                <w:sz w:val="20"/>
                <w:szCs w:val="20"/>
                <w:color w:val="auto"/>
              </w:rPr>
            </w:pPr>
            <w:r>
              <w:rPr>
                <w:rFonts w:ascii="Arial" w:cs="Arial" w:eastAsia="Arial" w:hAnsi="Arial"/>
                <w:sz w:val="18"/>
                <w:szCs w:val="18"/>
                <w:color w:val="auto"/>
              </w:rPr>
              <w:t>464.1</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400" w:type="dxa"/>
            <w:vAlign w:val="bottom"/>
          </w:tcPr>
          <w:p>
            <w:pPr>
              <w:jc w:val="right"/>
              <w:spacing w:after="0"/>
              <w:rPr>
                <w:sz w:val="20"/>
                <w:szCs w:val="20"/>
                <w:color w:val="auto"/>
              </w:rPr>
            </w:pPr>
            <w:r>
              <w:rPr>
                <w:rFonts w:ascii="Arial" w:cs="Arial" w:eastAsia="Arial" w:hAnsi="Arial"/>
                <w:sz w:val="18"/>
                <w:szCs w:val="18"/>
                <w:color w:val="auto"/>
              </w:rPr>
              <w:t>32.5</w:t>
            </w:r>
          </w:p>
        </w:tc>
        <w:tc>
          <w:tcPr>
            <w:tcW w:w="0" w:type="dxa"/>
            <w:vAlign w:val="bottom"/>
          </w:tcPr>
          <w:p>
            <w:pPr>
              <w:spacing w:after="0"/>
              <w:rPr>
                <w:sz w:val="1"/>
                <w:szCs w:val="1"/>
                <w:color w:val="auto"/>
              </w:rPr>
            </w:pPr>
          </w:p>
        </w:tc>
      </w:tr>
      <w:tr>
        <w:trPr>
          <w:trHeight w:val="230"/>
        </w:trPr>
        <w:tc>
          <w:tcPr>
            <w:tcW w:w="5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2027</w:t>
            </w:r>
          </w:p>
        </w:tc>
        <w:tc>
          <w:tcPr>
            <w:tcW w:w="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301.9</w:t>
            </w:r>
          </w:p>
        </w:tc>
        <w:tc>
          <w:tcPr>
            <w:tcW w:w="2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2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w:t>
            </w:r>
          </w:p>
        </w:tc>
        <w:tc>
          <w:tcPr>
            <w:tcW w:w="0" w:type="dxa"/>
            <w:vAlign w:val="bottom"/>
          </w:tcPr>
          <w:p>
            <w:pPr>
              <w:spacing w:after="0"/>
              <w:rPr>
                <w:sz w:val="1"/>
                <w:szCs w:val="1"/>
                <w:color w:val="auto"/>
              </w:rPr>
            </w:pPr>
          </w:p>
        </w:tc>
      </w:tr>
      <w:tr>
        <w:trPr>
          <w:trHeight w:val="229"/>
        </w:trPr>
        <w:tc>
          <w:tcPr>
            <w:tcW w:w="56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200" w:type="dxa"/>
            <w:vAlign w:val="bottom"/>
            <w:tcBorders>
              <w:bottom w:val="single" w:sz="8" w:color="auto"/>
            </w:tcBorders>
          </w:tcPr>
          <w:p>
            <w:pPr>
              <w:spacing w:after="0"/>
              <w:rPr>
                <w:sz w:val="19"/>
                <w:szCs w:val="19"/>
                <w:color w:val="auto"/>
              </w:rPr>
            </w:pPr>
          </w:p>
        </w:tc>
        <w:tc>
          <w:tcPr>
            <w:tcW w:w="2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326.4</w:t>
            </w:r>
          </w:p>
        </w:tc>
        <w:tc>
          <w:tcPr>
            <w:tcW w:w="28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2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193.5</w:t>
            </w:r>
          </w:p>
        </w:tc>
        <w:tc>
          <w:tcPr>
            <w:tcW w:w="0" w:type="dxa"/>
            <w:vAlign w:val="bottom"/>
          </w:tcPr>
          <w:p>
            <w:pPr>
              <w:spacing w:after="0"/>
              <w:rPr>
                <w:sz w:val="1"/>
                <w:szCs w:val="1"/>
                <w:color w:val="auto"/>
              </w:rPr>
            </w:pPr>
          </w:p>
        </w:tc>
      </w:tr>
      <w:tr>
        <w:trPr>
          <w:trHeight w:val="248"/>
        </w:trPr>
        <w:tc>
          <w:tcPr>
            <w:tcW w:w="56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2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2,992.3</w:t>
            </w:r>
          </w:p>
        </w:tc>
        <w:tc>
          <w:tcPr>
            <w:tcW w:w="2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2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w:t>
            </w:r>
          </w:p>
        </w:tc>
        <w:tc>
          <w:tcPr>
            <w:tcW w:w="0" w:type="dxa"/>
            <w:vAlign w:val="bottom"/>
          </w:tcPr>
          <w:p>
            <w:pPr>
              <w:spacing w:after="0"/>
              <w:rPr>
                <w:sz w:val="1"/>
                <w:szCs w:val="1"/>
                <w:color w:val="auto"/>
              </w:rPr>
            </w:pPr>
          </w:p>
        </w:tc>
      </w:tr>
      <w:tr>
        <w:trPr>
          <w:trHeight w:val="20"/>
        </w:trPr>
        <w:tc>
          <w:tcPr>
            <w:tcW w:w="54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244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24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52"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w:t>
      </w:r>
    </w:p>
    <w:p>
      <w:pPr>
        <w:spacing w:after="0" w:line="198" w:lineRule="exact"/>
        <w:rPr>
          <w:sz w:val="20"/>
          <w:szCs w:val="20"/>
          <w:color w:val="auto"/>
        </w:rPr>
      </w:pPr>
    </w:p>
    <w:p>
      <w:pPr>
        <w:ind w:firstLine="405"/>
        <w:spacing w:after="0" w:line="253" w:lineRule="auto"/>
        <w:rPr>
          <w:sz w:val="20"/>
          <w:szCs w:val="20"/>
          <w:color w:val="auto"/>
        </w:rPr>
      </w:pPr>
      <w:r>
        <w:rPr>
          <w:rFonts w:ascii="Arial" w:cs="Arial" w:eastAsia="Arial" w:hAnsi="Arial"/>
          <w:sz w:val="17"/>
          <w:szCs w:val="17"/>
          <w:color w:val="auto"/>
        </w:rPr>
        <w:t>The Company entered into manufacturing supply capacity reservation agreements with foundries and test &amp; assembly suppliers during the current and prior fiscal year due to the current global supply shortage environment. Under these arrangements, the Company agreed to pay capacity fees or refundable deposits to the suppliers in exchange for reserved manufacturing production capacity over the term of the agreements, which ranges from four to ten years. In addition, the Company committed to certain purchase levels that were in line with the capacity reserved. If the Company does not meet the purchase level commitments, the agreements either require the Company to pay a fee for the difference between the actual purchases and the purchase commitment or lose priority to reserved capacity for a period of time. The Company currently estimates that it has agreed to purchase level commitments of at least $2.2 billion of wafers, substrates, and other manufacturing products for the remainder of fiscal 2023 through fiscal 2032 under the capacity reservation agreements. In addition, total fees and refundable deposits payable under these arrangements are $143.0 million for the remainder of fiscal 2023 through fiscal 2026. Such purchase commitments are summarized in the preceding table.</w:t>
      </w:r>
    </w:p>
    <w:p>
      <w:pPr>
        <w:spacing w:after="0" w:line="211" w:lineRule="exact"/>
        <w:rPr>
          <w:sz w:val="20"/>
          <w:szCs w:val="20"/>
          <w:color w:val="auto"/>
        </w:rPr>
      </w:pPr>
    </w:p>
    <w:p>
      <w:pPr>
        <w:jc w:val="both"/>
        <w:ind w:right="160" w:firstLine="405"/>
        <w:spacing w:after="0" w:line="243"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$354.0 million are payable quarterly over the contract term.</w:t>
      </w:r>
    </w:p>
    <w:p>
      <w:pPr>
        <w:spacing w:after="0" w:line="21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48" w:lineRule="auto"/>
        <w:rPr>
          <w:sz w:val="20"/>
          <w:szCs w:val="20"/>
          <w:color w:val="auto"/>
        </w:rPr>
      </w:pPr>
      <w:r>
        <w:rPr>
          <w:rFonts w:ascii="Arial" w:cs="Arial" w:eastAsia="Arial" w:hAnsi="Arial"/>
          <w:sz w:val="18"/>
          <w:szCs w:val="18"/>
          <w:color w:val="auto"/>
        </w:rPr>
        <w:t>The Company currently is, and may from time to time become,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9" w:lineRule="exact"/>
        <w:rPr>
          <w:sz w:val="20"/>
          <w:szCs w:val="20"/>
          <w:color w:val="auto"/>
        </w:rPr>
      </w:pPr>
    </w:p>
    <w:p>
      <w:pPr>
        <w:ind w:right="20" w:firstLine="405"/>
        <w:spacing w:after="0" w:line="252" w:lineRule="auto"/>
        <w:rPr>
          <w:sz w:val="20"/>
          <w:szCs w:val="20"/>
          <w:color w:val="auto"/>
        </w:rPr>
      </w:pPr>
      <w:r>
        <w:rPr>
          <w:rFonts w:ascii="Arial" w:cs="Arial" w:eastAsia="Arial" w:hAnsi="Arial"/>
          <w:sz w:val="17"/>
          <w:szCs w:val="17"/>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In the first quarter of fiscal 2023, the Company reserved $15 million in relation to an on-going contractual and intellectual property disagreement with a customer; this disagreement remains unresolved as of the first quarter ended April 30, 2022. The ultimate outcome of this and other Legal Matters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5" w:name="page16"/>
    <w:bookmarkEnd w:id="1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0"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6" w:name="page17"/>
    <w:bookmarkEnd w:id="1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Business Combinations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w:t>
      </w:r>
    </w:p>
    <w:p>
      <w:pPr>
        <w:spacing w:after="0" w:line="239"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202"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46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120" w:type="dxa"/>
            <w:vAlign w:val="bottom"/>
          </w:tcPr>
          <w:p>
            <w:pPr>
              <w:spacing w:after="0"/>
              <w:rPr>
                <w:sz w:val="20"/>
                <w:szCs w:val="20"/>
                <w:color w:val="auto"/>
              </w:rPr>
            </w:pPr>
          </w:p>
        </w:tc>
        <w:tc>
          <w:tcPr>
            <w:tcW w:w="1620" w:type="dxa"/>
            <w:vAlign w:val="bottom"/>
          </w:tcPr>
          <w:p>
            <w:pPr>
              <w:spacing w:after="0"/>
              <w:rPr>
                <w:sz w:val="20"/>
                <w:szCs w:val="20"/>
                <w:color w:val="auto"/>
              </w:rPr>
            </w:pPr>
          </w:p>
        </w:tc>
      </w:tr>
      <w:tr>
        <w:trPr>
          <w:trHeight w:val="256"/>
        </w:trPr>
        <w:tc>
          <w:tcPr>
            <w:tcW w:w="84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620" w:type="dxa"/>
            <w:vAlign w:val="bottom"/>
          </w:tcPr>
          <w:p>
            <w:pPr>
              <w:spacing w:after="0"/>
              <w:rPr>
                <w:sz w:val="22"/>
                <w:szCs w:val="22"/>
                <w:color w:val="auto"/>
              </w:rPr>
            </w:pPr>
          </w:p>
        </w:tc>
      </w:tr>
      <w:tr>
        <w:trPr>
          <w:trHeight w:val="230"/>
        </w:trPr>
        <w:tc>
          <w:tcPr>
            <w:tcW w:w="8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w:t>
            </w:r>
          </w:p>
        </w:tc>
        <w:tc>
          <w:tcPr>
            <w:tcW w:w="112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971.0</w:t>
            </w:r>
          </w:p>
        </w:tc>
      </w:tr>
      <w:tr>
        <w:trPr>
          <w:trHeight w:val="229"/>
        </w:trPr>
        <w:tc>
          <w:tcPr>
            <w:tcW w:w="84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120" w:type="dxa"/>
            <w:vAlign w:val="bottom"/>
            <w:tcBorders>
              <w:bottom w:val="single" w:sz="8" w:color="auto"/>
            </w:tcBorders>
          </w:tcPr>
          <w:p>
            <w:pPr>
              <w:spacing w:after="0"/>
              <w:rPr>
                <w:sz w:val="19"/>
                <w:szCs w:val="19"/>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w:t>
            </w:r>
          </w:p>
        </w:tc>
      </w:tr>
      <w:tr>
        <w:trPr>
          <w:trHeight w:val="248"/>
        </w:trPr>
        <w:tc>
          <w:tcPr>
            <w:tcW w:w="8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120" w:type="dxa"/>
            <w:vAlign w:val="bottom"/>
            <w:tcBorders>
              <w:bottom w:val="single" w:sz="8" w:color="auto"/>
            </w:tcBorders>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846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2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jc w:val="both"/>
        <w:ind w:firstLine="405"/>
        <w:spacing w:after="0" w:line="235" w:lineRule="auto"/>
        <w:rPr>
          <w:sz w:val="20"/>
          <w:szCs w:val="20"/>
          <w:color w:val="auto"/>
        </w:rPr>
      </w:pPr>
      <w:r>
        <w:rPr>
          <w:rFonts w:ascii="Arial" w:cs="Arial" w:eastAsia="Arial" w:hAnsi="Arial"/>
          <w:sz w:val="18"/>
          <w:szCs w:val="18"/>
          <w:color w:val="auto"/>
        </w:rPr>
        <w:t>The merger consideration allocation set forth herein is preliminary and may be revised with adjustment to goodwill as additional information becomes available during the measurement period from the closing date of the acquisition to finalize such preliminary estimates. Any such revisions or changes may be material.</w:t>
      </w:r>
    </w:p>
    <w:p>
      <w:pPr>
        <w:spacing w:after="0" w:line="202" w:lineRule="exact"/>
        <w:rPr>
          <w:sz w:val="20"/>
          <w:szCs w:val="20"/>
          <w:color w:val="auto"/>
        </w:rPr>
      </w:pPr>
    </w:p>
    <w:p>
      <w:pPr>
        <w:ind w:right="40" w:firstLine="405"/>
        <w:spacing w:after="0" w:line="239"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20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33" w:lineRule="exact"/>
        <w:rPr>
          <w:sz w:val="20"/>
          <w:szCs w:val="20"/>
          <w:color w:val="auto"/>
        </w:rPr>
      </w:pPr>
    </w:p>
    <w:p>
      <w:pPr>
        <w:ind w:left="9200"/>
        <w:spacing w:after="0"/>
        <w:rPr>
          <w:sz w:val="20"/>
          <w:szCs w:val="20"/>
          <w:color w:val="auto"/>
        </w:rPr>
      </w:pPr>
      <w:r>
        <w:rPr>
          <w:rFonts w:ascii="Arial" w:cs="Arial" w:eastAsia="Arial" w:hAnsi="Arial"/>
          <w:sz w:val="16"/>
          <w:szCs w:val="16"/>
          <w:b w:val="1"/>
          <w:bCs w:val="1"/>
          <w:color w:val="auto"/>
        </w:rPr>
        <w:t>Previously Reported</w:t>
      </w:r>
    </w:p>
    <w:p>
      <w:pPr>
        <w:ind w:left="8640"/>
        <w:spacing w:after="0"/>
        <w:rPr>
          <w:sz w:val="20"/>
          <w:szCs w:val="20"/>
          <w:color w:val="auto"/>
        </w:rPr>
      </w:pPr>
      <w:r>
        <w:rPr>
          <w:rFonts w:ascii="Arial" w:cs="Arial" w:eastAsia="Arial" w:hAnsi="Arial"/>
          <w:sz w:val="16"/>
          <w:szCs w:val="16"/>
          <w:b w:val="1"/>
          <w:bCs w:val="1"/>
          <w:color w:val="auto"/>
        </w:rPr>
        <w:t>January 29, 2022 (Provisional)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8890</wp:posOffset>
            </wp:positionV>
            <wp:extent cx="7132320" cy="1543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p>
      <w:pPr>
        <w:spacing w:after="0" w:line="2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Cash and cash equivalents</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Inventories</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Goodwill</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6"/>
          <w:szCs w:val="16"/>
          <w:color w:val="auto"/>
        </w:rPr>
        <w:t>Acquired intangible assets, net</w:t>
      </w:r>
    </w:p>
    <w:p>
      <w:pPr>
        <w:spacing w:after="0" w:line="4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Other, net</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Total merger consideration</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8"/>
        </w:trPr>
        <w:tc>
          <w:tcPr>
            <w:tcW w:w="1500" w:type="dxa"/>
            <w:vAlign w:val="bottom"/>
            <w:tcBorders>
              <w:top w:val="single" w:sz="8" w:color="auto"/>
            </w:tcBorders>
          </w:tcPr>
          <w:p>
            <w:pPr>
              <w:jc w:val="right"/>
              <w:ind w:right="890"/>
              <w:spacing w:after="0"/>
              <w:rPr>
                <w:sz w:val="20"/>
                <w:szCs w:val="20"/>
                <w:color w:val="auto"/>
              </w:rPr>
            </w:pPr>
            <w:r>
              <w:rPr>
                <w:rFonts w:ascii="Arial" w:cs="Arial" w:eastAsia="Arial" w:hAnsi="Arial"/>
                <w:sz w:val="18"/>
                <w:szCs w:val="18"/>
                <w:color w:val="auto"/>
              </w:rPr>
              <w:t>$</w:t>
            </w:r>
          </w:p>
        </w:tc>
        <w:tc>
          <w:tcPr>
            <w:tcW w:w="1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60.4</w:t>
            </w:r>
          </w:p>
        </w:tc>
      </w:tr>
      <w:tr>
        <w:trPr>
          <w:trHeight w:val="230"/>
        </w:trPr>
        <w:tc>
          <w:tcPr>
            <w:tcW w:w="1500" w:type="dxa"/>
            <w:vAlign w:val="bottom"/>
          </w:tcPr>
          <w:p>
            <w:pPr>
              <w:spacing w:after="0"/>
              <w:rPr>
                <w:sz w:val="19"/>
                <w:szCs w:val="19"/>
                <w:color w:val="auto"/>
              </w:rPr>
            </w:pPr>
          </w:p>
        </w:tc>
        <w:tc>
          <w:tcPr>
            <w:tcW w:w="1580" w:type="dxa"/>
            <w:vAlign w:val="bottom"/>
          </w:tcPr>
          <w:p>
            <w:pPr>
              <w:jc w:val="right"/>
              <w:spacing w:after="0"/>
              <w:rPr>
                <w:sz w:val="20"/>
                <w:szCs w:val="20"/>
                <w:color w:val="auto"/>
              </w:rPr>
            </w:pPr>
            <w:r>
              <w:rPr>
                <w:rFonts w:ascii="Arial" w:cs="Arial" w:eastAsia="Arial" w:hAnsi="Arial"/>
                <w:sz w:val="18"/>
                <w:szCs w:val="18"/>
                <w:color w:val="auto"/>
              </w:rPr>
              <w:t>70.0</w:t>
            </w:r>
          </w:p>
        </w:tc>
      </w:tr>
      <w:tr>
        <w:trPr>
          <w:trHeight w:val="230"/>
        </w:trPr>
        <w:tc>
          <w:tcPr>
            <w:tcW w:w="1500" w:type="dxa"/>
            <w:vAlign w:val="bottom"/>
          </w:tcPr>
          <w:p>
            <w:pPr>
              <w:spacing w:after="0"/>
              <w:rPr>
                <w:sz w:val="19"/>
                <w:szCs w:val="19"/>
                <w:color w:val="auto"/>
              </w:rPr>
            </w:pPr>
          </w:p>
        </w:tc>
        <w:tc>
          <w:tcPr>
            <w:tcW w:w="1580" w:type="dxa"/>
            <w:vAlign w:val="bottom"/>
          </w:tcPr>
          <w:p>
            <w:pPr>
              <w:jc w:val="right"/>
              <w:spacing w:after="0"/>
              <w:rPr>
                <w:sz w:val="20"/>
                <w:szCs w:val="20"/>
                <w:color w:val="auto"/>
              </w:rPr>
            </w:pPr>
            <w:r>
              <w:rPr>
                <w:rFonts w:ascii="Arial" w:cs="Arial" w:eastAsia="Arial" w:hAnsi="Arial"/>
                <w:sz w:val="18"/>
                <w:szCs w:val="18"/>
                <w:color w:val="auto"/>
              </w:rPr>
              <w:t>462.4</w:t>
            </w:r>
          </w:p>
        </w:tc>
      </w:tr>
      <w:tr>
        <w:trPr>
          <w:trHeight w:val="230"/>
        </w:trPr>
        <w:tc>
          <w:tcPr>
            <w:tcW w:w="1500" w:type="dxa"/>
            <w:vAlign w:val="bottom"/>
          </w:tcPr>
          <w:p>
            <w:pPr>
              <w:spacing w:after="0"/>
              <w:rPr>
                <w:sz w:val="19"/>
                <w:szCs w:val="19"/>
                <w:color w:val="auto"/>
              </w:rPr>
            </w:pPr>
          </w:p>
        </w:tc>
        <w:tc>
          <w:tcPr>
            <w:tcW w:w="1580" w:type="dxa"/>
            <w:vAlign w:val="bottom"/>
          </w:tcPr>
          <w:p>
            <w:pPr>
              <w:jc w:val="right"/>
              <w:spacing w:after="0"/>
              <w:rPr>
                <w:sz w:val="20"/>
                <w:szCs w:val="20"/>
                <w:color w:val="auto"/>
              </w:rPr>
            </w:pPr>
            <w:r>
              <w:rPr>
                <w:rFonts w:ascii="Arial" w:cs="Arial" w:eastAsia="Arial" w:hAnsi="Arial"/>
                <w:sz w:val="18"/>
                <w:szCs w:val="18"/>
                <w:color w:val="auto"/>
              </w:rPr>
              <w:t>433.0</w:t>
            </w:r>
          </w:p>
        </w:tc>
      </w:tr>
      <w:tr>
        <w:trPr>
          <w:trHeight w:val="230"/>
        </w:trPr>
        <w:tc>
          <w:tcPr>
            <w:tcW w:w="1500" w:type="dxa"/>
            <w:vAlign w:val="bottom"/>
            <w:tcBorders>
              <w:bottom w:val="single" w:sz="8" w:color="auto"/>
            </w:tcBorders>
          </w:tcPr>
          <w:p>
            <w:pPr>
              <w:spacing w:after="0"/>
              <w:rPr>
                <w:sz w:val="20"/>
                <w:szCs w:val="20"/>
                <w:color w:val="auto"/>
              </w:rPr>
            </w:pPr>
          </w:p>
        </w:tc>
        <w:tc>
          <w:tcPr>
            <w:tcW w:w="1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w:t>
            </w:r>
          </w:p>
        </w:tc>
      </w:tr>
      <w:tr>
        <w:trPr>
          <w:trHeight w:val="223"/>
        </w:trPr>
        <w:tc>
          <w:tcPr>
            <w:tcW w:w="1500" w:type="dxa"/>
            <w:vAlign w:val="bottom"/>
            <w:tcBorders>
              <w:bottom w:val="single" w:sz="8" w:color="auto"/>
            </w:tcBorders>
          </w:tcPr>
          <w:p>
            <w:pPr>
              <w:jc w:val="right"/>
              <w:ind w:right="890"/>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1500" w:type="dxa"/>
            <w:vAlign w:val="bottom"/>
            <w:tcBorders>
              <w:bottom w:val="single" w:sz="8" w:color="auto"/>
            </w:tcBorders>
          </w:tcPr>
          <w:p>
            <w:pPr>
              <w:spacing w:after="0" w:line="20" w:lineRule="exact"/>
              <w:rPr>
                <w:sz w:val="1"/>
                <w:szCs w:val="1"/>
                <w:color w:val="auto"/>
              </w:rPr>
            </w:pPr>
          </w:p>
        </w:tc>
        <w:tc>
          <w:tcPr>
            <w:tcW w:w="158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-5175885</wp:posOffset>
            </wp:positionH>
            <wp:positionV relativeFrom="paragraph">
              <wp:posOffset>-624840</wp:posOffset>
            </wp:positionV>
            <wp:extent cx="7132320" cy="1460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32320" cy="146050"/>
                    </a:xfrm>
                    <a:prstGeom prst="rect">
                      <a:avLst/>
                    </a:prstGeom>
                    <a:noFill/>
                  </pic:spPr>
                </pic:pic>
              </a:graphicData>
            </a:graphic>
          </wp:anchor>
        </w:drawing>
        <w:drawing>
          <wp:anchor simplePos="0" relativeHeight="251657728" behindDoc="1" locked="0" layoutInCell="0" allowOverlap="1">
            <wp:simplePos x="0" y="0"/>
            <wp:positionH relativeFrom="column">
              <wp:posOffset>-5175885</wp:posOffset>
            </wp:positionH>
            <wp:positionV relativeFrom="paragraph">
              <wp:posOffset>-334010</wp:posOffset>
            </wp:positionV>
            <wp:extent cx="7132320" cy="14605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440" w:space="720"/>
            <w:col w:w="3080"/>
          </w:cols>
          <w:pgMar w:left="320" w:top="130" w:right="339" w:bottom="1440" w:gutter="0" w:footer="0" w:header="0"/>
          <w:type w:val="continuous"/>
        </w:sectPr>
      </w:pPr>
    </w:p>
    <w:p>
      <w:pPr>
        <w:spacing w:after="0" w:line="200" w:lineRule="exact"/>
        <w:rPr>
          <w:sz w:val="20"/>
          <w:szCs w:val="20"/>
          <w:color w:val="auto"/>
        </w:rPr>
      </w:pPr>
    </w:p>
    <w:p>
      <w:pPr>
        <w:spacing w:after="0" w:line="26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7" w:name="page18"/>
    <w:bookmarkEnd w:id="1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20" w:firstLine="405"/>
        <w:spacing w:after="0" w:line="291"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There have been no measurement period adjustments during the first quarter ended April 30, 2022.</w:t>
      </w:r>
    </w:p>
    <w:p>
      <w:pPr>
        <w:spacing w:after="0" w:line="174"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Company incurred total acquisition related costs of $11.9 million which were recorded in selling, general and administrative expense in the unaudited condensed consolidated statements of operations.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39"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4 – Debt” for additional information.</w:t>
      </w:r>
    </w:p>
    <w:p>
      <w:pPr>
        <w:spacing w:after="0" w:line="218"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68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020" w:type="dxa"/>
            <w:vAlign w:val="bottom"/>
          </w:tcPr>
          <w:p>
            <w:pPr>
              <w:spacing w:after="0"/>
              <w:rPr>
                <w:sz w:val="20"/>
                <w:szCs w:val="20"/>
                <w:color w:val="auto"/>
              </w:rPr>
            </w:pPr>
          </w:p>
        </w:tc>
        <w:tc>
          <w:tcPr>
            <w:tcW w:w="1540" w:type="dxa"/>
            <w:vAlign w:val="bottom"/>
          </w:tcPr>
          <w:p>
            <w:pPr>
              <w:spacing w:after="0"/>
              <w:rPr>
                <w:sz w:val="20"/>
                <w:szCs w:val="20"/>
                <w:color w:val="auto"/>
              </w:rPr>
            </w:pPr>
          </w:p>
        </w:tc>
      </w:tr>
      <w:tr>
        <w:trPr>
          <w:trHeight w:val="256"/>
        </w:trPr>
        <w:tc>
          <w:tcPr>
            <w:tcW w:w="86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540" w:type="dxa"/>
            <w:vAlign w:val="bottom"/>
          </w:tcPr>
          <w:p>
            <w:pPr>
              <w:spacing w:after="0"/>
              <w:rPr>
                <w:sz w:val="22"/>
                <w:szCs w:val="22"/>
                <w:color w:val="auto"/>
              </w:rPr>
            </w:pPr>
          </w:p>
        </w:tc>
      </w:tr>
      <w:tr>
        <w:trPr>
          <w:trHeight w:val="230"/>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w:t>
            </w:r>
          </w:p>
        </w:tc>
        <w:tc>
          <w:tcPr>
            <w:tcW w:w="102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3,673.2</w:t>
            </w:r>
          </w:p>
        </w:tc>
      </w:tr>
      <w:tr>
        <w:trPr>
          <w:trHeight w:val="229"/>
        </w:trPr>
        <w:tc>
          <w:tcPr>
            <w:tcW w:w="8680" w:type="dxa"/>
            <w:vAlign w:val="bottom"/>
          </w:tcPr>
          <w:p>
            <w:pPr>
              <w:ind w:left="20"/>
              <w:spacing w:after="0"/>
              <w:rPr>
                <w:sz w:val="20"/>
                <w:szCs w:val="20"/>
                <w:color w:val="auto"/>
              </w:rPr>
            </w:pPr>
            <w:r>
              <w:rPr>
                <w:rFonts w:ascii="Arial" w:cs="Arial" w:eastAsia="Arial" w:hAnsi="Arial"/>
                <w:sz w:val="18"/>
                <w:szCs w:val="18"/>
                <w:color w:val="auto"/>
              </w:rPr>
              <w:t>Common stock issued</w:t>
            </w:r>
          </w:p>
        </w:tc>
        <w:tc>
          <w:tcPr>
            <w:tcW w:w="1020" w:type="dxa"/>
            <w:vAlign w:val="bottom"/>
          </w:tcPr>
          <w:p>
            <w:pPr>
              <w:spacing w:after="0"/>
              <w:rPr>
                <w:sz w:val="19"/>
                <w:szCs w:val="19"/>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5,917.8</w:t>
            </w:r>
          </w:p>
        </w:tc>
      </w:tr>
      <w:tr>
        <w:trPr>
          <w:trHeight w:val="230"/>
        </w:trPr>
        <w:tc>
          <w:tcPr>
            <w:tcW w:w="868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0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r>
      <w:tr>
        <w:trPr>
          <w:trHeight w:val="230"/>
        </w:trPr>
        <w:tc>
          <w:tcPr>
            <w:tcW w:w="86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020" w:type="dxa"/>
            <w:vAlign w:val="bottom"/>
            <w:tcBorders>
              <w:bottom w:val="single" w:sz="8" w:color="auto"/>
            </w:tcBorders>
          </w:tcPr>
          <w:p>
            <w:pPr>
              <w:spacing w:after="0"/>
              <w:rPr>
                <w:sz w:val="19"/>
                <w:szCs w:val="19"/>
                <w:color w:val="auto"/>
              </w:rPr>
            </w:pPr>
          </w:p>
        </w:tc>
        <w:tc>
          <w:tcPr>
            <w:tcW w:w="154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244.2</w:t>
            </w:r>
          </w:p>
        </w:tc>
      </w:tr>
      <w:tr>
        <w:trPr>
          <w:trHeight w:val="234"/>
        </w:trPr>
        <w:tc>
          <w:tcPr>
            <w:tcW w:w="86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02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6"/>
                <w:szCs w:val="16"/>
                <w:color w:val="auto"/>
              </w:rPr>
              <w:t>$</w:t>
            </w:r>
          </w:p>
        </w:tc>
        <w:tc>
          <w:tcPr>
            <w:tcW w:w="1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9,917.5</w:t>
            </w:r>
          </w:p>
        </w:tc>
      </w:tr>
      <w:tr>
        <w:trPr>
          <w:trHeight w:val="20"/>
        </w:trPr>
        <w:tc>
          <w:tcPr>
            <w:tcW w:w="868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180" w:firstLine="405"/>
        <w:spacing w:after="0" w:line="255"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7 – Goodwill and Acquired Intangible Assets, Net”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8" w:name="page19"/>
    <w:bookmarkEnd w:id="1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45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100" w:type="dxa"/>
            <w:vAlign w:val="bottom"/>
            <w:gridSpan w:val="2"/>
          </w:tcPr>
          <w:p>
            <w:pPr>
              <w:jc w:val="center"/>
              <w:ind w:right="380"/>
              <w:spacing w:after="0"/>
              <w:rPr>
                <w:sz w:val="20"/>
                <w:szCs w:val="20"/>
                <w:color w:val="auto"/>
              </w:rPr>
            </w:pPr>
            <w:r>
              <w:rPr>
                <w:rFonts w:ascii="Arial" w:cs="Arial" w:eastAsia="Arial" w:hAnsi="Arial"/>
                <w:sz w:val="16"/>
                <w:szCs w:val="16"/>
                <w:b w:val="1"/>
                <w:bCs w:val="1"/>
                <w:color w:val="auto"/>
                <w:w w:val="89"/>
              </w:rPr>
              <w:t>Previously Reported</w:t>
            </w:r>
          </w:p>
        </w:tc>
        <w:tc>
          <w:tcPr>
            <w:tcW w:w="200" w:type="dxa"/>
            <w:vAlign w:val="bottom"/>
          </w:tcPr>
          <w:p>
            <w:pPr>
              <w:spacing w:after="0"/>
              <w:rPr>
                <w:sz w:val="16"/>
                <w:szCs w:val="16"/>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2"/>
              </w:rPr>
              <w:t>Measurement Period</w:t>
            </w:r>
          </w:p>
        </w:tc>
        <w:tc>
          <w:tcPr>
            <w:tcW w:w="360" w:type="dxa"/>
            <w:vAlign w:val="bottom"/>
          </w:tcPr>
          <w:p>
            <w:pPr>
              <w:spacing w:after="0"/>
              <w:rPr>
                <w:sz w:val="16"/>
                <w:szCs w:val="16"/>
                <w:color w:val="auto"/>
              </w:rPr>
            </w:pPr>
          </w:p>
        </w:tc>
        <w:tc>
          <w:tcPr>
            <w:tcW w:w="1860" w:type="dxa"/>
            <w:vAlign w:val="bottom"/>
            <w:vMerge w:val="restart"/>
          </w:tcPr>
          <w:p>
            <w:pPr>
              <w:jc w:val="right"/>
              <w:ind w:right="531"/>
              <w:spacing w:after="0"/>
              <w:rPr>
                <w:sz w:val="20"/>
                <w:szCs w:val="20"/>
                <w:color w:val="auto"/>
              </w:rPr>
            </w:pPr>
            <w:r>
              <w:rPr>
                <w:rFonts w:ascii="Arial" w:cs="Arial" w:eastAsia="Arial" w:hAnsi="Arial"/>
                <w:sz w:val="16"/>
                <w:szCs w:val="16"/>
                <w:b w:val="1"/>
                <w:bCs w:val="1"/>
                <w:color w:val="auto"/>
              </w:rPr>
              <w:t>April 30, 2022</w:t>
            </w:r>
          </w:p>
        </w:tc>
        <w:tc>
          <w:tcPr>
            <w:tcW w:w="0" w:type="dxa"/>
            <w:vAlign w:val="bottom"/>
          </w:tcPr>
          <w:p>
            <w:pPr>
              <w:spacing w:after="0"/>
              <w:rPr>
                <w:sz w:val="1"/>
                <w:szCs w:val="1"/>
                <w:color w:val="auto"/>
              </w:rPr>
            </w:pPr>
          </w:p>
        </w:tc>
      </w:tr>
      <w:tr>
        <w:trPr>
          <w:trHeight w:val="213"/>
        </w:trPr>
        <w:tc>
          <w:tcPr>
            <w:tcW w:w="4500" w:type="dxa"/>
            <w:vAlign w:val="bottom"/>
          </w:tcPr>
          <w:p>
            <w:pPr>
              <w:spacing w:after="0"/>
              <w:rPr>
                <w:sz w:val="18"/>
                <w:szCs w:val="18"/>
                <w:color w:val="auto"/>
              </w:rPr>
            </w:pPr>
          </w:p>
        </w:tc>
        <w:tc>
          <w:tcPr>
            <w:tcW w:w="2360" w:type="dxa"/>
            <w:vAlign w:val="bottom"/>
            <w:gridSpan w:val="3"/>
          </w:tcPr>
          <w:p>
            <w:pPr>
              <w:jc w:val="center"/>
              <w:ind w:right="120"/>
              <w:spacing w:after="0"/>
              <w:rPr>
                <w:sz w:val="20"/>
                <w:szCs w:val="20"/>
                <w:color w:val="auto"/>
              </w:rPr>
            </w:pPr>
            <w:r>
              <w:rPr>
                <w:rFonts w:ascii="Arial" w:cs="Arial" w:eastAsia="Arial" w:hAnsi="Arial"/>
                <w:sz w:val="16"/>
                <w:szCs w:val="16"/>
                <w:b w:val="1"/>
                <w:bCs w:val="1"/>
                <w:color w:val="auto"/>
                <w:w w:val="92"/>
              </w:rPr>
              <w:t>January 29, 2022 (Provisional)</w:t>
            </w:r>
          </w:p>
        </w:tc>
        <w:tc>
          <w:tcPr>
            <w:tcW w:w="200" w:type="dxa"/>
            <w:vAlign w:val="bottom"/>
          </w:tcPr>
          <w:p>
            <w:pPr>
              <w:spacing w:after="0"/>
              <w:rPr>
                <w:sz w:val="18"/>
                <w:szCs w:val="18"/>
                <w:color w:val="auto"/>
              </w:rPr>
            </w:pPr>
          </w:p>
        </w:tc>
        <w:tc>
          <w:tcPr>
            <w:tcW w:w="1960" w:type="dxa"/>
            <w:vAlign w:val="bottom"/>
            <w:gridSpan w:val="2"/>
          </w:tcPr>
          <w:p>
            <w:pPr>
              <w:jc w:val="center"/>
              <w:ind w:right="340"/>
              <w:spacing w:after="0"/>
              <w:rPr>
                <w:sz w:val="20"/>
                <w:szCs w:val="20"/>
                <w:color w:val="auto"/>
              </w:rPr>
            </w:pPr>
            <w:r>
              <w:rPr>
                <w:rFonts w:ascii="Arial" w:cs="Arial" w:eastAsia="Arial" w:hAnsi="Arial"/>
                <w:sz w:val="16"/>
                <w:szCs w:val="16"/>
                <w:b w:val="1"/>
                <w:bCs w:val="1"/>
                <w:color w:val="auto"/>
                <w:w w:val="93"/>
              </w:rPr>
              <w:t>Adjustment</w:t>
            </w:r>
          </w:p>
        </w:tc>
        <w:tc>
          <w:tcPr>
            <w:tcW w:w="360" w:type="dxa"/>
            <w:vAlign w:val="bottom"/>
          </w:tcPr>
          <w:p>
            <w:pPr>
              <w:spacing w:after="0"/>
              <w:rPr>
                <w:sz w:val="18"/>
                <w:szCs w:val="18"/>
                <w:color w:val="auto"/>
              </w:rPr>
            </w:pPr>
          </w:p>
        </w:tc>
        <w:tc>
          <w:tcPr>
            <w:tcW w:w="18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6"/>
        </w:trPr>
        <w:tc>
          <w:tcPr>
            <w:tcW w:w="45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260" w:type="dxa"/>
            <w:vAlign w:val="bottom"/>
            <w:tcBorders>
              <w:top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12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99.7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99.7</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213.3</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213.3</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4,420.0</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4,420.0</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96.6</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Goodwill</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5,686.2</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2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5,688.4</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(313.7)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2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60" w:type="dxa"/>
            <w:vAlign w:val="bottom"/>
          </w:tcPr>
          <w:p>
            <w:pPr>
              <w:spacing w:after="0"/>
              <w:rPr>
                <w:sz w:val="19"/>
                <w:szCs w:val="19"/>
                <w:color w:val="auto"/>
              </w:rPr>
            </w:pPr>
          </w:p>
        </w:tc>
        <w:tc>
          <w:tcPr>
            <w:tcW w:w="1980" w:type="dxa"/>
            <w:vAlign w:val="bottom"/>
          </w:tcPr>
          <w:p>
            <w:pPr>
              <w:jc w:val="right"/>
              <w:spacing w:after="0"/>
              <w:rPr>
                <w:sz w:val="20"/>
                <w:szCs w:val="20"/>
                <w:color w:val="auto"/>
              </w:rPr>
            </w:pPr>
            <w:r>
              <w:rPr>
                <w:rFonts w:ascii="Arial" w:cs="Arial" w:eastAsia="Arial" w:hAnsi="Arial"/>
                <w:sz w:val="18"/>
                <w:szCs w:val="18"/>
                <w:color w:val="auto"/>
              </w:rPr>
              <w:t>(297.9)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9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(297.9)</w:t>
            </w:r>
          </w:p>
        </w:tc>
        <w:tc>
          <w:tcPr>
            <w:tcW w:w="0" w:type="dxa"/>
            <w:vAlign w:val="bottom"/>
          </w:tcPr>
          <w:p>
            <w:pPr>
              <w:spacing w:after="0"/>
              <w:rPr>
                <w:sz w:val="1"/>
                <w:szCs w:val="1"/>
                <w:color w:val="auto"/>
              </w:rPr>
            </w:pPr>
          </w:p>
        </w:tc>
      </w:tr>
      <w:tr>
        <w:trPr>
          <w:trHeight w:val="248"/>
        </w:trPr>
        <w:tc>
          <w:tcPr>
            <w:tcW w:w="45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260" w:type="dxa"/>
            <w:vAlign w:val="bottom"/>
            <w:tcBorders>
              <w:top w:val="single" w:sz="8" w:color="auto"/>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w w:val="99"/>
              </w:rPr>
              <w:t>$</w:t>
            </w:r>
          </w:p>
        </w:tc>
        <w:tc>
          <w:tcPr>
            <w:tcW w:w="1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0" w:type="dxa"/>
            <w:vAlign w:val="bottom"/>
          </w:tcPr>
          <w:p>
            <w:pPr>
              <w:spacing w:after="0"/>
              <w:rPr>
                <w:sz w:val="1"/>
                <w:szCs w:val="1"/>
                <w:color w:val="auto"/>
              </w:rPr>
            </w:pPr>
          </w:p>
        </w:tc>
      </w:tr>
      <w:tr>
        <w:trPr>
          <w:trHeight w:val="20"/>
        </w:trPr>
        <w:tc>
          <w:tcPr>
            <w:tcW w:w="45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8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18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20" w:firstLine="405"/>
        <w:spacing w:after="0" w:line="246"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 measurement period adjustments were associated with change in deferred tax assets as a result of changes in estimates related to finalizing Inphi’s short period 2021 U.S. tax return. The Company does not believe that the measurement period adjustment had a material impact on its consolidated statements of operations, balance sheets, or cash flows in any periods previously reported.</w:t>
      </w:r>
    </w:p>
    <w:p>
      <w:pPr>
        <w:spacing w:after="0" w:line="198" w:lineRule="exact"/>
        <w:rPr>
          <w:sz w:val="20"/>
          <w:szCs w:val="20"/>
          <w:color w:val="auto"/>
        </w:rPr>
      </w:pPr>
    </w:p>
    <w:p>
      <w:pPr>
        <w:ind w:right="180" w:firstLine="405"/>
        <w:spacing w:after="0" w:line="228" w:lineRule="auto"/>
        <w:rPr>
          <w:sz w:val="20"/>
          <w:szCs w:val="20"/>
          <w:color w:val="auto"/>
        </w:rPr>
      </w:pPr>
      <w:r>
        <w:rPr>
          <w:rFonts w:ascii="Arial" w:cs="Arial" w:eastAsia="Arial" w:hAnsi="Arial"/>
          <w:sz w:val="18"/>
          <w:szCs w:val="18"/>
          <w:color w:val="auto"/>
        </w:rPr>
        <w:t>The Company incurred $50.8 million in acquisition related costs which were recorded in selling, general and administrative expense. The Company also incurred $39.8 million of aggregate debt financing costs. As of April 30, 2022, $2.4 million is included in short-term debt, and $28.4 million is included in long-term debt on the accompanying unaudited condensed consolidated balance sheets. See “Note 4 – Debt” for additional information. Additionally, the Company incurred $8.2 million of equity issuance costs, which were recorded in additional paid-in capital in the unaudited condensed consolidated balance sheets.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2"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believes are reasonable under the circumstances.</w:t>
      </w:r>
    </w:p>
    <w:p>
      <w:pPr>
        <w:spacing w:after="0" w:line="199" w:lineRule="exact"/>
        <w:rPr>
          <w:sz w:val="20"/>
          <w:szCs w:val="20"/>
          <w:color w:val="auto"/>
        </w:rPr>
      </w:pPr>
    </w:p>
    <w:p>
      <w:pPr>
        <w:ind w:right="40" w:firstLine="405"/>
        <w:spacing w:after="0" w:line="25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 Innovium and Inphi had been acquired as of the beginning of fiscal 2021.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For fiscal 2021, non-recurring pro forma adjustments directly attributable to the Innovium and Inphi acquisitions in the pro forma information presented below included (i) share-based compensation expense of $43.8 million, (ii) the purchase accounting effect of inventories acquired of $13.7 million, (iii) interest expense of $11.4 million, and (iv) transaction costs of $46.3 million. The unaudited supplemental pro forma information presented below is for informational purposes only and is not necessarily indicative of our unaudited condensed consolidated results of operations of the combined business had the Inphi acquisition actually occurred at the beginning of fiscal 2021 or of the results of our future operations of the combined business.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100" w:type="dxa"/>
            <w:vAlign w:val="bottom"/>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3080" w:type="dxa"/>
            <w:vAlign w:val="bottom"/>
            <w:tcBorders>
              <w:bottom w:val="single" w:sz="8" w:color="auto"/>
            </w:tcBorders>
          </w:tcPr>
          <w:p>
            <w:pPr>
              <w:jc w:val="center"/>
              <w:ind w:right="579"/>
              <w:spacing w:after="0"/>
              <w:rPr>
                <w:sz w:val="20"/>
                <w:szCs w:val="20"/>
                <w:color w:val="auto"/>
              </w:rPr>
            </w:pPr>
            <w:r>
              <w:rPr>
                <w:rFonts w:ascii="Arial" w:cs="Arial" w:eastAsia="Arial" w:hAnsi="Arial"/>
                <w:sz w:val="14"/>
                <w:szCs w:val="14"/>
                <w:b w:val="1"/>
                <w:bCs w:val="1"/>
                <w:color w:val="auto"/>
                <w:w w:val="93"/>
              </w:rPr>
              <w:t>Three Months Ended</w:t>
            </w:r>
          </w:p>
        </w:tc>
      </w:tr>
      <w:tr>
        <w:trPr>
          <w:trHeight w:val="187"/>
        </w:trPr>
        <w:tc>
          <w:tcPr>
            <w:tcW w:w="7100" w:type="dxa"/>
            <w:vAlign w:val="bottom"/>
            <w:tcBorders>
              <w:bottom w:val="single" w:sz="8" w:color="CCEEFF"/>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3080" w:type="dxa"/>
            <w:vAlign w:val="bottom"/>
            <w:tcBorders>
              <w:bottom w:val="single" w:sz="8" w:color="auto"/>
            </w:tcBorders>
          </w:tcPr>
          <w:p>
            <w:pPr>
              <w:jc w:val="center"/>
              <w:ind w:right="579"/>
              <w:spacing w:after="0"/>
              <w:rPr>
                <w:sz w:val="20"/>
                <w:szCs w:val="20"/>
                <w:color w:val="auto"/>
              </w:rPr>
            </w:pPr>
            <w:r>
              <w:rPr>
                <w:rFonts w:ascii="Arial" w:cs="Arial" w:eastAsia="Arial" w:hAnsi="Arial"/>
                <w:sz w:val="14"/>
                <w:szCs w:val="14"/>
                <w:b w:val="1"/>
                <w:bCs w:val="1"/>
                <w:color w:val="auto"/>
                <w:w w:val="95"/>
              </w:rPr>
              <w:t>May 1, 2021</w:t>
            </w:r>
          </w:p>
        </w:tc>
      </w:tr>
      <w:tr>
        <w:trPr>
          <w:trHeight w:val="224"/>
        </w:trPr>
        <w:tc>
          <w:tcPr>
            <w:tcW w:w="7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Pro forma net revenue</w:t>
            </w:r>
          </w:p>
        </w:tc>
        <w:tc>
          <w:tcPr>
            <w:tcW w:w="1060" w:type="dxa"/>
            <w:vAlign w:val="bottom"/>
            <w:shd w:val="clear" w:color="auto" w:fill="CCEEFF"/>
          </w:tcPr>
          <w:p>
            <w:pPr>
              <w:jc w:val="right"/>
              <w:ind w:right="470"/>
              <w:spacing w:after="0"/>
              <w:rPr>
                <w:sz w:val="20"/>
                <w:szCs w:val="20"/>
                <w:color w:val="auto"/>
              </w:rPr>
            </w:pPr>
            <w:r>
              <w:rPr>
                <w:rFonts w:ascii="Arial" w:cs="Arial" w:eastAsia="Arial" w:hAnsi="Arial"/>
                <w:sz w:val="18"/>
                <w:szCs w:val="18"/>
                <w:color w:val="auto"/>
              </w:rPr>
              <w:t>$</w:t>
            </w:r>
          </w:p>
        </w:tc>
        <w:tc>
          <w:tcPr>
            <w:tcW w:w="3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1,007.4</w:t>
            </w:r>
          </w:p>
        </w:tc>
      </w:tr>
      <w:tr>
        <w:trPr>
          <w:trHeight w:val="230"/>
        </w:trPr>
        <w:tc>
          <w:tcPr>
            <w:tcW w:w="7100" w:type="dxa"/>
            <w:vAlign w:val="bottom"/>
          </w:tcPr>
          <w:p>
            <w:pPr>
              <w:ind w:left="440"/>
              <w:spacing w:after="0"/>
              <w:rPr>
                <w:sz w:val="20"/>
                <w:szCs w:val="20"/>
                <w:color w:val="auto"/>
              </w:rPr>
            </w:pPr>
            <w:r>
              <w:rPr>
                <w:rFonts w:ascii="Arial" w:cs="Arial" w:eastAsia="Arial" w:hAnsi="Arial"/>
                <w:sz w:val="18"/>
                <w:szCs w:val="18"/>
                <w:color w:val="auto"/>
              </w:rPr>
              <w:t>Pro forma net loss</w:t>
            </w:r>
          </w:p>
        </w:tc>
        <w:tc>
          <w:tcPr>
            <w:tcW w:w="1060" w:type="dxa"/>
            <w:vAlign w:val="bottom"/>
          </w:tcPr>
          <w:p>
            <w:pPr>
              <w:jc w:val="right"/>
              <w:ind w:right="470"/>
              <w:spacing w:after="0"/>
              <w:rPr>
                <w:sz w:val="20"/>
                <w:szCs w:val="20"/>
                <w:color w:val="auto"/>
              </w:rPr>
            </w:pPr>
            <w:r>
              <w:rPr>
                <w:rFonts w:ascii="Arial" w:cs="Arial" w:eastAsia="Arial" w:hAnsi="Arial"/>
                <w:sz w:val="18"/>
                <w:szCs w:val="18"/>
                <w:color w:val="auto"/>
              </w:rPr>
              <w:t>$</w:t>
            </w:r>
          </w:p>
        </w:tc>
        <w:tc>
          <w:tcPr>
            <w:tcW w:w="3080" w:type="dxa"/>
            <w:vAlign w:val="bottom"/>
          </w:tcPr>
          <w:p>
            <w:pPr>
              <w:jc w:val="right"/>
              <w:spacing w:after="0"/>
              <w:rPr>
                <w:sz w:val="20"/>
                <w:szCs w:val="20"/>
                <w:color w:val="auto"/>
              </w:rPr>
            </w:pPr>
            <w:r>
              <w:rPr>
                <w:rFonts w:ascii="Arial" w:cs="Arial" w:eastAsia="Arial" w:hAnsi="Arial"/>
                <w:sz w:val="18"/>
                <w:szCs w:val="18"/>
                <w:color w:val="auto"/>
              </w:rPr>
              <w:t>(112.7)</w:t>
            </w:r>
          </w:p>
        </w:tc>
      </w:tr>
    </w:tbl>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198"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Goodwill represents the excess of the purchase price over the fair value of net tangible and identifiable intangible assets acquired in a business combination. In March and April 2022, the Company completed the acquisition of two semiconductor design services companies located in India, for purchase consideration of $33.7 million, primarily for the purpose of expanding engineering resources to address customer design opportunities, of which $25.8 million was allocated to goodwill. The carrying value of goodwill as of April 30, 2022 and January 29, 2022 is $11.5 billion. See “Note 6 – Business Combinations” for discussion of acquisitions and changes to the carrying value of goodwill.</w:t>
      </w:r>
    </w:p>
    <w:p>
      <w:pPr>
        <w:spacing w:after="0" w:line="20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260" w:firstLine="405"/>
        <w:spacing w:after="0" w:line="253" w:lineRule="auto"/>
        <w:rPr>
          <w:sz w:val="20"/>
          <w:szCs w:val="20"/>
          <w:color w:val="auto"/>
        </w:rPr>
      </w:pPr>
      <w:r>
        <w:rPr>
          <w:rFonts w:ascii="Arial" w:cs="Arial" w:eastAsia="Arial" w:hAnsi="Arial"/>
          <w:sz w:val="18"/>
          <w:szCs w:val="18"/>
          <w:color w:val="auto"/>
        </w:rPr>
        <w:t>As of April 30, 2022 and January 29, 2022, net carrying amounts excluding fully amortized intangible assets are as follows (in millions, except for weighted-average remaining amortization period):</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654"/>
              <w:spacing w:after="0"/>
              <w:rPr>
                <w:sz w:val="20"/>
                <w:szCs w:val="20"/>
                <w:color w:val="auto"/>
              </w:rPr>
            </w:pPr>
            <w:r>
              <w:rPr>
                <w:rFonts w:ascii="Arial" w:cs="Arial" w:eastAsia="Arial" w:hAnsi="Arial"/>
                <w:sz w:val="14"/>
                <w:szCs w:val="14"/>
                <w:b w:val="1"/>
                <w:bCs w:val="1"/>
                <w:color w:val="auto"/>
              </w:rPr>
              <w:t>April 30, 2022</w:t>
            </w:r>
          </w:p>
        </w:tc>
        <w:tc>
          <w:tcPr>
            <w:tcW w:w="12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4,730.0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(1,494.1)</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3,235.9</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4.94</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(599.3)</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1,579.7</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4.96</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3.73</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6,975.0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(2,115.9)</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4,859.1</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4.94</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1,029.0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1,029.0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8,004.0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(2,115.9)</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5,888.1</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393"/>
        </w:trPr>
        <w:tc>
          <w:tcPr>
            <w:tcW w:w="538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520" w:type="dxa"/>
            <w:vAlign w:val="bottom"/>
            <w:tcBorders>
              <w:bottom w:val="single" w:sz="8" w:color="auto"/>
            </w:tcBorders>
            <w:gridSpan w:val="4"/>
          </w:tcPr>
          <w:p>
            <w:pPr>
              <w:jc w:val="right"/>
              <w:ind w:right="554"/>
              <w:spacing w:after="0"/>
              <w:rPr>
                <w:sz w:val="20"/>
                <w:szCs w:val="20"/>
                <w:color w:val="auto"/>
              </w:rPr>
            </w:pPr>
            <w:r>
              <w:rPr>
                <w:rFonts w:ascii="Arial" w:cs="Arial" w:eastAsia="Arial" w:hAnsi="Arial"/>
                <w:sz w:val="14"/>
                <w:szCs w:val="14"/>
                <w:b w:val="1"/>
                <w:bCs w:val="1"/>
                <w:color w:val="auto"/>
              </w:rPr>
              <w:t>January 29, 2022</w:t>
            </w:r>
          </w:p>
        </w:tc>
        <w:tc>
          <w:tcPr>
            <w:tcW w:w="12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4"/>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35"/>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16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88"/>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6"/>
                <w:szCs w:val="16"/>
                <w:color w:val="auto"/>
              </w:rPr>
            </w:pPr>
          </w:p>
        </w:tc>
        <w:tc>
          <w:tcPr>
            <w:tcW w:w="1120" w:type="dxa"/>
            <w:vAlign w:val="bottom"/>
          </w:tcPr>
          <w:p>
            <w:pPr>
              <w:jc w:val="center"/>
              <w:ind w:right="7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6"/>
                <w:szCs w:val="16"/>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4"/>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4,744.1</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(1,333.7)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3,410.4</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2,184.0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(519.6)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1,664.4</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5.21</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3.95</w:t>
            </w:r>
          </w:p>
        </w:tc>
        <w:tc>
          <w:tcPr>
            <w:tcW w:w="0" w:type="dxa"/>
            <w:vAlign w:val="bottom"/>
          </w:tcPr>
          <w:p>
            <w:pPr>
              <w:spacing w:after="0"/>
              <w:rPr>
                <w:sz w:val="1"/>
                <w:szCs w:val="1"/>
                <w:color w:val="auto"/>
              </w:rPr>
            </w:pPr>
          </w:p>
        </w:tc>
      </w:tr>
      <w:tr>
        <w:trPr>
          <w:trHeight w:val="230"/>
        </w:trPr>
        <w:tc>
          <w:tcPr>
            <w:tcW w:w="53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70.0</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(67.2)</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1760" w:type="dxa"/>
            <w:vAlign w:val="bottom"/>
            <w:tcBorders>
              <w:bottom w:val="single" w:sz="8" w:color="CCEEFF"/>
            </w:tcBorders>
            <w:gridSpan w:val="2"/>
          </w:tcPr>
          <w:p>
            <w:pPr>
              <w:jc w:val="center"/>
              <w:ind w:left="30"/>
              <w:spacing w:after="0"/>
              <w:rPr>
                <w:sz w:val="20"/>
                <w:szCs w:val="20"/>
                <w:color w:val="auto"/>
              </w:rPr>
            </w:pPr>
            <w:r>
              <w:rPr>
                <w:rFonts w:ascii="Arial" w:cs="Arial" w:eastAsia="Arial" w:hAnsi="Arial"/>
                <w:sz w:val="18"/>
                <w:szCs w:val="18"/>
                <w:color w:val="auto"/>
                <w:w w:val="91"/>
              </w:rPr>
              <w:t>0.03</w:t>
            </w:r>
          </w:p>
        </w:tc>
        <w:tc>
          <w:tcPr>
            <w:tcW w:w="0" w:type="dxa"/>
            <w:vAlign w:val="bottom"/>
          </w:tcPr>
          <w:p>
            <w:pPr>
              <w:spacing w:after="0"/>
              <w:rPr>
                <w:sz w:val="1"/>
                <w:szCs w:val="1"/>
                <w:color w:val="auto"/>
              </w:rPr>
            </w:pPr>
          </w:p>
        </w:tc>
      </w:tr>
      <w:tr>
        <w:trPr>
          <w:trHeight w:val="223"/>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7,071.1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5,124.4</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5.17</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1,029.0</w:t>
            </w:r>
          </w:p>
        </w:tc>
        <w:tc>
          <w:tcPr>
            <w:tcW w:w="120" w:type="dxa"/>
            <w:vAlign w:val="bottom"/>
          </w:tcPr>
          <w:p>
            <w:pPr>
              <w:spacing w:after="0"/>
              <w:rPr>
                <w:sz w:val="19"/>
                <w:szCs w:val="19"/>
                <w:color w:val="auto"/>
              </w:rPr>
            </w:pPr>
          </w:p>
        </w:tc>
        <w:tc>
          <w:tcPr>
            <w:tcW w:w="1640" w:type="dxa"/>
            <w:vAlign w:val="bottom"/>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48"/>
        </w:trPr>
        <w:tc>
          <w:tcPr>
            <w:tcW w:w="53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4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3 to 10 years. In the event the IPR&amp;D is abandoned, the related assets will be written off.</w:t>
      </w:r>
    </w:p>
    <w:p>
      <w:pPr>
        <w:spacing w:after="0" w:line="216" w:lineRule="exact"/>
        <w:rPr>
          <w:sz w:val="20"/>
          <w:szCs w:val="20"/>
          <w:color w:val="auto"/>
        </w:rPr>
      </w:pPr>
    </w:p>
    <w:p>
      <w:pPr>
        <w:ind w:right="980" w:firstLine="405"/>
        <w:spacing w:after="0" w:line="261" w:lineRule="auto"/>
        <w:rPr>
          <w:sz w:val="20"/>
          <w:szCs w:val="20"/>
          <w:color w:val="auto"/>
        </w:rPr>
      </w:pPr>
      <w:r>
        <w:rPr>
          <w:rFonts w:ascii="Arial" w:cs="Arial" w:eastAsia="Arial" w:hAnsi="Arial"/>
          <w:sz w:val="18"/>
          <w:szCs w:val="18"/>
          <w:color w:val="auto"/>
        </w:rPr>
        <w:t>Amortization expense for acquired intangible assets for the three months ended April 30, 2022 and May 1, 2021 was $272.5 million and $128.6 million, respectively.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April 30, 2022 (in millions):</w:t>
      </w:r>
    </w:p>
    <w:p>
      <w:pPr>
        <w:spacing w:after="0" w:line="25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240" w:type="dxa"/>
            <w:vAlign w:val="bottom"/>
            <w:gridSpan w:val="2"/>
          </w:tcPr>
          <w:p>
            <w:pPr>
              <w:ind w:left="440"/>
              <w:spacing w:after="0"/>
              <w:rPr>
                <w:sz w:val="20"/>
                <w:szCs w:val="20"/>
                <w:color w:val="auto"/>
              </w:rPr>
            </w:pPr>
            <w:r>
              <w:rPr>
                <w:rFonts w:ascii="Arial" w:cs="Arial" w:eastAsia="Arial" w:hAnsi="Arial"/>
                <w:sz w:val="14"/>
                <w:szCs w:val="14"/>
                <w:b w:val="1"/>
                <w:bCs w:val="1"/>
                <w:color w:val="auto"/>
              </w:rPr>
              <w:t>Fiscal Year</w:t>
            </w:r>
          </w:p>
        </w:tc>
        <w:tc>
          <w:tcPr>
            <w:tcW w:w="1220" w:type="dxa"/>
            <w:vAlign w:val="bottom"/>
          </w:tcPr>
          <w:p>
            <w:pPr>
              <w:spacing w:after="0"/>
              <w:rPr>
                <w:sz w:val="16"/>
                <w:szCs w:val="16"/>
                <w:color w:val="auto"/>
              </w:rPr>
            </w:pPr>
          </w:p>
        </w:tc>
        <w:tc>
          <w:tcPr>
            <w:tcW w:w="2740" w:type="dxa"/>
            <w:vAlign w:val="bottom"/>
          </w:tcPr>
          <w:p>
            <w:pPr>
              <w:jc w:val="right"/>
              <w:ind w:right="1452"/>
              <w:spacing w:after="0"/>
              <w:rPr>
                <w:sz w:val="20"/>
                <w:szCs w:val="20"/>
                <w:color w:val="auto"/>
              </w:rPr>
            </w:pPr>
            <w:r>
              <w:rPr>
                <w:rFonts w:ascii="Arial" w:cs="Arial" w:eastAsia="Arial" w:hAnsi="Arial"/>
                <w:sz w:val="14"/>
                <w:szCs w:val="14"/>
                <w:b w:val="1"/>
                <w:bCs w:val="1"/>
                <w:color w:val="auto"/>
              </w:rPr>
              <w:t>Amount</w:t>
            </w:r>
          </w:p>
        </w:tc>
      </w:tr>
      <w:tr>
        <w:trPr>
          <w:trHeight w:val="229"/>
        </w:trPr>
        <w:tc>
          <w:tcPr>
            <w:tcW w:w="70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rPr>
              <w:t>Remainder of 2023</w:t>
            </w:r>
          </w:p>
        </w:tc>
        <w:tc>
          <w:tcPr>
            <w:tcW w:w="220" w:type="dxa"/>
            <w:vAlign w:val="bottom"/>
            <w:tcBorders>
              <w:top w:val="single" w:sz="8" w:color="CCEEFF"/>
            </w:tcBorders>
            <w:shd w:val="clear" w:color="auto" w:fill="CCEEFF"/>
          </w:tcPr>
          <w:p>
            <w:pPr>
              <w:spacing w:after="0"/>
              <w:rPr>
                <w:sz w:val="19"/>
                <w:szCs w:val="19"/>
                <w:color w:val="auto"/>
              </w:rPr>
            </w:pPr>
          </w:p>
        </w:tc>
        <w:tc>
          <w:tcPr>
            <w:tcW w:w="1220" w:type="dxa"/>
            <w:vAlign w:val="bottom"/>
            <w:tcBorders>
              <w:top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785.6</w:t>
            </w:r>
          </w:p>
        </w:tc>
      </w:tr>
      <w:tr>
        <w:trPr>
          <w:trHeight w:val="229"/>
        </w:trPr>
        <w:tc>
          <w:tcPr>
            <w:tcW w:w="7020" w:type="dxa"/>
            <w:vAlign w:val="bottom"/>
          </w:tcPr>
          <w:p>
            <w:pPr>
              <w:ind w:left="440"/>
              <w:spacing w:after="0"/>
              <w:rPr>
                <w:sz w:val="20"/>
                <w:szCs w:val="20"/>
                <w:color w:val="auto"/>
              </w:rPr>
            </w:pPr>
            <w:r>
              <w:rPr>
                <w:rFonts w:ascii="Arial" w:cs="Arial" w:eastAsia="Arial" w:hAnsi="Arial"/>
                <w:sz w:val="18"/>
                <w:szCs w:val="18"/>
                <w:color w:val="auto"/>
              </w:rPr>
              <w:t>2024</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1,039.2</w:t>
            </w:r>
          </w:p>
        </w:tc>
      </w:tr>
      <w:tr>
        <w:trPr>
          <w:trHeight w:val="230"/>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2025</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987.1</w:t>
            </w:r>
          </w:p>
        </w:tc>
      </w:tr>
      <w:tr>
        <w:trPr>
          <w:trHeight w:val="229"/>
        </w:trPr>
        <w:tc>
          <w:tcPr>
            <w:tcW w:w="7020" w:type="dxa"/>
            <w:vAlign w:val="bottom"/>
          </w:tcPr>
          <w:p>
            <w:pPr>
              <w:ind w:left="440"/>
              <w:spacing w:after="0"/>
              <w:rPr>
                <w:sz w:val="20"/>
                <w:szCs w:val="20"/>
                <w:color w:val="auto"/>
              </w:rPr>
            </w:pPr>
            <w:r>
              <w:rPr>
                <w:rFonts w:ascii="Arial" w:cs="Arial" w:eastAsia="Arial" w:hAnsi="Arial"/>
                <w:sz w:val="18"/>
                <w:szCs w:val="18"/>
                <w:color w:val="auto"/>
              </w:rPr>
              <w:t>2026</w:t>
            </w:r>
          </w:p>
        </w:tc>
        <w:tc>
          <w:tcPr>
            <w:tcW w:w="2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740" w:type="dxa"/>
            <w:vAlign w:val="bottom"/>
          </w:tcPr>
          <w:p>
            <w:pPr>
              <w:jc w:val="right"/>
              <w:spacing w:after="0"/>
              <w:rPr>
                <w:sz w:val="20"/>
                <w:szCs w:val="20"/>
                <w:color w:val="auto"/>
              </w:rPr>
            </w:pPr>
            <w:r>
              <w:rPr>
                <w:rFonts w:ascii="Arial" w:cs="Arial" w:eastAsia="Arial" w:hAnsi="Arial"/>
                <w:sz w:val="18"/>
                <w:szCs w:val="18"/>
                <w:color w:val="auto"/>
              </w:rPr>
              <w:t>939.0</w:t>
            </w:r>
          </w:p>
        </w:tc>
      </w:tr>
      <w:tr>
        <w:trPr>
          <w:trHeight w:val="229"/>
        </w:trPr>
        <w:tc>
          <w:tcPr>
            <w:tcW w:w="70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2027</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2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788.0</w:t>
            </w:r>
          </w:p>
        </w:tc>
      </w:tr>
      <w:tr>
        <w:trPr>
          <w:trHeight w:val="230"/>
        </w:trPr>
        <w:tc>
          <w:tcPr>
            <w:tcW w:w="7240" w:type="dxa"/>
            <w:vAlign w:val="bottom"/>
            <w:tcBorders>
              <w:bottom w:val="single" w:sz="8" w:color="CCEEFF"/>
            </w:tcBorders>
            <w:gridSpan w:val="2"/>
          </w:tcPr>
          <w:p>
            <w:pPr>
              <w:ind w:left="440"/>
              <w:spacing w:after="0"/>
              <w:rPr>
                <w:sz w:val="20"/>
                <w:szCs w:val="20"/>
                <w:color w:val="auto"/>
              </w:rPr>
            </w:pPr>
            <w:r>
              <w:rPr>
                <w:rFonts w:ascii="Arial" w:cs="Arial" w:eastAsia="Arial" w:hAnsi="Arial"/>
                <w:sz w:val="18"/>
                <w:szCs w:val="18"/>
                <w:color w:val="auto"/>
              </w:rPr>
              <w:t>Thereafter</w:t>
            </w:r>
          </w:p>
        </w:tc>
        <w:tc>
          <w:tcPr>
            <w:tcW w:w="1220" w:type="dxa"/>
            <w:vAlign w:val="bottom"/>
            <w:tcBorders>
              <w:bottom w:val="single" w:sz="8" w:color="auto"/>
            </w:tcBorders>
          </w:tcPr>
          <w:p>
            <w:pPr>
              <w:spacing w:after="0"/>
              <w:rPr>
                <w:sz w:val="19"/>
                <w:szCs w:val="19"/>
                <w:color w:val="auto"/>
              </w:rPr>
            </w:pPr>
          </w:p>
        </w:tc>
        <w:tc>
          <w:tcPr>
            <w:tcW w:w="2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320.2</w:t>
            </w:r>
          </w:p>
        </w:tc>
      </w:tr>
      <w:tr>
        <w:trPr>
          <w:trHeight w:val="248"/>
        </w:trPr>
        <w:tc>
          <w:tcPr>
            <w:tcW w:w="70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ind w:right="630"/>
              <w:spacing w:after="0"/>
              <w:rPr>
                <w:sz w:val="20"/>
                <w:szCs w:val="20"/>
                <w:color w:val="auto"/>
              </w:rPr>
            </w:pPr>
            <w:r>
              <w:rPr>
                <w:rFonts w:ascii="Arial" w:cs="Arial" w:eastAsia="Arial" w:hAnsi="Arial"/>
                <w:sz w:val="18"/>
                <w:szCs w:val="18"/>
                <w:color w:val="auto"/>
              </w:rPr>
              <w:t>$</w:t>
            </w:r>
          </w:p>
        </w:tc>
        <w:tc>
          <w:tcPr>
            <w:tcW w:w="2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4,859.1</w:t>
            </w:r>
          </w:p>
        </w:tc>
      </w:tr>
      <w:tr>
        <w:trPr>
          <w:trHeight w:val="20"/>
        </w:trPr>
        <w:tc>
          <w:tcPr>
            <w:tcW w:w="70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20" w:type="dxa"/>
            <w:vAlign w:val="bottom"/>
            <w:tcBorders>
              <w:top w:val="single" w:sz="8" w:color="CCEEFF"/>
              <w:bottom w:val="single" w:sz="8" w:color="auto"/>
            </w:tcBorders>
          </w:tcPr>
          <w:p>
            <w:pPr>
              <w:spacing w:after="0" w:line="20" w:lineRule="exact"/>
              <w:rPr>
                <w:sz w:val="1"/>
                <w:szCs w:val="1"/>
                <w:color w:val="auto"/>
              </w:rPr>
            </w:pPr>
          </w:p>
        </w:tc>
        <w:tc>
          <w:tcPr>
            <w:tcW w:w="27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243" w:lineRule="exact"/>
        <w:rPr>
          <w:sz w:val="20"/>
          <w:szCs w:val="20"/>
          <w:color w:val="auto"/>
        </w:rPr>
      </w:pPr>
    </w:p>
    <w:p>
      <w:pPr>
        <w:ind w:right="60" w:firstLine="405"/>
        <w:spacing w:after="0" w:line="262"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252" w:lineRule="exact"/>
        <w:rPr>
          <w:sz w:val="20"/>
          <w:szCs w:val="20"/>
          <w:color w:val="auto"/>
        </w:rPr>
      </w:pPr>
    </w:p>
    <w:p>
      <w:pPr>
        <w:ind w:right="74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120" w:firstLine="405"/>
        <w:spacing w:after="0" w:line="243"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yields. In addition, the severance pay fund is classified as a Level 2 asset as the valuation inputs are based on quoted prices and market observable data of similar instruments.</w:t>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1" w:name="page22"/>
    <w:bookmarkEnd w:id="2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spacing w:after="0" w:line="230" w:lineRule="exact"/>
        <w:rPr>
          <w:sz w:val="20"/>
          <w:szCs w:val="20"/>
          <w:color w:val="auto"/>
        </w:rPr>
      </w:pPr>
    </w:p>
    <w:p>
      <w:pPr>
        <w:ind w:left="6880"/>
        <w:spacing w:after="0"/>
        <w:rPr>
          <w:sz w:val="20"/>
          <w:szCs w:val="20"/>
          <w:color w:val="auto"/>
        </w:rPr>
      </w:pPr>
      <w:r>
        <w:rPr>
          <w:rFonts w:ascii="Arial" w:cs="Arial" w:eastAsia="Arial" w:hAnsi="Arial"/>
          <w:sz w:val="14"/>
          <w:szCs w:val="14"/>
          <w:b w:val="1"/>
          <w:bCs w:val="1"/>
          <w:color w:val="auto"/>
        </w:rPr>
        <w:t>Fair Value Measurements at April 30, 2022</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Borders>
              <w:bottom w:val="single" w:sz="8" w:color="CCEEFF"/>
            </w:tcBorders>
          </w:tcPr>
          <w:p>
            <w:pPr>
              <w:spacing w:after="0"/>
              <w:rPr>
                <w:sz w:val="16"/>
                <w:szCs w:val="16"/>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340" w:type="dxa"/>
            <w:vAlign w:val="bottom"/>
            <w:tcBorders>
              <w:top w:val="single" w:sz="8" w:color="auto"/>
              <w:bottom w:val="single" w:sz="8" w:color="auto"/>
            </w:tcBorders>
          </w:tcPr>
          <w:p>
            <w:pPr>
              <w:spacing w:after="0"/>
              <w:rPr>
                <w:sz w:val="16"/>
                <w:szCs w:val="16"/>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30"/>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197.2</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197.2</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197.9</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199.1</w:t>
            </w:r>
          </w:p>
        </w:tc>
      </w:tr>
      <w:tr>
        <w:trPr>
          <w:trHeight w:val="21"/>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right="120" w:firstLine="405"/>
        <w:spacing w:after="0" w:line="257" w:lineRule="auto"/>
        <w:rPr>
          <w:sz w:val="20"/>
          <w:szCs w:val="20"/>
          <w:color w:val="auto"/>
        </w:rPr>
      </w:pPr>
      <w:r>
        <w:rPr>
          <w:rFonts w:ascii="Arial" w:cs="Arial" w:eastAsia="Arial" w:hAnsi="Arial"/>
          <w:sz w:val="17"/>
          <w:szCs w:val="17"/>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April 30, 2022, non-marketable equity investments had a carrying value of $34.9 million and are included in other non-current assets in the Company’s unaudited condensed consolidated balance sheets.</w:t>
      </w:r>
    </w:p>
    <w:p>
      <w:pPr>
        <w:spacing w:after="0" w:line="234"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29, 2022</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180" w:type="dxa"/>
            <w:vAlign w:val="bottom"/>
            <w:tcBorders>
              <w:bottom w:val="single" w:sz="8" w:color="CCEEFF"/>
            </w:tcBorders>
          </w:tcPr>
          <w:p>
            <w:pPr>
              <w:spacing w:after="0"/>
              <w:rPr>
                <w:sz w:val="16"/>
                <w:szCs w:val="16"/>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6"/>
                <w:szCs w:val="16"/>
                <w:color w:val="auto"/>
              </w:rPr>
            </w:pPr>
          </w:p>
        </w:tc>
        <w:tc>
          <w:tcPr>
            <w:tcW w:w="100" w:type="dxa"/>
            <w:vAlign w:val="bottom"/>
            <w:tcBorders>
              <w:top w:val="single" w:sz="8" w:color="auto"/>
              <w:bottom w:val="single" w:sz="8" w:color="CCEEFF"/>
            </w:tcBorders>
          </w:tcPr>
          <w:p>
            <w:pPr>
              <w:spacing w:after="0"/>
              <w:rPr>
                <w:sz w:val="16"/>
                <w:szCs w:val="16"/>
                <w:color w:val="auto"/>
              </w:rPr>
            </w:pPr>
          </w:p>
        </w:tc>
        <w:tc>
          <w:tcPr>
            <w:tcW w:w="340" w:type="dxa"/>
            <w:vAlign w:val="bottom"/>
            <w:tcBorders>
              <w:top w:val="single" w:sz="8" w:color="auto"/>
              <w:bottom w:val="single" w:sz="8" w:color="auto"/>
            </w:tcBorders>
          </w:tcPr>
          <w:p>
            <w:pPr>
              <w:spacing w:after="0"/>
              <w:rPr>
                <w:sz w:val="16"/>
                <w:szCs w:val="16"/>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1"/>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177.6</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177.6</w:t>
            </w: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178.3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179.5</w:t>
            </w:r>
          </w:p>
        </w:tc>
      </w:tr>
      <w:tr>
        <w:trPr>
          <w:trHeight w:val="20"/>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8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40" w:firstLine="405"/>
        <w:spacing w:after="0" w:line="262" w:lineRule="auto"/>
        <w:rPr>
          <w:sz w:val="20"/>
          <w:szCs w:val="20"/>
          <w:color w:val="auto"/>
        </w:rPr>
      </w:pPr>
      <w:r>
        <w:rPr>
          <w:rFonts w:ascii="Arial" w:cs="Arial" w:eastAsia="Arial" w:hAnsi="Arial"/>
          <w:sz w:val="17"/>
          <w:szCs w:val="17"/>
          <w:color w:val="auto"/>
        </w:rPr>
        <w:t>The Company classified the 2020 Term Loan, the 2023 Notes, the 2026 Notes, 2028 Notes, and 2031 Notes as Level 2 in the fair value measurement hierarchy. The carrying value of the 2020 Term Loan approximates its fair value as the 2020 Term Loan is carried at a market observable interest rate that resets periodically. The estimated aggregate fair value of the unsecured senior notes was $2.8 billion at April 30, 2022 and $3.0 billion at January 29, 2022, and were classified as Level 2 as there are quoted prices from less active markets for the notes.</w:t>
      </w:r>
    </w:p>
    <w:p>
      <w:pPr>
        <w:spacing w:after="0" w:line="200" w:lineRule="exact"/>
        <w:rPr>
          <w:sz w:val="20"/>
          <w:szCs w:val="20"/>
          <w:color w:val="auto"/>
        </w:rPr>
      </w:pP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w:t>
      </w:r>
    </w:p>
    <w:p>
      <w:pPr>
        <w:spacing w:after="0" w:line="229" w:lineRule="exact"/>
        <w:rPr>
          <w:sz w:val="20"/>
          <w:szCs w:val="20"/>
          <w:color w:val="auto"/>
        </w:rPr>
      </w:pPr>
    </w:p>
    <w:p>
      <w:pPr>
        <w:ind w:right="40" w:firstLine="405"/>
        <w:spacing w:after="0" w:line="266" w:lineRule="auto"/>
        <w:rPr>
          <w:sz w:val="20"/>
          <w:szCs w:val="20"/>
          <w:color w:val="auto"/>
        </w:rPr>
      </w:pPr>
      <w:r>
        <w:rPr>
          <w:rFonts w:ascii="Arial" w:cs="Arial" w:eastAsia="Arial" w:hAnsi="Arial"/>
          <w:sz w:val="16"/>
          <w:szCs w:val="16"/>
          <w:color w:val="auto"/>
        </w:rPr>
        <w:t>The Company continuously evaluates its existing operations to increase operational efficiency, decrease costs and increase profitability. Restructuring charges are mainly comprised of severance and other one-time termination benefits, facility closures where sites may be redundant within the same region or no longer suitably sized for the local employee base, and other costs. The Company recorded restructuring and other related charges of $1.3 million for the three months ended April 30, 2022. The Company expects to complete these restructuring actions by the end of fiscal 2024.</w:t>
      </w:r>
    </w:p>
    <w:p>
      <w:pPr>
        <w:spacing w:after="0" w:line="200" w:lineRule="exact"/>
        <w:rPr>
          <w:sz w:val="20"/>
          <w:szCs w:val="20"/>
          <w:color w:val="auto"/>
        </w:rPr>
      </w:pP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2" w:name="page23"/>
    <w:bookmarkEnd w:id="2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In prior years, the Company initiated restructuring plans in order to realign the organization and enable further investment in key priority areas. Restructuring charges were mainly comprised of severance and other one-time termination benefits, facility closures where sites were redundant within the same region or no longer suitably sized for the local employee base, and other costs. These plans are substantially complete. The Company recorded restructuring related charges of $12.9 million for the three months ended May 1, 2021.</w:t>
      </w:r>
    </w:p>
    <w:p>
      <w:pPr>
        <w:spacing w:after="0" w:line="215" w:lineRule="exact"/>
        <w:rPr>
          <w:sz w:val="20"/>
          <w:szCs w:val="20"/>
          <w:color w:val="auto"/>
        </w:rPr>
      </w:pPr>
    </w:p>
    <w:p>
      <w:pPr>
        <w:ind w:right="100" w:firstLine="414"/>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millions):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80" w:type="dxa"/>
            <w:vAlign w:val="bottom"/>
            <w:gridSpan w:val="2"/>
          </w:tcPr>
          <w:p>
            <w:pPr>
              <w:ind w:left="120"/>
              <w:spacing w:after="0"/>
              <w:rPr>
                <w:sz w:val="20"/>
                <w:szCs w:val="20"/>
                <w:color w:val="auto"/>
              </w:rPr>
            </w:pPr>
            <w:r>
              <w:rPr>
                <w:rFonts w:ascii="Arial" w:cs="Arial" w:eastAsia="Arial" w:hAnsi="Arial"/>
                <w:sz w:val="14"/>
                <w:szCs w:val="14"/>
                <w:b w:val="1"/>
                <w:bCs w:val="1"/>
                <w:color w:val="auto"/>
              </w:rPr>
              <w:t>Employee</w:t>
            </w:r>
          </w:p>
        </w:tc>
        <w:tc>
          <w:tcPr>
            <w:tcW w:w="280" w:type="dxa"/>
            <w:vAlign w:val="bottom"/>
          </w:tcPr>
          <w:p>
            <w:pPr>
              <w:spacing w:after="0"/>
              <w:rPr>
                <w:sz w:val="14"/>
                <w:szCs w:val="14"/>
                <w:color w:val="auto"/>
              </w:rPr>
            </w:pPr>
          </w:p>
        </w:tc>
        <w:tc>
          <w:tcPr>
            <w:tcW w:w="11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Other</w:t>
            </w:r>
          </w:p>
        </w:tc>
        <w:tc>
          <w:tcPr>
            <w:tcW w:w="300" w:type="dxa"/>
            <w:vAlign w:val="bottom"/>
          </w:tcPr>
          <w:p>
            <w:pPr>
              <w:spacing w:after="0"/>
              <w:rPr>
                <w:sz w:val="14"/>
                <w:szCs w:val="14"/>
                <w:color w:val="auto"/>
              </w:rPr>
            </w:pPr>
          </w:p>
        </w:tc>
        <w:tc>
          <w:tcPr>
            <w:tcW w:w="100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88"/>
        </w:trPr>
        <w:tc>
          <w:tcPr>
            <w:tcW w:w="7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80" w:type="dxa"/>
            <w:vAlign w:val="bottom"/>
            <w:gridSpan w:val="2"/>
          </w:tcPr>
          <w:p>
            <w:pPr>
              <w:ind w:left="120"/>
              <w:spacing w:after="0"/>
              <w:rPr>
                <w:sz w:val="20"/>
                <w:szCs w:val="20"/>
                <w:color w:val="auto"/>
              </w:rPr>
            </w:pPr>
            <w:r>
              <w:rPr>
                <w:rFonts w:ascii="Arial" w:cs="Arial" w:eastAsia="Arial" w:hAnsi="Arial"/>
                <w:sz w:val="14"/>
                <w:szCs w:val="14"/>
                <w:b w:val="1"/>
                <w:bCs w:val="1"/>
                <w:color w:val="auto"/>
              </w:rPr>
              <w:t>Severance</w:t>
            </w:r>
          </w:p>
        </w:tc>
        <w:tc>
          <w:tcPr>
            <w:tcW w:w="280" w:type="dxa"/>
            <w:vAlign w:val="bottom"/>
          </w:tcPr>
          <w:p>
            <w:pPr>
              <w:spacing w:after="0"/>
              <w:rPr>
                <w:sz w:val="16"/>
                <w:szCs w:val="16"/>
                <w:color w:val="auto"/>
              </w:rPr>
            </w:pPr>
          </w:p>
        </w:tc>
        <w:tc>
          <w:tcPr>
            <w:tcW w:w="1120" w:type="dxa"/>
            <w:vAlign w:val="bottom"/>
            <w:gridSpan w:val="2"/>
            <w:vMerge w:val="continue"/>
          </w:tcPr>
          <w:p>
            <w:pPr>
              <w:spacing w:after="0"/>
              <w:rPr>
                <w:sz w:val="16"/>
                <w:szCs w:val="16"/>
                <w:color w:val="auto"/>
              </w:rPr>
            </w:pPr>
          </w:p>
        </w:tc>
        <w:tc>
          <w:tcPr>
            <w:tcW w:w="300" w:type="dxa"/>
            <w:vAlign w:val="bottom"/>
          </w:tcPr>
          <w:p>
            <w:pPr>
              <w:spacing w:after="0"/>
              <w:rPr>
                <w:sz w:val="16"/>
                <w:szCs w:val="16"/>
                <w:color w:val="auto"/>
              </w:rPr>
            </w:pPr>
          </w:p>
        </w:tc>
        <w:tc>
          <w:tcPr>
            <w:tcW w:w="10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71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January 29, 2022</w:t>
            </w: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tcBorders>
            <w:shd w:val="clear" w:color="auto" w:fill="CCEEFF"/>
          </w:tcPr>
          <w:p>
            <w:pPr>
              <w:jc w:val="center"/>
              <w:ind w:left="553"/>
              <w:spacing w:after="0"/>
              <w:rPr>
                <w:sz w:val="20"/>
                <w:szCs w:val="20"/>
                <w:color w:val="auto"/>
              </w:rPr>
            </w:pPr>
            <w:r>
              <w:rPr>
                <w:rFonts w:ascii="Arial" w:cs="Arial" w:eastAsia="Arial" w:hAnsi="Arial"/>
                <w:sz w:val="18"/>
                <w:szCs w:val="18"/>
                <w:color w:val="auto"/>
                <w:w w:val="87"/>
              </w:rPr>
              <w:t>2.7</w:t>
            </w:r>
          </w:p>
        </w:tc>
        <w:tc>
          <w:tcPr>
            <w:tcW w:w="10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shd w:val="clear" w:color="auto" w:fill="CCEEFF"/>
          </w:tcPr>
          <w:p>
            <w:pPr>
              <w:jc w:val="center"/>
              <w:ind w:left="533"/>
              <w:spacing w:after="0"/>
              <w:rPr>
                <w:sz w:val="20"/>
                <w:szCs w:val="20"/>
                <w:color w:val="auto"/>
              </w:rPr>
            </w:pPr>
            <w:r>
              <w:rPr>
                <w:rFonts w:ascii="Arial" w:cs="Arial" w:eastAsia="Arial" w:hAnsi="Arial"/>
                <w:sz w:val="18"/>
                <w:szCs w:val="18"/>
                <w:color w:val="auto"/>
                <w:w w:val="87"/>
              </w:rPr>
              <w:t>5.6</w:t>
            </w:r>
          </w:p>
        </w:tc>
        <w:tc>
          <w:tcPr>
            <w:tcW w:w="0" w:type="dxa"/>
            <w:vAlign w:val="bottom"/>
          </w:tcPr>
          <w:p>
            <w:pPr>
              <w:spacing w:after="0"/>
              <w:rPr>
                <w:sz w:val="1"/>
                <w:szCs w:val="1"/>
                <w:color w:val="auto"/>
              </w:rPr>
            </w:pPr>
          </w:p>
        </w:tc>
      </w:tr>
      <w:tr>
        <w:trPr>
          <w:trHeight w:val="229"/>
        </w:trPr>
        <w:tc>
          <w:tcPr>
            <w:tcW w:w="7100" w:type="dxa"/>
            <w:vAlign w:val="bottom"/>
          </w:tcPr>
          <w:p>
            <w:pPr>
              <w:ind w:left="20"/>
              <w:spacing w:after="0"/>
              <w:rPr>
                <w:sz w:val="20"/>
                <w:szCs w:val="20"/>
                <w:color w:val="auto"/>
              </w:rPr>
            </w:pPr>
            <w:r>
              <w:rPr>
                <w:rFonts w:ascii="Arial" w:cs="Arial" w:eastAsia="Arial" w:hAnsi="Arial"/>
                <w:sz w:val="18"/>
                <w:szCs w:val="18"/>
                <w:color w:val="auto"/>
              </w:rPr>
              <w:t>Charges</w:t>
            </w:r>
          </w:p>
        </w:tc>
        <w:tc>
          <w:tcPr>
            <w:tcW w:w="22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center"/>
              <w:ind w:left="553"/>
              <w:spacing w:after="0"/>
              <w:rPr>
                <w:sz w:val="20"/>
                <w:szCs w:val="20"/>
                <w:color w:val="auto"/>
              </w:rPr>
            </w:pPr>
            <w:r>
              <w:rPr>
                <w:rFonts w:ascii="Arial" w:cs="Arial" w:eastAsia="Arial" w:hAnsi="Arial"/>
                <w:sz w:val="18"/>
                <w:szCs w:val="18"/>
                <w:color w:val="auto"/>
                <w:w w:val="87"/>
              </w:rPr>
              <w:t>0.7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center"/>
              <w:ind w:left="533"/>
              <w:spacing w:after="0"/>
              <w:rPr>
                <w:sz w:val="20"/>
                <w:szCs w:val="20"/>
                <w:color w:val="auto"/>
              </w:rPr>
            </w:pPr>
            <w:r>
              <w:rPr>
                <w:rFonts w:ascii="Arial" w:cs="Arial" w:eastAsia="Arial" w:hAnsi="Arial"/>
                <w:sz w:val="18"/>
                <w:szCs w:val="18"/>
                <w:color w:val="auto"/>
                <w:w w:val="87"/>
              </w:rPr>
              <w:t>1.3</w:t>
            </w:r>
          </w:p>
        </w:tc>
        <w:tc>
          <w:tcPr>
            <w:tcW w:w="0" w:type="dxa"/>
            <w:vAlign w:val="bottom"/>
          </w:tcPr>
          <w:p>
            <w:pPr>
              <w:spacing w:after="0"/>
              <w:rPr>
                <w:sz w:val="1"/>
                <w:szCs w:val="1"/>
                <w:color w:val="auto"/>
              </w:rPr>
            </w:pPr>
          </w:p>
        </w:tc>
      </w:tr>
      <w:tr>
        <w:trPr>
          <w:trHeight w:val="229"/>
        </w:trPr>
        <w:tc>
          <w:tcPr>
            <w:tcW w:w="7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payments</w:t>
            </w:r>
          </w:p>
        </w:tc>
        <w:tc>
          <w:tcPr>
            <w:tcW w:w="22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center"/>
              <w:ind w:left="513"/>
              <w:spacing w:after="0"/>
              <w:rPr>
                <w:sz w:val="20"/>
                <w:szCs w:val="20"/>
                <w:color w:val="auto"/>
              </w:rPr>
            </w:pPr>
            <w:r>
              <w:rPr>
                <w:rFonts w:ascii="Arial" w:cs="Arial" w:eastAsia="Arial" w:hAnsi="Arial"/>
                <w:sz w:val="18"/>
                <w:szCs w:val="18"/>
                <w:color w:val="auto"/>
                <w:w w:val="91"/>
              </w:rPr>
              <w:t>(0.5)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0" w:type="dxa"/>
            <w:vAlign w:val="bottom"/>
            <w:shd w:val="clear" w:color="auto" w:fill="CCEEFF"/>
          </w:tcPr>
          <w:p>
            <w:pPr>
              <w:jc w:val="center"/>
              <w:ind w:left="513"/>
              <w:spacing w:after="0"/>
              <w:rPr>
                <w:sz w:val="20"/>
                <w:szCs w:val="20"/>
                <w:color w:val="auto"/>
              </w:rPr>
            </w:pPr>
            <w:r>
              <w:rPr>
                <w:rFonts w:ascii="Arial" w:cs="Arial" w:eastAsia="Arial" w:hAnsi="Arial"/>
                <w:sz w:val="18"/>
                <w:szCs w:val="18"/>
                <w:color w:val="auto"/>
                <w:w w:val="97"/>
              </w:rPr>
              <w:t>(1.6)</w:t>
            </w:r>
          </w:p>
        </w:tc>
        <w:tc>
          <w:tcPr>
            <w:tcW w:w="0" w:type="dxa"/>
            <w:vAlign w:val="bottom"/>
          </w:tcPr>
          <w:p>
            <w:pPr>
              <w:spacing w:after="0"/>
              <w:rPr>
                <w:sz w:val="1"/>
                <w:szCs w:val="1"/>
                <w:color w:val="auto"/>
              </w:rPr>
            </w:pPr>
          </w:p>
        </w:tc>
      </w:tr>
      <w:tr>
        <w:trPr>
          <w:trHeight w:val="230"/>
        </w:trPr>
        <w:tc>
          <w:tcPr>
            <w:tcW w:w="7100" w:type="dxa"/>
            <w:vAlign w:val="bottom"/>
          </w:tcPr>
          <w:p>
            <w:pPr>
              <w:ind w:left="20"/>
              <w:spacing w:after="0"/>
              <w:rPr>
                <w:sz w:val="20"/>
                <w:szCs w:val="20"/>
                <w:color w:val="auto"/>
              </w:rPr>
            </w:pPr>
            <w:r>
              <w:rPr>
                <w:rFonts w:ascii="Arial" w:cs="Arial" w:eastAsia="Arial" w:hAnsi="Arial"/>
                <w:sz w:val="18"/>
                <w:szCs w:val="18"/>
                <w:color w:val="auto"/>
              </w:rPr>
              <w:t>Non-cash items</w:t>
            </w:r>
          </w:p>
        </w:tc>
        <w:tc>
          <w:tcPr>
            <w:tcW w:w="220" w:type="dxa"/>
            <w:vAlign w:val="bottom"/>
          </w:tcPr>
          <w:p>
            <w:pPr>
              <w:spacing w:after="0"/>
              <w:rPr>
                <w:sz w:val="19"/>
                <w:szCs w:val="19"/>
                <w:color w:val="auto"/>
              </w:rPr>
            </w:pPr>
          </w:p>
        </w:tc>
        <w:tc>
          <w:tcPr>
            <w:tcW w:w="11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020" w:type="dxa"/>
            <w:vAlign w:val="bottom"/>
          </w:tcPr>
          <w:p>
            <w:pPr>
              <w:jc w:val="center"/>
              <w:ind w:left="513"/>
              <w:spacing w:after="0"/>
              <w:rPr>
                <w:sz w:val="20"/>
                <w:szCs w:val="20"/>
                <w:color w:val="auto"/>
              </w:rPr>
            </w:pPr>
            <w:r>
              <w:rPr>
                <w:rFonts w:ascii="Arial" w:cs="Arial" w:eastAsia="Arial" w:hAnsi="Arial"/>
                <w:sz w:val="18"/>
                <w:szCs w:val="18"/>
                <w:color w:val="auto"/>
                <w:w w:val="91"/>
              </w:rPr>
              <w:t>(0.1)</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0" w:type="dxa"/>
            <w:vAlign w:val="bottom"/>
          </w:tcPr>
          <w:p>
            <w:pPr>
              <w:jc w:val="center"/>
              <w:ind w:left="513"/>
              <w:spacing w:after="0"/>
              <w:rPr>
                <w:sz w:val="20"/>
                <w:szCs w:val="20"/>
                <w:color w:val="auto"/>
              </w:rPr>
            </w:pPr>
            <w:r>
              <w:rPr>
                <w:rFonts w:ascii="Arial" w:cs="Arial" w:eastAsia="Arial" w:hAnsi="Arial"/>
                <w:sz w:val="18"/>
                <w:szCs w:val="18"/>
                <w:color w:val="auto"/>
                <w:w w:val="97"/>
              </w:rPr>
              <w:t>(0.1)</w:t>
            </w:r>
          </w:p>
        </w:tc>
        <w:tc>
          <w:tcPr>
            <w:tcW w:w="0" w:type="dxa"/>
            <w:vAlign w:val="bottom"/>
          </w:tcPr>
          <w:p>
            <w:pPr>
              <w:spacing w:after="0"/>
              <w:rPr>
                <w:sz w:val="1"/>
                <w:szCs w:val="1"/>
                <w:color w:val="auto"/>
              </w:rPr>
            </w:pPr>
          </w:p>
        </w:tc>
      </w:tr>
      <w:tr>
        <w:trPr>
          <w:trHeight w:val="248"/>
        </w:trPr>
        <w:tc>
          <w:tcPr>
            <w:tcW w:w="71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Liability at April 30, 2022</w:t>
            </w: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shd w:val="clear" w:color="auto" w:fill="CCEEFF"/>
          </w:tcPr>
          <w:p>
            <w:pPr>
              <w:jc w:val="center"/>
              <w:ind w:left="553"/>
              <w:spacing w:after="0"/>
              <w:rPr>
                <w:sz w:val="20"/>
                <w:szCs w:val="20"/>
                <w:color w:val="auto"/>
              </w:rPr>
            </w:pPr>
            <w:r>
              <w:rPr>
                <w:rFonts w:ascii="Arial" w:cs="Arial" w:eastAsia="Arial" w:hAnsi="Arial"/>
                <w:sz w:val="18"/>
                <w:szCs w:val="18"/>
                <w:color w:val="auto"/>
                <w:w w:val="87"/>
              </w:rPr>
              <w:t>2.8</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bottom w:val="single" w:sz="8" w:color="auto"/>
            </w:tcBorders>
            <w:shd w:val="clear" w:color="auto" w:fill="CCEEFF"/>
          </w:tcPr>
          <w:p>
            <w:pPr>
              <w:jc w:val="center"/>
              <w:ind w:left="533"/>
              <w:spacing w:after="0"/>
              <w:rPr>
                <w:sz w:val="20"/>
                <w:szCs w:val="20"/>
                <w:color w:val="auto"/>
              </w:rPr>
            </w:pPr>
            <w:r>
              <w:rPr>
                <w:rFonts w:ascii="Arial" w:cs="Arial" w:eastAsia="Arial" w:hAnsi="Arial"/>
                <w:sz w:val="18"/>
                <w:szCs w:val="18"/>
                <w:color w:val="auto"/>
                <w:w w:val="87"/>
              </w:rPr>
              <w:t>5.2</w:t>
            </w:r>
          </w:p>
        </w:tc>
        <w:tc>
          <w:tcPr>
            <w:tcW w:w="0" w:type="dxa"/>
            <w:vAlign w:val="bottom"/>
          </w:tcPr>
          <w:p>
            <w:pPr>
              <w:spacing w:after="0"/>
              <w:rPr>
                <w:sz w:val="1"/>
                <w:szCs w:val="1"/>
                <w:color w:val="auto"/>
              </w:rPr>
            </w:pPr>
          </w:p>
        </w:tc>
      </w:tr>
      <w:tr>
        <w:trPr>
          <w:trHeight w:val="20"/>
        </w:trPr>
        <w:tc>
          <w:tcPr>
            <w:tcW w:w="7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96"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current and non-current portions of the restructuring liability at April 30, 2022 of $4.0 million and $1.2 million are included as a component of accrued liabilities and other non-current liabilities respectively in the accompanying unaudited condensed consolidated balance sheets.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w:t>
      </w:r>
    </w:p>
    <w:p>
      <w:pPr>
        <w:spacing w:after="0" w:line="243"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the Company does business, discrete items, and acquisitions, as well as the integration of such acquisitions.</w:t>
      </w:r>
    </w:p>
    <w:p>
      <w:pPr>
        <w:spacing w:after="0" w:line="202"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On April 20, 2021, the Company completed its acquisition of Inphi Corporation. Upon closing of this transaction, the parent company was domiciled in the United States and not Bermuda. Therefore, for periods after closing, the income from all foreign subsidiaries is now subject to the U.S. provisions applicable to Global Intangible Low Taxed Income (“GILTI”), which generally requires for GILTI income to be included in the taxable income of U.S. entities, and which may adversely impact future effective tax rates and tax liabilities.</w:t>
      </w:r>
    </w:p>
    <w:p>
      <w:pPr>
        <w:spacing w:after="0" w:line="201" w:lineRule="exact"/>
        <w:rPr>
          <w:sz w:val="20"/>
          <w:szCs w:val="20"/>
          <w:color w:val="auto"/>
        </w:rPr>
      </w:pPr>
    </w:p>
    <w:p>
      <w:pPr>
        <w:ind w:right="140" w:firstLine="405"/>
        <w:spacing w:after="0" w:line="242"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a substantial portion of its earnings, or in some cases, losses being taxed or benefited at rates lower than the U.S. statutory rate, benefits from tax credits, as well as discrete tax benefits for excess deductions on stock-based compensation and discrete effects for remeasurement of the Company’s Singapore deferred taxes upon extension of the Company’s tax incentive in Singapore (see below). The Company’s effective tax rate is the result of an anticipated annual net income tax expense and includes the effects of certain non-U.S. tax jurisdictions with tax rates lower than 21%.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3" w:name="page24"/>
    <w:bookmarkEnd w:id="2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Company operates under tax incentives in certain countries that may be extended and/or renewed if certain additional requirements are satisfied.</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tax incentives are conditional upon meeting certain employment and investment thresholds. The benefit of the tax incentives on net income per share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was approximately $0.01 per share for the three months ended April 30, 2022. There were no such tax benefits recognized in three months ended May 1,</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2021. During the three months ended April 30, 2022, the Singapore Economic Development Board (“EDB”) agreed to extend the Company’s Development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Expansion Incentive (“DEI”) by five years until June 30, 2029. As a result, the Company expects to continue to enjoy a reduced DEI tax rate on its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future qualifying income in Singapore. To retain these DEI tax benefits through June 2029 in Singapore, the Company must meet certain operating</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conditions, headcount and investment requirements, as well as maintain certain activities in Singapore. As a result of the DEI extension during the three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months ended April 30, 2022, the Company remeasured its Singapore net deferred tax assets that are scheduled to reverse during these future periods at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new incentive tax rate that the Company expects to apply during these periods, which resulted in a net reduction to our Singapore deferred tax assets of</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$213.6 million and a corresponding deferred income tax expense in the three months ended April 30, 2022. The Company’s income tax expense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$204.9 million for the three months ended April 30, 2022, was primarily the result of the aforementioned tax expense related to the DEI extension, offset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by recognition of tax credits and discrete income tax benefits for stock-based compensation.</w:t>
      </w:r>
    </w:p>
    <w:p>
      <w:pPr>
        <w:spacing w:after="0" w:line="224" w:lineRule="exact"/>
        <w:rPr>
          <w:sz w:val="20"/>
          <w:szCs w:val="20"/>
          <w:color w:val="auto"/>
        </w:rPr>
      </w:pPr>
    </w:p>
    <w:p>
      <w:pPr>
        <w:ind w:right="80" w:firstLine="405"/>
        <w:spacing w:after="0" w:line="227" w:lineRule="auto"/>
        <w:rPr>
          <w:sz w:val="20"/>
          <w:szCs w:val="20"/>
          <w:color w:val="auto"/>
        </w:rPr>
      </w:pPr>
      <w:r>
        <w:rPr>
          <w:rFonts w:ascii="Arial" w:cs="Arial" w:eastAsia="Arial" w:hAnsi="Arial"/>
          <w:sz w:val="18"/>
          <w:szCs w:val="18"/>
          <w:color w:val="auto"/>
        </w:rPr>
        <w:t>It is reasonably possible that the amount of unrecognized tax benefits could increase or decrease significantly due to changes in tax law in various jurisdictions, the effects of income tax audits, and changes in the U.S. dollar as compared to foreign currencies within the next 12 months. Excluding these factors, it is reasonably possible that uncertain tax positions may decrease by as much as $7.2 million during the next 12 months. Government tax authorities from certain non-U.S. jurisdictions are examining the Company’s income tax returns.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Company’s principal source of liquidity as of April 30, 2022 consisted of approximately $465.0 million of cash and cash equivalents, of which</w:t>
      </w:r>
    </w:p>
    <w:p>
      <w:pPr>
        <w:spacing w:after="0" w:line="15" w:lineRule="exact"/>
        <w:rPr>
          <w:sz w:val="20"/>
          <w:szCs w:val="20"/>
          <w:color w:val="auto"/>
        </w:rPr>
      </w:pPr>
    </w:p>
    <w:p>
      <w:pPr>
        <w:spacing w:after="0"/>
        <w:rPr>
          <w:sz w:val="20"/>
          <w:szCs w:val="20"/>
          <w:color w:val="auto"/>
        </w:rPr>
      </w:pPr>
      <w:r>
        <w:rPr>
          <w:rFonts w:ascii="Arial" w:cs="Arial" w:eastAsia="Arial" w:hAnsi="Arial"/>
          <w:sz w:val="17"/>
          <w:szCs w:val="17"/>
          <w:color w:val="auto"/>
        </w:rPr>
        <w:t>approximately $415.6 million was held by subsidiaries outside of the United States. The Company has not recognized a deferred tax liability on</w:t>
      </w:r>
    </w:p>
    <w:p>
      <w:pPr>
        <w:spacing w:after="0"/>
        <w:rPr>
          <w:sz w:val="20"/>
          <w:szCs w:val="20"/>
          <w:color w:val="auto"/>
        </w:rPr>
      </w:pPr>
      <w:r>
        <w:rPr>
          <w:rFonts w:ascii="Arial" w:cs="Arial" w:eastAsia="Arial" w:hAnsi="Arial"/>
          <w:sz w:val="16"/>
          <w:szCs w:val="16"/>
          <w:color w:val="auto"/>
        </w:rPr>
        <w:t>$272.2 million of these assets as those amounts are deemed to be indefinitely reinvested. The Company manages its worldwide cash requirements by,</w:t>
      </w:r>
    </w:p>
    <w:p>
      <w:pPr>
        <w:spacing w:after="0" w:line="5" w:lineRule="exact"/>
        <w:rPr>
          <w:sz w:val="20"/>
          <w:szCs w:val="20"/>
          <w:color w:val="auto"/>
        </w:rPr>
      </w:pPr>
    </w:p>
    <w:p>
      <w:pPr>
        <w:spacing w:after="0"/>
        <w:rPr>
          <w:sz w:val="20"/>
          <w:szCs w:val="20"/>
          <w:color w:val="auto"/>
        </w:rPr>
      </w:pPr>
      <w:r>
        <w:rPr>
          <w:rFonts w:ascii="Arial" w:cs="Arial" w:eastAsia="Arial" w:hAnsi="Arial"/>
          <w:sz w:val="16"/>
          <w:szCs w:val="16"/>
          <w:color w:val="auto"/>
        </w:rPr>
        <w:t>among other things, reviewing available funds held by its foreign subsidiaries and the cost effectiveness by which those funds can be accessed in the United</w:t>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States.</w:t>
      </w: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Net Loss Per Share</w:t>
      </w:r>
    </w:p>
    <w:p>
      <w:pPr>
        <w:spacing w:after="0" w:line="243"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stock outstanding during the period, and diluted net loss per share, which is based on the weighted-average number of common stock outstanding and potentially dilutive shares outstanding during the period.</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millions, except per share amounts):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540" w:type="dxa"/>
            <w:vAlign w:val="bottom"/>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437"/>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Borders>
              <w:bottom w:val="single" w:sz="8" w:color="auto"/>
            </w:tcBorders>
          </w:tcPr>
          <w:p>
            <w:pPr>
              <w:spacing w:after="0"/>
              <w:rPr>
                <w:sz w:val="16"/>
                <w:szCs w:val="16"/>
                <w:color w:val="auto"/>
              </w:rPr>
            </w:pPr>
          </w:p>
        </w:tc>
      </w:tr>
      <w:tr>
        <w:trPr>
          <w:trHeight w:val="135"/>
        </w:trPr>
        <w:tc>
          <w:tcPr>
            <w:tcW w:w="75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260" w:type="dxa"/>
            <w:vAlign w:val="bottom"/>
            <w:gridSpan w:val="2"/>
          </w:tcPr>
          <w:p>
            <w:pPr>
              <w:ind w:left="180"/>
              <w:spacing w:after="0" w:line="135" w:lineRule="exact"/>
              <w:rPr>
                <w:sz w:val="20"/>
                <w:szCs w:val="20"/>
                <w:color w:val="auto"/>
              </w:rPr>
            </w:pPr>
            <w:r>
              <w:rPr>
                <w:rFonts w:ascii="Arial" w:cs="Arial" w:eastAsia="Arial" w:hAnsi="Arial"/>
                <w:sz w:val="14"/>
                <w:szCs w:val="14"/>
                <w:b w:val="1"/>
                <w:bCs w:val="1"/>
                <w:color w:val="auto"/>
              </w:rPr>
              <w:t>April 30,</w:t>
            </w:r>
          </w:p>
        </w:tc>
        <w:tc>
          <w:tcPr>
            <w:tcW w:w="13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May 1,</w:t>
            </w:r>
          </w:p>
        </w:tc>
        <w:tc>
          <w:tcPr>
            <w:tcW w:w="480" w:type="dxa"/>
            <w:vAlign w:val="bottom"/>
          </w:tcPr>
          <w:p>
            <w:pPr>
              <w:spacing w:after="0"/>
              <w:rPr>
                <w:sz w:val="11"/>
                <w:szCs w:val="11"/>
                <w:color w:val="auto"/>
              </w:rPr>
            </w:pPr>
          </w:p>
        </w:tc>
      </w:tr>
      <w:tr>
        <w:trPr>
          <w:trHeight w:val="188"/>
        </w:trPr>
        <w:tc>
          <w:tcPr>
            <w:tcW w:w="7540" w:type="dxa"/>
            <w:vAlign w:val="bottom"/>
            <w:tcBorders>
              <w:bottom w:val="single" w:sz="8" w:color="CCEEFF"/>
            </w:tcBorders>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675"/>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320" w:type="dxa"/>
            <w:vAlign w:val="bottom"/>
            <w:tcBorders>
              <w:bottom w:val="single" w:sz="8" w:color="auto"/>
            </w:tcBorders>
          </w:tcPr>
          <w:p>
            <w:pPr>
              <w:jc w:val="right"/>
              <w:ind w:right="197"/>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6"/>
                <w:szCs w:val="16"/>
                <w:color w:val="auto"/>
              </w:rPr>
            </w:pPr>
          </w:p>
        </w:tc>
      </w:tr>
      <w:tr>
        <w:trPr>
          <w:trHeight w:val="211"/>
        </w:trPr>
        <w:tc>
          <w:tcPr>
            <w:tcW w:w="7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Numerator:</w:t>
            </w:r>
          </w:p>
        </w:tc>
        <w:tc>
          <w:tcPr>
            <w:tcW w:w="64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r>
      <w:tr>
        <w:trPr>
          <w:trHeight w:val="230"/>
        </w:trPr>
        <w:tc>
          <w:tcPr>
            <w:tcW w:w="7540" w:type="dxa"/>
            <w:vAlign w:val="bottom"/>
          </w:tcPr>
          <w:p>
            <w:pPr>
              <w:ind w:left="760"/>
              <w:spacing w:after="0"/>
              <w:rPr>
                <w:sz w:val="20"/>
                <w:szCs w:val="20"/>
                <w:color w:val="auto"/>
              </w:rPr>
            </w:pPr>
            <w:r>
              <w:rPr>
                <w:rFonts w:ascii="Arial" w:cs="Arial" w:eastAsia="Arial" w:hAnsi="Arial"/>
                <w:sz w:val="18"/>
                <w:szCs w:val="18"/>
                <w:color w:val="auto"/>
              </w:rPr>
              <w:t>Net loss</w:t>
            </w:r>
          </w:p>
        </w:tc>
        <w:tc>
          <w:tcPr>
            <w:tcW w:w="6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(165.7)</w:t>
            </w:r>
          </w:p>
        </w:tc>
        <w:tc>
          <w:tcPr>
            <w:tcW w:w="100" w:type="dxa"/>
            <w:vAlign w:val="bottom"/>
          </w:tcPr>
          <w:p>
            <w:pPr>
              <w:spacing w:after="0"/>
              <w:rPr>
                <w:sz w:val="19"/>
                <w:szCs w:val="19"/>
                <w:color w:val="auto"/>
              </w:rPr>
            </w:pPr>
          </w:p>
        </w:tc>
        <w:tc>
          <w:tcPr>
            <w:tcW w:w="1320" w:type="dxa"/>
            <w:vAlign w:val="bottom"/>
          </w:tcPr>
          <w:p>
            <w:pPr>
              <w:jc w:val="right"/>
              <w:ind w:right="717"/>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93"/>
              </w:rPr>
              <w:t>(88.2)</w:t>
            </w:r>
          </w:p>
        </w:tc>
      </w:tr>
      <w:tr>
        <w:trPr>
          <w:trHeight w:val="230"/>
        </w:trPr>
        <w:tc>
          <w:tcPr>
            <w:tcW w:w="7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Denominator:</w:t>
            </w:r>
          </w:p>
        </w:tc>
        <w:tc>
          <w:tcPr>
            <w:tcW w:w="6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r>
      <w:tr>
        <w:trPr>
          <w:trHeight w:val="229"/>
        </w:trPr>
        <w:tc>
          <w:tcPr>
            <w:tcW w:w="7540" w:type="dxa"/>
            <w:vAlign w:val="bottom"/>
          </w:tcPr>
          <w:p>
            <w:pPr>
              <w:ind w:left="760"/>
              <w:spacing w:after="0"/>
              <w:rPr>
                <w:sz w:val="20"/>
                <w:szCs w:val="20"/>
                <w:color w:val="auto"/>
              </w:rPr>
            </w:pPr>
            <w:r>
              <w:rPr>
                <w:rFonts w:ascii="Arial" w:cs="Arial" w:eastAsia="Arial" w:hAnsi="Arial"/>
                <w:sz w:val="18"/>
                <w:szCs w:val="18"/>
                <w:color w:val="auto"/>
              </w:rPr>
              <w:t>Weighted-average shares — basic</w:t>
            </w:r>
          </w:p>
        </w:tc>
        <w:tc>
          <w:tcPr>
            <w:tcW w:w="6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848.0</w:t>
            </w:r>
          </w:p>
        </w:tc>
        <w:tc>
          <w:tcPr>
            <w:tcW w:w="1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4"/>
              </w:rPr>
              <w:t>693.4</w:t>
            </w:r>
          </w:p>
        </w:tc>
      </w:tr>
      <w:tr>
        <w:trPr>
          <w:trHeight w:val="230"/>
        </w:trPr>
        <w:tc>
          <w:tcPr>
            <w:tcW w:w="7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Effect of dilutive securities:</w:t>
            </w:r>
          </w:p>
        </w:tc>
        <w:tc>
          <w:tcPr>
            <w:tcW w:w="6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r>
      <w:tr>
        <w:trPr>
          <w:trHeight w:val="230"/>
        </w:trPr>
        <w:tc>
          <w:tcPr>
            <w:tcW w:w="7540" w:type="dxa"/>
            <w:vAlign w:val="bottom"/>
          </w:tcPr>
          <w:p>
            <w:pPr>
              <w:ind w:left="760"/>
              <w:spacing w:after="0"/>
              <w:rPr>
                <w:sz w:val="20"/>
                <w:szCs w:val="20"/>
                <w:color w:val="auto"/>
              </w:rPr>
            </w:pPr>
            <w:r>
              <w:rPr>
                <w:rFonts w:ascii="Arial" w:cs="Arial" w:eastAsia="Arial" w:hAnsi="Arial"/>
                <w:sz w:val="18"/>
                <w:szCs w:val="18"/>
                <w:color w:val="auto"/>
              </w:rPr>
              <w:t>Share-based awards</w:t>
            </w:r>
          </w:p>
        </w:tc>
        <w:tc>
          <w:tcPr>
            <w:tcW w:w="64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32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540" w:type="dxa"/>
            <w:vAlign w:val="bottom"/>
            <w:shd w:val="clear" w:color="auto" w:fill="CCEEFF"/>
          </w:tcPr>
          <w:p>
            <w:pPr>
              <w:ind w:left="760"/>
              <w:spacing w:after="0"/>
              <w:rPr>
                <w:sz w:val="20"/>
                <w:szCs w:val="20"/>
                <w:color w:val="auto"/>
              </w:rPr>
            </w:pPr>
            <w:r>
              <w:rPr>
                <w:rFonts w:ascii="Arial" w:cs="Arial" w:eastAsia="Arial" w:hAnsi="Arial"/>
                <w:sz w:val="18"/>
                <w:szCs w:val="18"/>
                <w:color w:val="auto"/>
              </w:rPr>
              <w:t>Convertible debt</w:t>
            </w:r>
          </w:p>
        </w:tc>
        <w:tc>
          <w:tcPr>
            <w:tcW w:w="64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32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196"/>
        </w:trPr>
        <w:tc>
          <w:tcPr>
            <w:tcW w:w="7540" w:type="dxa"/>
            <w:vAlign w:val="bottom"/>
          </w:tcPr>
          <w:p>
            <w:pPr>
              <w:ind w:left="760"/>
              <w:spacing w:after="0" w:line="196" w:lineRule="exact"/>
              <w:rPr>
                <w:sz w:val="20"/>
                <w:szCs w:val="20"/>
                <w:color w:val="auto"/>
              </w:rPr>
            </w:pPr>
            <w:r>
              <w:rPr>
                <w:rFonts w:ascii="Arial" w:cs="Arial" w:eastAsia="Arial" w:hAnsi="Arial"/>
                <w:sz w:val="18"/>
                <w:szCs w:val="18"/>
                <w:color w:val="auto"/>
              </w:rPr>
              <w:t>Weighted-average shares — diluted</w:t>
            </w:r>
          </w:p>
        </w:tc>
        <w:tc>
          <w:tcPr>
            <w:tcW w:w="640" w:type="dxa"/>
            <w:vAlign w:val="bottom"/>
            <w:tcBorders>
              <w:top w:val="single" w:sz="8" w:color="auto"/>
              <w:bottom w:val="single" w:sz="8" w:color="auto"/>
            </w:tcBorders>
          </w:tcPr>
          <w:p>
            <w:pPr>
              <w:spacing w:after="0"/>
              <w:rPr>
                <w:sz w:val="17"/>
                <w:szCs w:val="17"/>
                <w:color w:val="auto"/>
              </w:rPr>
            </w:pPr>
          </w:p>
        </w:tc>
        <w:tc>
          <w:tcPr>
            <w:tcW w:w="116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848.0</w:t>
            </w:r>
          </w:p>
        </w:tc>
        <w:tc>
          <w:tcPr>
            <w:tcW w:w="100" w:type="dxa"/>
            <w:vAlign w:val="bottom"/>
          </w:tcPr>
          <w:p>
            <w:pPr>
              <w:spacing w:after="0"/>
              <w:rPr>
                <w:sz w:val="17"/>
                <w:szCs w:val="17"/>
                <w:color w:val="auto"/>
              </w:rPr>
            </w:pPr>
          </w:p>
        </w:tc>
        <w:tc>
          <w:tcPr>
            <w:tcW w:w="1320" w:type="dxa"/>
            <w:vAlign w:val="bottom"/>
            <w:tcBorders>
              <w:top w:val="single" w:sz="8" w:color="auto"/>
              <w:bottom w:val="single" w:sz="8" w:color="auto"/>
            </w:tcBorders>
          </w:tcPr>
          <w:p>
            <w:pPr>
              <w:spacing w:after="0"/>
              <w:rPr>
                <w:sz w:val="17"/>
                <w:szCs w:val="17"/>
                <w:color w:val="auto"/>
              </w:rPr>
            </w:pPr>
          </w:p>
        </w:tc>
        <w:tc>
          <w:tcPr>
            <w:tcW w:w="480" w:type="dxa"/>
            <w:vAlign w:val="bottom"/>
            <w:tcBorders>
              <w:top w:val="single" w:sz="8" w:color="auto"/>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84"/>
              </w:rPr>
              <w:t>693.4</w:t>
            </w:r>
          </w:p>
        </w:tc>
      </w:tr>
      <w:tr>
        <w:trPr>
          <w:trHeight w:val="20"/>
        </w:trPr>
        <w:tc>
          <w:tcPr>
            <w:tcW w:w="754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r>
      <w:tr>
        <w:trPr>
          <w:trHeight w:val="197"/>
        </w:trPr>
        <w:tc>
          <w:tcPr>
            <w:tcW w:w="7540" w:type="dxa"/>
            <w:vAlign w:val="bottom"/>
            <w:shd w:val="clear" w:color="auto" w:fill="CCEEFF"/>
          </w:tcPr>
          <w:p>
            <w:pPr>
              <w:ind w:left="440"/>
              <w:spacing w:after="0" w:line="196" w:lineRule="exact"/>
              <w:rPr>
                <w:sz w:val="20"/>
                <w:szCs w:val="20"/>
                <w:color w:val="auto"/>
              </w:rPr>
            </w:pPr>
            <w:r>
              <w:rPr>
                <w:rFonts w:ascii="Arial" w:cs="Arial" w:eastAsia="Arial" w:hAnsi="Arial"/>
                <w:sz w:val="18"/>
                <w:szCs w:val="18"/>
                <w:color w:val="auto"/>
              </w:rPr>
              <w:t>Net loss per share:</w:t>
            </w:r>
          </w:p>
        </w:tc>
        <w:tc>
          <w:tcPr>
            <w:tcW w:w="64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r>
      <w:tr>
        <w:trPr>
          <w:trHeight w:val="229"/>
        </w:trPr>
        <w:tc>
          <w:tcPr>
            <w:tcW w:w="7540" w:type="dxa"/>
            <w:vAlign w:val="bottom"/>
          </w:tcPr>
          <w:p>
            <w:pPr>
              <w:ind w:left="740"/>
              <w:spacing w:after="0"/>
              <w:rPr>
                <w:sz w:val="20"/>
                <w:szCs w:val="20"/>
                <w:color w:val="auto"/>
              </w:rPr>
            </w:pPr>
            <w:r>
              <w:rPr>
                <w:rFonts w:ascii="Arial" w:cs="Arial" w:eastAsia="Arial" w:hAnsi="Arial"/>
                <w:sz w:val="18"/>
                <w:szCs w:val="18"/>
                <w:color w:val="auto"/>
              </w:rPr>
              <w:t>Basic</w:t>
            </w:r>
          </w:p>
        </w:tc>
        <w:tc>
          <w:tcPr>
            <w:tcW w:w="64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(0.20)</w:t>
            </w:r>
          </w:p>
        </w:tc>
        <w:tc>
          <w:tcPr>
            <w:tcW w:w="100" w:type="dxa"/>
            <w:vAlign w:val="bottom"/>
          </w:tcPr>
          <w:p>
            <w:pPr>
              <w:spacing w:after="0"/>
              <w:rPr>
                <w:sz w:val="19"/>
                <w:szCs w:val="19"/>
                <w:color w:val="auto"/>
              </w:rPr>
            </w:pPr>
          </w:p>
        </w:tc>
        <w:tc>
          <w:tcPr>
            <w:tcW w:w="1320" w:type="dxa"/>
            <w:vAlign w:val="bottom"/>
          </w:tcPr>
          <w:p>
            <w:pPr>
              <w:jc w:val="right"/>
              <w:ind w:right="717"/>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93"/>
              </w:rPr>
              <w:t>(0.13)</w:t>
            </w:r>
          </w:p>
        </w:tc>
      </w:tr>
      <w:tr>
        <w:trPr>
          <w:trHeight w:val="230"/>
        </w:trPr>
        <w:tc>
          <w:tcPr>
            <w:tcW w:w="7540" w:type="dxa"/>
            <w:vAlign w:val="bottom"/>
            <w:shd w:val="clear" w:color="auto" w:fill="CCEEFF"/>
          </w:tcPr>
          <w:p>
            <w:pPr>
              <w:ind w:left="740"/>
              <w:spacing w:after="0"/>
              <w:rPr>
                <w:sz w:val="20"/>
                <w:szCs w:val="20"/>
                <w:color w:val="auto"/>
              </w:rPr>
            </w:pPr>
            <w:r>
              <w:rPr>
                <w:rFonts w:ascii="Arial" w:cs="Arial" w:eastAsia="Arial" w:hAnsi="Arial"/>
                <w:sz w:val="18"/>
                <w:szCs w:val="18"/>
                <w:color w:val="auto"/>
              </w:rPr>
              <w:t>Diluted</w:t>
            </w:r>
          </w:p>
        </w:tc>
        <w:tc>
          <w:tcPr>
            <w:tcW w:w="6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right"/>
              <w:ind w:right="717"/>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(0.13)</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4" w:name="page25"/>
    <w:bookmarkEnd w:id="2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41" w:lineRule="auto"/>
        <w:rPr>
          <w:sz w:val="20"/>
          <w:szCs w:val="20"/>
          <w:color w:val="auto"/>
        </w:rPr>
      </w:pPr>
      <w:r>
        <w:rPr>
          <w:rFonts w:ascii="Arial" w:cs="Arial" w:eastAsia="Arial" w:hAnsi="Arial"/>
          <w:sz w:val="18"/>
          <w:szCs w:val="18"/>
          <w:color w:val="auto"/>
        </w:rPr>
        <w:t>Potential dilutive securities include dilutive common stock from share-based awards attributable to the assumed exercise of stock options, restricted stock units and employee stock purchase plan shares using the treasury stock method. Potential dilutive securities include dilutive common stock from share-based awards attributable to the shares that could be issued upon conversion of the Company’s convertible debt using the if-converted method. Under the treasury stock method and if-converted method, potential common stock outstanding are not included in the computation of diluted net income per share if their effect is anti-dilutive.</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millions):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100" w:type="dxa"/>
            <w:vAlign w:val="bottom"/>
          </w:tcPr>
          <w:p>
            <w:pPr>
              <w:spacing w:after="0"/>
              <w:rPr>
                <w:sz w:val="16"/>
                <w:szCs w:val="16"/>
                <w:color w:val="auto"/>
              </w:rPr>
            </w:pPr>
          </w:p>
        </w:tc>
        <w:tc>
          <w:tcPr>
            <w:tcW w:w="2960" w:type="dxa"/>
            <w:vAlign w:val="bottom"/>
            <w:tcBorders>
              <w:bottom w:val="single" w:sz="8" w:color="auto"/>
            </w:tcBorders>
            <w:gridSpan w:val="3"/>
          </w:tcPr>
          <w:p>
            <w:pPr>
              <w:jc w:val="right"/>
              <w:ind w:right="539"/>
              <w:spacing w:after="0"/>
              <w:rPr>
                <w:sz w:val="20"/>
                <w:szCs w:val="20"/>
                <w:color w:val="auto"/>
              </w:rPr>
            </w:pPr>
            <w:r>
              <w:rPr>
                <w:rFonts w:ascii="Arial" w:cs="Arial" w:eastAsia="Arial" w:hAnsi="Arial"/>
                <w:sz w:val="14"/>
                <w:szCs w:val="14"/>
                <w:b w:val="1"/>
                <w:bCs w:val="1"/>
                <w:color w:val="auto"/>
              </w:rPr>
              <w:t>Three Months Ended</w:t>
            </w:r>
          </w:p>
        </w:tc>
      </w:tr>
      <w:tr>
        <w:trPr>
          <w:trHeight w:val="135"/>
        </w:trPr>
        <w:tc>
          <w:tcPr>
            <w:tcW w:w="8100" w:type="dxa"/>
            <w:vAlign w:val="bottom"/>
          </w:tcPr>
          <w:p>
            <w:pPr>
              <w:spacing w:after="0"/>
              <w:rPr>
                <w:sz w:val="11"/>
                <w:szCs w:val="11"/>
                <w:color w:val="auto"/>
              </w:rPr>
            </w:pPr>
          </w:p>
        </w:tc>
        <w:tc>
          <w:tcPr>
            <w:tcW w:w="1540" w:type="dxa"/>
            <w:vAlign w:val="bottom"/>
            <w:gridSpan w:val="2"/>
          </w:tcPr>
          <w:p>
            <w:pPr>
              <w:ind w:left="640"/>
              <w:spacing w:after="0" w:line="135" w:lineRule="exact"/>
              <w:rPr>
                <w:sz w:val="20"/>
                <w:szCs w:val="20"/>
                <w:color w:val="auto"/>
              </w:rPr>
            </w:pPr>
            <w:r>
              <w:rPr>
                <w:rFonts w:ascii="Arial" w:cs="Arial" w:eastAsia="Arial" w:hAnsi="Arial"/>
                <w:sz w:val="14"/>
                <w:szCs w:val="14"/>
                <w:b w:val="1"/>
                <w:bCs w:val="1"/>
                <w:color w:val="auto"/>
              </w:rPr>
              <w:t>April 30,</w:t>
            </w:r>
          </w:p>
        </w:tc>
        <w:tc>
          <w:tcPr>
            <w:tcW w:w="1420" w:type="dxa"/>
            <w:vAlign w:val="bottom"/>
          </w:tcPr>
          <w:p>
            <w:pPr>
              <w:jc w:val="right"/>
              <w:ind w:right="219"/>
              <w:spacing w:after="0" w:line="135" w:lineRule="exact"/>
              <w:rPr>
                <w:sz w:val="20"/>
                <w:szCs w:val="20"/>
                <w:color w:val="auto"/>
              </w:rPr>
            </w:pPr>
            <w:r>
              <w:rPr>
                <w:rFonts w:ascii="Arial" w:cs="Arial" w:eastAsia="Arial" w:hAnsi="Arial"/>
                <w:sz w:val="14"/>
                <w:szCs w:val="14"/>
                <w:b w:val="1"/>
                <w:bCs w:val="1"/>
                <w:color w:val="auto"/>
              </w:rPr>
              <w:t>May 1,</w:t>
            </w:r>
          </w:p>
        </w:tc>
      </w:tr>
      <w:tr>
        <w:trPr>
          <w:trHeight w:val="188"/>
        </w:trPr>
        <w:tc>
          <w:tcPr>
            <w:tcW w:w="810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81"/>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2021</w:t>
            </w:r>
          </w:p>
        </w:tc>
      </w:tr>
      <w:tr>
        <w:trPr>
          <w:trHeight w:val="211"/>
        </w:trPr>
        <w:tc>
          <w:tcPr>
            <w:tcW w:w="8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Weighted-average shares outstanding:</w:t>
            </w:r>
          </w:p>
        </w:tc>
        <w:tc>
          <w:tcPr>
            <w:tcW w:w="1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r>
      <w:tr>
        <w:trPr>
          <w:trHeight w:val="229"/>
        </w:trPr>
        <w:tc>
          <w:tcPr>
            <w:tcW w:w="810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420" w:type="dxa"/>
            <w:vAlign w:val="bottom"/>
          </w:tcPr>
          <w:p>
            <w:pPr>
              <w:jc w:val="right"/>
              <w:spacing w:after="0"/>
              <w:rPr>
                <w:sz w:val="20"/>
                <w:szCs w:val="20"/>
                <w:color w:val="auto"/>
              </w:rPr>
            </w:pPr>
            <w:r>
              <w:rPr>
                <w:rFonts w:ascii="Arial" w:cs="Arial" w:eastAsia="Arial" w:hAnsi="Arial"/>
                <w:sz w:val="18"/>
                <w:szCs w:val="18"/>
                <w:color w:val="auto"/>
              </w:rPr>
              <w:t>13.9</w:t>
            </w:r>
          </w:p>
        </w:tc>
        <w:tc>
          <w:tcPr>
            <w:tcW w:w="120" w:type="dxa"/>
            <w:vAlign w:val="bottom"/>
          </w:tcPr>
          <w:p>
            <w:pPr>
              <w:spacing w:after="0"/>
              <w:rPr>
                <w:sz w:val="19"/>
                <w:szCs w:val="19"/>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16.8</w:t>
            </w:r>
          </w:p>
        </w:tc>
      </w:tr>
      <w:tr>
        <w:trPr>
          <w:trHeight w:val="229"/>
        </w:trPr>
        <w:tc>
          <w:tcPr>
            <w:tcW w:w="8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Convertible debt</w:t>
            </w: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w:t>
            </w:r>
          </w:p>
        </w:tc>
      </w:tr>
    </w:tbl>
    <w:p>
      <w:pPr>
        <w:spacing w:after="0" w:line="323"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share-based awards are excluded from the calculation of diluted earnings per share for the three months ended April 30, 2022 and May 1, 2021 due to the net losses reported in those periods.</w:t>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Supplemental Financial Information (in millions)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gridSpan w:val="2"/>
          </w:tcPr>
          <w:p>
            <w:pPr>
              <w:ind w:left="16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661.8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578.9</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835.5</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720.3</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680" w:firstLine="405"/>
        <w:spacing w:after="0" w:line="277" w:lineRule="auto"/>
        <w:rPr>
          <w:sz w:val="20"/>
          <w:szCs w:val="20"/>
          <w:color w:val="auto"/>
        </w:rPr>
      </w:pPr>
      <w:r>
        <w:rPr>
          <w:rFonts w:ascii="Arial" w:cs="Arial" w:eastAsia="Arial" w:hAnsi="Arial"/>
          <w:sz w:val="18"/>
          <w:szCs w:val="18"/>
          <w:color w:val="auto"/>
        </w:rPr>
        <w:t>The inventory balance at April 30, 2022 and January 29, 2022 includes $29.4 million and $38.7 million respectively related to the remaining inventory fair value adjustment from the Innovium acquisition.</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gridSpan w:val="2"/>
          </w:tcPr>
          <w:p>
            <w:pPr>
              <w:ind w:left="16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957.8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895.4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293.6</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110.3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30.1</w:t>
            </w:r>
          </w:p>
        </w:tc>
      </w:tr>
      <w:tr>
        <w:trPr>
          <w:trHeight w:val="223"/>
        </w:trPr>
        <w:tc>
          <w:tcPr>
            <w:tcW w:w="8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1,391.5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1,328.2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(889.3)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(865.4)</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502.2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462.8</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5" w:name="page26"/>
    <w:bookmarkEnd w:id="2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gridSpan w:val="2"/>
          </w:tcPr>
          <w:p>
            <w:pPr>
              <w:ind w:left="16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and other licenses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524.6</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490.2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Prepaid ship and debit</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215.9</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Operating right-of-use assets</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140.5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142.0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Prepayments on supply capacity reservation agreements</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54.6</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Non-marketable equity investments</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34.9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30.7</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28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61.0</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1,178.7</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145"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April 30,</w:t>
      </w:r>
    </w:p>
    <w:p>
      <w:pPr>
        <w:jc w:val="center"/>
        <w:ind w:left="8500"/>
        <w:spacing w:after="0"/>
        <w:rPr>
          <w:sz w:val="20"/>
          <w:szCs w:val="20"/>
          <w:color w:val="auto"/>
        </w:rPr>
      </w:pPr>
      <w:r>
        <w:rPr>
          <w:rFonts w:ascii="Arial" w:cs="Arial" w:eastAsia="Arial" w:hAnsi="Arial"/>
          <w:sz w:val="14"/>
          <w:szCs w:val="14"/>
          <w:b w:val="1"/>
          <w:bCs w:val="1"/>
          <w:color w:val="auto"/>
        </w:rPr>
        <w:t>2022</w:t>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29,</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2022</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540" w:type="dxa"/>
            <w:vAlign w:val="bottom"/>
            <w:tcBorders>
              <w:top w:val="single" w:sz="8" w:color="auto"/>
            </w:tcBorders>
            <w:shd w:val="clear" w:color="auto" w:fill="CCEEFF"/>
          </w:tcPr>
          <w:p>
            <w:pPr>
              <w:spacing w:after="0"/>
              <w:rPr>
                <w:sz w:val="19"/>
                <w:szCs w:val="19"/>
                <w:color w:val="auto"/>
              </w:rPr>
            </w:pPr>
          </w:p>
        </w:tc>
        <w:tc>
          <w:tcPr>
            <w:tcW w:w="90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540" w:type="dxa"/>
            <w:vAlign w:val="bottom"/>
            <w:tcBorders>
              <w:top w:val="single" w:sz="8" w:color="auto"/>
            </w:tcBorders>
            <w:shd w:val="clear" w:color="auto" w:fill="CCEEFF"/>
          </w:tcPr>
          <w:p>
            <w:pPr>
              <w:spacing w:after="0"/>
              <w:rPr>
                <w:sz w:val="19"/>
                <w:szCs w:val="19"/>
                <w:color w:val="auto"/>
              </w:rPr>
            </w:pPr>
          </w:p>
        </w:tc>
        <w:tc>
          <w:tcPr>
            <w:tcW w:w="900" w:type="dxa"/>
            <w:vAlign w:val="bottom"/>
            <w:tcBorders>
              <w:top w:val="single" w:sz="8" w:color="auto"/>
            </w:tcBorders>
            <w:shd w:val="clear" w:color="auto" w:fill="CCEEFF"/>
          </w:tcPr>
          <w:p>
            <w:pPr>
              <w:spacing w:after="0"/>
              <w:rPr>
                <w:sz w:val="19"/>
                <w:szCs w:val="19"/>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Variable consideration estimates (1)</w:t>
            </w:r>
          </w:p>
        </w:tc>
        <w:tc>
          <w:tcPr>
            <w:tcW w:w="540" w:type="dxa"/>
            <w:vAlign w:val="bottom"/>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349.4</w:t>
            </w:r>
          </w:p>
        </w:tc>
        <w:tc>
          <w:tcPr>
            <w:tcW w:w="100" w:type="dxa"/>
            <w:vAlign w:val="bottom"/>
          </w:tcPr>
          <w:p>
            <w:pPr>
              <w:spacing w:after="0"/>
              <w:rPr>
                <w:sz w:val="19"/>
                <w:szCs w:val="19"/>
                <w:color w:val="auto"/>
              </w:rPr>
            </w:pPr>
          </w:p>
        </w:tc>
        <w:tc>
          <w:tcPr>
            <w:tcW w:w="540" w:type="dxa"/>
            <w:vAlign w:val="bottom"/>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258.6</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 obligations</w:t>
            </w: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116.6</w:t>
            </w:r>
          </w:p>
        </w:tc>
        <w:tc>
          <w:tcPr>
            <w:tcW w:w="1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Deferred non-recurring engineering credits</w:t>
            </w: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53.2</w:t>
            </w: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71.2</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revenue</w:t>
            </w: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w:t>
            </w:r>
          </w:p>
        </w:tc>
        <w:tc>
          <w:tcPr>
            <w:tcW w:w="1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Accrued income tax payable</w:t>
            </w: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37.9</w:t>
            </w: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23.3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current portion</w:t>
            </w: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w:t>
            </w:r>
          </w:p>
        </w:tc>
        <w:tc>
          <w:tcPr>
            <w:tcW w:w="1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Accrued interest payable</w:t>
            </w: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19.7</w:t>
            </w:r>
          </w:p>
        </w:tc>
        <w:tc>
          <w:tcPr>
            <w:tcW w:w="1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20.1</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royalty</w:t>
            </w: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w:t>
            </w:r>
          </w:p>
        </w:tc>
        <w:tc>
          <w:tcPr>
            <w:tcW w:w="10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54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64.2</w:t>
            </w:r>
          </w:p>
        </w:tc>
        <w:tc>
          <w:tcPr>
            <w:tcW w:w="100" w:type="dxa"/>
            <w:vAlign w:val="bottom"/>
            <w:tcBorders>
              <w:bottom w:val="single" w:sz="8" w:color="CCEEFF"/>
            </w:tcBorders>
          </w:tcPr>
          <w:p>
            <w:pPr>
              <w:spacing w:after="0"/>
              <w:rPr>
                <w:sz w:val="19"/>
                <w:szCs w:val="19"/>
                <w:color w:val="auto"/>
              </w:rPr>
            </w:pPr>
          </w:p>
        </w:tc>
        <w:tc>
          <w:tcPr>
            <w:tcW w:w="54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70.6</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Accrued liabilities</w:t>
            </w:r>
          </w:p>
        </w:tc>
        <w:tc>
          <w:tcPr>
            <w:tcW w:w="540" w:type="dxa"/>
            <w:vAlign w:val="bottom"/>
            <w:tcBorders>
              <w:bottom w:val="single" w:sz="8" w:color="auto"/>
            </w:tcBorders>
            <w:shd w:val="clear" w:color="auto" w:fill="CCEEFF"/>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735.0</w:t>
            </w:r>
          </w:p>
        </w:tc>
        <w:tc>
          <w:tcPr>
            <w:tcW w:w="10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auto"/>
            </w:tcBorders>
            <w:shd w:val="clear" w:color="auto" w:fill="CCEEFF"/>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622.6</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r>
    </w:tbl>
    <w:p>
      <w:pPr>
        <w:spacing w:after="0" w:line="67" w:lineRule="exact"/>
        <w:rPr>
          <w:sz w:val="20"/>
          <w:szCs w:val="20"/>
          <w:color w:val="auto"/>
        </w:rPr>
      </w:pPr>
    </w:p>
    <w:p>
      <w:pPr>
        <w:spacing w:after="0"/>
        <w:rPr>
          <w:sz w:val="20"/>
          <w:szCs w:val="20"/>
          <w:color w:val="auto"/>
        </w:rPr>
      </w:pPr>
      <w:r>
        <w:rPr>
          <w:rFonts w:ascii="Arial" w:cs="Arial" w:eastAsia="Arial" w:hAnsi="Arial"/>
          <w:sz w:val="17"/>
          <w:szCs w:val="17"/>
          <w:color w:val="auto"/>
        </w:rPr>
        <w:t>(1) Variable consideration estimates consist of estimated customer returns, price discounts, price protection, rebates, and stock rotation programs.</w:t>
      </w:r>
    </w:p>
    <w:p>
      <w:pPr>
        <w:spacing w:after="0" w:line="2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60" w:type="dxa"/>
            <w:vAlign w:val="bottom"/>
            <w:gridSpan w:val="2"/>
          </w:tcPr>
          <w:p>
            <w:pPr>
              <w:ind w:left="160"/>
              <w:spacing w:after="0"/>
              <w:rPr>
                <w:sz w:val="20"/>
                <w:szCs w:val="20"/>
                <w:color w:val="auto"/>
              </w:rPr>
            </w:pPr>
            <w:r>
              <w:rPr>
                <w:rFonts w:ascii="Arial" w:cs="Arial" w:eastAsia="Arial" w:hAnsi="Arial"/>
                <w:sz w:val="14"/>
                <w:szCs w:val="14"/>
                <w:b w:val="1"/>
                <w:bCs w:val="1"/>
                <w:color w:val="auto"/>
              </w:rPr>
              <w:t>April 30,</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r>
      <w:tr>
        <w:trPr>
          <w:trHeight w:val="211"/>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318.2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304.3</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non current</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Deferred tax liabilities</w:t>
            </w:r>
          </w:p>
        </w:tc>
        <w:tc>
          <w:tcPr>
            <w:tcW w:w="28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39.7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34.5</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Non-current income tax payable</w:t>
            </w:r>
          </w:p>
        </w:tc>
        <w:tc>
          <w:tcPr>
            <w:tcW w:w="28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r>
      <w:tr>
        <w:trPr>
          <w:trHeight w:val="230"/>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28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554.3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6" w:name="page27"/>
    <w:bookmarkEnd w:id="2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7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Loss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For the three months ended April 30, 2022 and May 1, 2021, there were no reconciling differences between net loss and comprehensive loss.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November 17, 2016, the Company announced that its Board of Directors authorized a $1.0 billion share repurchase plan with no fixed expiration.</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The newly authorized stock repurchase program replaced in its entirety the prior $3.25 billion stock repurchase program. On October 16, 2018, the</w:t>
      </w:r>
    </w:p>
    <w:p>
      <w:pPr>
        <w:spacing w:after="0" w:line="7" w:lineRule="exact"/>
        <w:rPr>
          <w:sz w:val="20"/>
          <w:szCs w:val="20"/>
          <w:color w:val="auto"/>
        </w:rPr>
      </w:pPr>
    </w:p>
    <w:p>
      <w:pPr>
        <w:spacing w:after="0"/>
        <w:rPr>
          <w:sz w:val="20"/>
          <w:szCs w:val="20"/>
          <w:color w:val="auto"/>
        </w:rPr>
      </w:pPr>
      <w:r>
        <w:rPr>
          <w:rFonts w:ascii="Arial" w:cs="Arial" w:eastAsia="Arial" w:hAnsi="Arial"/>
          <w:sz w:val="17"/>
          <w:szCs w:val="17"/>
          <w:color w:val="auto"/>
        </w:rPr>
        <w:t>Company announced that its Board of Directors authorized a $700.0 million addition to the balance of its existing share repurchase program. As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April 30, 2022, there was $549.5 million remaining available for future share repurchases. The Company intends to effect share repurchases in accordance</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with the conditions of Rule 10b-18 under the Exchange Act, but may also make repurchases in the open market outside of Rule 10b-18 or in privately</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negotiated transactions. The share repurchase program will be subject to market conditions and other factors, and does not obligate the Company to</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repurchase any dollar amount or number of its common stock and the repurchase program may be extended, modified, suspended or discontinued at any</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time.</w:t>
      </w:r>
    </w:p>
    <w:p>
      <w:pPr>
        <w:spacing w:after="0" w:line="223"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 Company resumed its stock repurchase program in the first quarter of fiscal 2023, which had been temporarily suspended in fiscal 2021 to preserve cash during the COVID-19 pandemic. During the three months ended April 30, 2022, the Company repurchased 0.3 million shares of its common stock for $15.0 million. There were no share repurchases during the quarter ended May 1, 2021. The Company records all repurchases, as well as investment purchases and sales, based on their trade date. The repurchased shares are retired immediately after repurchases are completed.</w:t>
      </w:r>
    </w:p>
    <w:p>
      <w:pPr>
        <w:spacing w:after="0" w:line="182"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Subsequent to quarter end through May 20, 2022, the Company repurchased an additional 0.9 million shares of its common stock for $50.0 million pursuant to a 10b5-1 trading plan.</w:t>
      </w:r>
    </w:p>
    <w:p>
      <w:pPr>
        <w:spacing w:after="0" w:line="200" w:lineRule="exact"/>
        <w:rPr>
          <w:sz w:val="20"/>
          <w:szCs w:val="20"/>
          <w:color w:val="auto"/>
        </w:rPr>
      </w:pPr>
    </w:p>
    <w:p>
      <w:pPr>
        <w:spacing w:after="0" w:line="34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60"/>
          </w:cols>
          <w:pgMar w:left="320" w:top="130" w:right="419" w:bottom="1440" w:gutter="0" w:footer="0" w:header="0"/>
        </w:sectPr>
      </w:pPr>
    </w:p>
    <w:bookmarkStart w:id="27" w:name="page28"/>
    <w:bookmarkEnd w:id="2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56" w:lineRule="exact"/>
        <w:rPr>
          <w:sz w:val="20"/>
          <w:szCs w:val="20"/>
          <w:color w:val="auto"/>
        </w:rPr>
      </w:pPr>
    </w:p>
    <w:p>
      <w:pPr>
        <w:ind w:right="20" w:firstLine="405"/>
        <w:spacing w:after="0"/>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6" w:lineRule="exact"/>
        <w:rPr>
          <w:sz w:val="20"/>
          <w:szCs w:val="20"/>
          <w:color w:val="auto"/>
        </w:rPr>
      </w:pPr>
    </w:p>
    <w:p>
      <w:pPr>
        <w:ind w:right="440" w:firstLine="405"/>
        <w:spacing w:after="0" w:line="291"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201" w:lineRule="exact"/>
        <w:rPr>
          <w:sz w:val="20"/>
          <w:szCs w:val="20"/>
          <w:color w:val="auto"/>
        </w:rPr>
      </w:pPr>
    </w:p>
    <w:p>
      <w:pPr>
        <w:ind w:left="660" w:right="620" w:hanging="328"/>
        <w:spacing w:after="0" w:line="232" w:lineRule="auto"/>
        <w:tabs>
          <w:tab w:leader="none" w:pos="655" w:val="left"/>
        </w:tabs>
        <w:numPr>
          <w:ilvl w:val="0"/>
          <w:numId w:val="5"/>
        </w:numPr>
        <w:rPr>
          <w:rFonts w:ascii="Arial" w:cs="Arial" w:eastAsia="Arial" w:hAnsi="Arial"/>
          <w:sz w:val="22"/>
          <w:szCs w:val="22"/>
          <w:i w:val="1"/>
          <w:iCs w:val="1"/>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i w:val="1"/>
          <w:iCs w:val="1"/>
          <w:color w:val="auto"/>
        </w:rPr>
      </w:pPr>
    </w:p>
    <w:p>
      <w:pPr>
        <w:ind w:left="660" w:hanging="328"/>
        <w:spacing w:after="0" w:line="217"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scale our business;</w:t>
      </w:r>
    </w:p>
    <w:p>
      <w:pPr>
        <w:spacing w:after="0" w:line="13" w:lineRule="exact"/>
        <w:rPr>
          <w:rFonts w:ascii="Arial" w:cs="Arial" w:eastAsia="Arial" w:hAnsi="Arial"/>
          <w:sz w:val="22"/>
          <w:szCs w:val="22"/>
          <w:color w:val="auto"/>
        </w:rPr>
      </w:pPr>
    </w:p>
    <w:p>
      <w:pPr>
        <w:ind w:left="660" w:right="560" w:hanging="328"/>
        <w:spacing w:after="0" w:line="233"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our kitting process, and constrained availability from other electronic suppliers impacting our customers' ability to ship their products, which in turn may adversely impact our sales to those customers;</w:t>
      </w:r>
    </w:p>
    <w:p>
      <w:pPr>
        <w:spacing w:after="0" w:line="1" w:lineRule="exact"/>
        <w:rPr>
          <w:rFonts w:ascii="Arial" w:cs="Arial" w:eastAsia="Arial" w:hAnsi="Arial"/>
          <w:sz w:val="22"/>
          <w:szCs w:val="22"/>
          <w:color w:val="auto"/>
        </w:rPr>
      </w:pPr>
    </w:p>
    <w:p>
      <w:pPr>
        <w:ind w:left="660" w:right="260" w:hanging="328"/>
        <w:spacing w:after="0" w:line="233"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economic slowdowns and recessions, inflation and stagflation, or political conditions, such as the tariffs and trade restrictions with China, Russia and other foreign nations, and specific conditions in the end markets we address, including the continuing volatility in the technology sector and semiconductor industry;</w:t>
      </w:r>
    </w:p>
    <w:p>
      <w:pPr>
        <w:ind w:left="660" w:right="8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46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right="74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synergies, on a timely basis or at all, in connection with our acquisitions, divestitures, significant investments or strategic transactions;</w:t>
      </w:r>
    </w:p>
    <w:p>
      <w:pPr>
        <w:ind w:left="660" w:hanging="328"/>
        <w:spacing w:after="0" w:line="217"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0" w:lineRule="exact"/>
        <w:rPr>
          <w:rFonts w:ascii="Arial" w:cs="Arial" w:eastAsia="Arial" w:hAnsi="Arial"/>
          <w:sz w:val="22"/>
          <w:szCs w:val="22"/>
          <w:color w:val="auto"/>
        </w:rPr>
      </w:pPr>
    </w:p>
    <w:p>
      <w:pPr>
        <w:ind w:left="660" w:hanging="328"/>
        <w:spacing w:after="0" w:line="231" w:lineRule="auto"/>
        <w:tabs>
          <w:tab w:leader="none" w:pos="660" w:val="left"/>
        </w:tabs>
        <w:numPr>
          <w:ilvl w:val="0"/>
          <w:numId w:val="5"/>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2" w:lineRule="exact"/>
        <w:rPr>
          <w:rFonts w:ascii="Arial" w:cs="Arial" w:eastAsia="Arial" w:hAnsi="Arial"/>
          <w:sz w:val="22"/>
          <w:szCs w:val="22"/>
          <w:color w:val="auto"/>
        </w:rPr>
      </w:pPr>
    </w:p>
    <w:p>
      <w:pPr>
        <w:ind w:left="660" w:right="2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spacing w:after="0" w:line="1" w:lineRule="exact"/>
        <w:rPr>
          <w:rFonts w:ascii="Arial" w:cs="Arial" w:eastAsia="Arial" w:hAnsi="Arial"/>
          <w:sz w:val="22"/>
          <w:szCs w:val="22"/>
          <w:color w:val="auto"/>
        </w:rPr>
      </w:pPr>
    </w:p>
    <w:p>
      <w:pPr>
        <w:ind w:left="660" w:right="50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ind w:left="66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ind w:left="660" w:hanging="328"/>
        <w:spacing w:after="0" w:line="217"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2" w:lineRule="exact"/>
        <w:rPr>
          <w:rFonts w:ascii="Arial" w:cs="Arial" w:eastAsia="Arial" w:hAnsi="Arial"/>
          <w:sz w:val="22"/>
          <w:szCs w:val="22"/>
          <w:color w:val="auto"/>
        </w:rPr>
      </w:pPr>
    </w:p>
    <w:p>
      <w:pPr>
        <w:ind w:left="660" w:right="580" w:hanging="328"/>
        <w:spacing w:after="0" w:line="232" w:lineRule="auto"/>
        <w:tabs>
          <w:tab w:leader="none" w:pos="655"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5"/>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200" w:lineRule="exact"/>
        <w:rPr>
          <w:sz w:val="20"/>
          <w:szCs w:val="20"/>
          <w:color w:val="auto"/>
        </w:rPr>
      </w:pP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28" w:name="page29"/>
    <w:bookmarkEnd w:id="2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660" w:right="160" w:hanging="328"/>
        <w:spacing w:after="0" w:line="233"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disasters, or the effects of climate change (such as drought, flooding, wildfires, increased storm severity and sea level rise),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of one or more of our major customers; and</w:t>
      </w:r>
    </w:p>
    <w:p>
      <w:pPr>
        <w:spacing w:after="0" w:line="12" w:lineRule="exact"/>
        <w:rPr>
          <w:rFonts w:ascii="Arial" w:cs="Arial" w:eastAsia="Arial" w:hAnsi="Arial"/>
          <w:sz w:val="22"/>
          <w:szCs w:val="22"/>
          <w:color w:val="auto"/>
        </w:rPr>
      </w:pPr>
    </w:p>
    <w:p>
      <w:pPr>
        <w:ind w:left="660" w:right="140" w:hanging="328"/>
        <w:spacing w:after="0" w:line="232" w:lineRule="auto"/>
        <w:tabs>
          <w:tab w:leader="none" w:pos="655" w:val="left"/>
        </w:tabs>
        <w:numPr>
          <w:ilvl w:val="0"/>
          <w:numId w:val="6"/>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217" w:lineRule="exact"/>
        <w:rPr>
          <w:sz w:val="20"/>
          <w:szCs w:val="20"/>
          <w:color w:val="auto"/>
        </w:rPr>
      </w:pPr>
    </w:p>
    <w:p>
      <w:pPr>
        <w:ind w:right="140" w:firstLine="405"/>
        <w:spacing w:after="0" w:line="248"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carrier infrastructure, enterprise networking, consumer, and automotive/industrial end markets.</w:t>
      </w:r>
    </w:p>
    <w:p>
      <w:pPr>
        <w:spacing w:after="0" w:line="216"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Net revenue in the first quarter of fiscal 2023 was $1,446.9 million and was 74% higher than net revenue of $832.3 million in the first quarter of fiscal 2022. This was due to an increase in sales from all our end markets. Revenue increased from the data center end market by 131%, from the carrier infrastructure end market by 50%, from the enterprise networking end market by 64%, from the consumer end market by 7%, and the automotive/industrial end market by 94% compared to the three months ended May 1, 2021. The overall increase in net revenue of 74% was primarily driven by an increase in demand for our products and the year-over-year impact of acquisitions in fiscal 2022, with both factors contributing to higher unit shipments. In addition, our average selling prices increased year-over-year driven by relatively higher sales of products which had higher content and more features.</w:t>
      </w:r>
    </w:p>
    <w:p>
      <w:pPr>
        <w:spacing w:after="0" w:line="188" w:lineRule="exact"/>
        <w:rPr>
          <w:sz w:val="20"/>
          <w:szCs w:val="20"/>
          <w:color w:val="auto"/>
        </w:rPr>
      </w:pPr>
    </w:p>
    <w:p>
      <w:pPr>
        <w:ind w:right="80" w:firstLine="405"/>
        <w:spacing w:after="0" w:line="279" w:lineRule="auto"/>
        <w:rPr>
          <w:sz w:val="20"/>
          <w:szCs w:val="20"/>
          <w:color w:val="auto"/>
        </w:rPr>
      </w:pPr>
      <w:r>
        <w:rPr>
          <w:rFonts w:ascii="Arial" w:cs="Arial" w:eastAsia="Arial" w:hAnsi="Arial"/>
          <w:sz w:val="16"/>
          <w:szCs w:val="16"/>
          <w:color w:val="auto"/>
        </w:rPr>
        <w:t>In response to increased demand from customers for our products, our operations team is continuing to ramp production with our global supply chain partners. However, we are continuing to experience a number of industry-wide supply constraints affecting the type of high complexity products we provide for data infrastructure. These supply challenges are currently limiting our ability to fully satisfy the increase in demand for some of our products. To secure additional capacity, we entered into capacity reservation arrangements with certain foundries and test &amp; assembly partners. See “Note 5 – Commitments and Contingencies” in the Notes to the Unaudited Condensed Consolidated Financial Statements for additional information.</w:t>
      </w:r>
    </w:p>
    <w:p>
      <w:pPr>
        <w:spacing w:after="0" w:line="186"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Securing capacity for growth remains a high priority for our operations team, even as this supply expansion comes with an increase in input costs. As we have done throughout this period of supply constraints, we are working with our customers to adjust prices to offset the impact of these cost increases, which lets us jointly benefit from sustained growth.</w:t>
      </w:r>
    </w:p>
    <w:p>
      <w:pPr>
        <w:spacing w:after="0" w:line="209" w:lineRule="exact"/>
        <w:rPr>
          <w:sz w:val="20"/>
          <w:szCs w:val="20"/>
          <w:color w:val="auto"/>
        </w:rPr>
      </w:pPr>
    </w:p>
    <w:p>
      <w:pPr>
        <w:ind w:right="60" w:firstLine="405"/>
        <w:spacing w:after="0" w:line="254" w:lineRule="auto"/>
        <w:rPr>
          <w:sz w:val="20"/>
          <w:szCs w:val="20"/>
          <w:color w:val="auto"/>
        </w:rPr>
      </w:pPr>
      <w:r>
        <w:rPr>
          <w:rFonts w:ascii="Arial" w:cs="Arial" w:eastAsia="Arial" w:hAnsi="Arial"/>
          <w:sz w:val="17"/>
          <w:szCs w:val="17"/>
          <w:color w:val="auto"/>
        </w:rPr>
        <w:t>We continue to monitor the impact of COVID-19 on our business. While our offices around the world generally remain open to enable critical on-site business functions in accordance with local government guidelines, in response to the COVID-19 pandemic we modified our workplace practices globally, which resulted in many of our employees working remotely for extended periods of time. As a result, many of our employees have expressed a preference to continue to work from home two to three days a week post-pandemic. In response, we adopted a hybrid work policy where most employees split their time between home and the office. We expect COVID-19 to continue to impact our business, for a further discussion of the uncertainties and business risks associated with the COVID-19 pandemic, see Part II, Item 1A, “Risk Factors,” including but not limited to the risk detailed under the caption “</w:t>
      </w:r>
      <w:r>
        <w:rPr>
          <w:rFonts w:ascii="Arial" w:cs="Arial" w:eastAsia="Arial" w:hAnsi="Arial"/>
          <w:sz w:val="17"/>
          <w:szCs w:val="17"/>
          <w:i w:val="1"/>
          <w:iCs w:val="1"/>
          <w:color w:val="auto"/>
        </w:rPr>
        <w:t>We face</w:t>
      </w:r>
      <w:r>
        <w:rPr>
          <w:rFonts w:ascii="Arial" w:cs="Arial" w:eastAsia="Arial" w:hAnsi="Arial"/>
          <w:sz w:val="17"/>
          <w:szCs w:val="17"/>
          <w:color w:val="auto"/>
        </w:rPr>
        <w:t xml:space="preserve"> </w:t>
      </w:r>
      <w:r>
        <w:rPr>
          <w:rFonts w:ascii="Arial" w:cs="Arial" w:eastAsia="Arial" w:hAnsi="Arial"/>
          <w:sz w:val="17"/>
          <w:szCs w:val="17"/>
          <w:i w:val="1"/>
          <w:iCs w:val="1"/>
          <w:color w:val="auto"/>
        </w:rPr>
        <w:t>risks related to the COVID-19 pandemic which currently has, and may continue in the future to, significantly disrupt and adversely impact our manufacturing, research and development, operations, sales and financial results</w:t>
      </w:r>
      <w:r>
        <w:rPr>
          <w:rFonts w:ascii="Arial" w:cs="Arial" w:eastAsia="Arial" w:hAnsi="Arial"/>
          <w:sz w:val="17"/>
          <w:szCs w:val="17"/>
          <w:color w:val="auto"/>
        </w:rPr>
        <w:t>.”</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We expect that the U.S. government’s export restrictions on certain Chinese customers will continue to impact our revenue in fiscal 2023.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 not easily quantify such as the fact that some of our other customers’ products which use our solutions may also be impacted by export restrictions.</w:t>
      </w:r>
    </w:p>
    <w:p>
      <w:pPr>
        <w:spacing w:after="0" w:line="202"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stockholder value through our stock repurchase and dividend programs. Under the</w:t>
      </w:r>
      <w:r>
        <w:rPr>
          <w:rFonts w:ascii="Arial" w:cs="Arial" w:eastAsia="Arial" w:hAnsi="Arial"/>
          <w:sz w:val="18"/>
          <w:szCs w:val="18"/>
          <w:i w:val="1"/>
          <w:iCs w:val="1"/>
          <w:color w:val="auto"/>
        </w:rPr>
        <w:t xml:space="preserve"> </w:t>
      </w:r>
      <w:r>
        <w:rPr>
          <w:rFonts w:ascii="Arial" w:cs="Arial" w:eastAsia="Arial" w:hAnsi="Arial"/>
          <w:sz w:val="18"/>
          <w:szCs w:val="18"/>
          <w:color w:val="auto"/>
        </w:rPr>
        <w:t>program authorized by our Board of Directors, we may repurchase shares of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We resumed our stock repurchase program in the first quarter of fiscal 2023, which had been temporarily suspended in fiscal 2021 to preserve cash during the COVID-19 pandemic. During the three months ended April 30, 2022, we repurchased 0.3 million shares of our common stock for $15.0 million. As of April 30, 2022, there was $549.5 million remaining available for future stock repurchases.</w:t>
      </w:r>
    </w:p>
    <w:p>
      <w:pPr>
        <w:spacing w:after="0" w:line="218"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As of April 30, 2022, a total of 308.4 million shares have been repurchased to date under our share repurchase programs for a total $4.3 billion in cash. We returned $65.9 million to stockholders in the three months ended April 30, 2022, including our repurchases of common stock and $50.9 million in cash dividends.</w:t>
      </w:r>
    </w:p>
    <w:p>
      <w:pPr>
        <w:spacing w:after="0" w:line="209"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Subsequent to quarter end through May 20, 2022, we repurchased an additional 0.9 million shares of our common stock for $50.0 million pursuant to a 10b5-1 trading plan.</w:t>
      </w:r>
    </w:p>
    <w:p>
      <w:pPr>
        <w:spacing w:after="0" w:line="198"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and cash equivalents were $465.0 million at April 30, 2022, which was $148.5 million lower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29, 2022 of $613.5 million.</w:t>
      </w:r>
    </w:p>
    <w:p>
      <w:pPr>
        <w:spacing w:after="0" w:line="198" w:lineRule="exact"/>
        <w:rPr>
          <w:sz w:val="20"/>
          <w:szCs w:val="20"/>
          <w:color w:val="auto"/>
        </w:rPr>
      </w:pPr>
    </w:p>
    <w:p>
      <w:pPr>
        <w:ind w:right="60" w:firstLine="405"/>
        <w:spacing w:after="0" w:line="279" w:lineRule="auto"/>
        <w:rPr>
          <w:sz w:val="20"/>
          <w:szCs w:val="20"/>
          <w:color w:val="auto"/>
        </w:rPr>
      </w:pPr>
      <w:r>
        <w:rPr>
          <w:rFonts w:ascii="Arial" w:cs="Arial" w:eastAsia="Arial" w:hAnsi="Arial"/>
          <w:sz w:val="16"/>
          <w:szCs w:val="16"/>
          <w:i w:val="1"/>
          <w:iCs w:val="1"/>
          <w:color w:val="auto"/>
        </w:rPr>
        <w:t xml:space="preserve">Sales and Customer Composition. </w:t>
      </w:r>
      <w:r>
        <w:rPr>
          <w:rFonts w:ascii="Arial" w:cs="Arial" w:eastAsia="Arial" w:hAnsi="Arial"/>
          <w:sz w:val="16"/>
          <w:szCs w:val="16"/>
          <w:color w:val="auto"/>
        </w:rPr>
        <w:t>Our accounts receivable was concentrated with four customers at April 30, 2022, who comprise a total of 52% of</w:t>
      </w:r>
      <w:r>
        <w:rPr>
          <w:rFonts w:ascii="Arial" w:cs="Arial" w:eastAsia="Arial" w:hAnsi="Arial"/>
          <w:sz w:val="16"/>
          <w:szCs w:val="16"/>
          <w:i w:val="1"/>
          <w:iCs w:val="1"/>
          <w:color w:val="auto"/>
        </w:rPr>
        <w:t xml:space="preserve"> </w:t>
      </w:r>
      <w:r>
        <w:rPr>
          <w:rFonts w:ascii="Arial" w:cs="Arial" w:eastAsia="Arial" w:hAnsi="Arial"/>
          <w:sz w:val="16"/>
          <w:szCs w:val="16"/>
          <w:color w:val="auto"/>
        </w:rPr>
        <w:t>gross accounts receivable, compared with five customers at May 1, 2021, who represented 54% of gross accounts receivable, respectively. This presentation is at the customer consolidated level. During the three months ended April 30, 2022 and May 1, 2021, there was no net revenue attributable to a single customer, other than one distributor, whose revenue as a percentage of net revenue was 10% or greater of total net revenue. Net revenue attributable to a distributor whose revenue as a percentage of net revenue was 10% or greater of total net revenue is presented in the following table:</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80" w:type="dxa"/>
            <w:vAlign w:val="bottom"/>
          </w:tcPr>
          <w:p>
            <w:pPr>
              <w:spacing w:after="0"/>
              <w:rPr>
                <w:sz w:val="16"/>
                <w:szCs w:val="16"/>
                <w:color w:val="auto"/>
              </w:rPr>
            </w:pPr>
          </w:p>
        </w:tc>
        <w:tc>
          <w:tcPr>
            <w:tcW w:w="1740" w:type="dxa"/>
            <w:vAlign w:val="bottom"/>
            <w:tcBorders>
              <w:bottom w:val="single" w:sz="8" w:color="auto"/>
            </w:tcBorders>
          </w:tcPr>
          <w:p>
            <w:pPr>
              <w:spacing w:after="0"/>
              <w:rPr>
                <w:sz w:val="16"/>
                <w:szCs w:val="16"/>
                <w:color w:val="auto"/>
              </w:rPr>
            </w:pPr>
          </w:p>
        </w:tc>
        <w:tc>
          <w:tcPr>
            <w:tcW w:w="2260" w:type="dxa"/>
            <w:vAlign w:val="bottom"/>
            <w:tcBorders>
              <w:bottom w:val="single" w:sz="8" w:color="auto"/>
            </w:tcBorders>
            <w:gridSpan w:val="3"/>
          </w:tcPr>
          <w:p>
            <w:pPr>
              <w:jc w:val="right"/>
              <w:ind w:right="762"/>
              <w:spacing w:after="0"/>
              <w:rPr>
                <w:sz w:val="20"/>
                <w:szCs w:val="20"/>
                <w:color w:val="auto"/>
              </w:rPr>
            </w:pPr>
            <w:r>
              <w:rPr>
                <w:rFonts w:ascii="Arial" w:cs="Arial" w:eastAsia="Arial" w:hAnsi="Arial"/>
                <w:sz w:val="14"/>
                <w:szCs w:val="14"/>
                <w:b w:val="1"/>
                <w:bCs w:val="1"/>
                <w:color w:val="auto"/>
              </w:rPr>
              <w:t>Three Months Ended</w:t>
            </w:r>
          </w:p>
        </w:tc>
        <w:tc>
          <w:tcPr>
            <w:tcW w:w="360" w:type="dxa"/>
            <w:vAlign w:val="bottom"/>
            <w:tcBorders>
              <w:bottom w:val="single" w:sz="8" w:color="auto"/>
            </w:tcBorders>
          </w:tcPr>
          <w:p>
            <w:pPr>
              <w:spacing w:after="0"/>
              <w:rPr>
                <w:sz w:val="16"/>
                <w:szCs w:val="16"/>
                <w:color w:val="auto"/>
              </w:rPr>
            </w:pPr>
          </w:p>
        </w:tc>
      </w:tr>
      <w:tr>
        <w:trPr>
          <w:trHeight w:val="135"/>
        </w:trPr>
        <w:tc>
          <w:tcPr>
            <w:tcW w:w="6780" w:type="dxa"/>
            <w:vAlign w:val="bottom"/>
          </w:tcPr>
          <w:p>
            <w:pPr>
              <w:spacing w:after="0"/>
              <w:rPr>
                <w:sz w:val="11"/>
                <w:szCs w:val="11"/>
                <w:color w:val="auto"/>
              </w:rPr>
            </w:pPr>
          </w:p>
        </w:tc>
        <w:tc>
          <w:tcPr>
            <w:tcW w:w="1740" w:type="dxa"/>
            <w:vAlign w:val="bottom"/>
          </w:tcPr>
          <w:p>
            <w:pPr>
              <w:jc w:val="right"/>
              <w:ind w:right="22"/>
              <w:spacing w:after="0" w:line="135" w:lineRule="exact"/>
              <w:rPr>
                <w:sz w:val="20"/>
                <w:szCs w:val="20"/>
                <w:color w:val="auto"/>
              </w:rPr>
            </w:pPr>
            <w:r>
              <w:rPr>
                <w:rFonts w:ascii="Arial" w:cs="Arial" w:eastAsia="Arial" w:hAnsi="Arial"/>
                <w:sz w:val="14"/>
                <w:szCs w:val="14"/>
                <w:b w:val="1"/>
                <w:bCs w:val="1"/>
                <w:color w:val="auto"/>
              </w:rPr>
              <w:t>April 30,</w:t>
            </w: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780" w:type="dxa"/>
            <w:vAlign w:val="bottom"/>
          </w:tcPr>
          <w:p>
            <w:pPr>
              <w:jc w:val="right"/>
              <w:ind w:right="102"/>
              <w:spacing w:after="0" w:line="135" w:lineRule="exact"/>
              <w:rPr>
                <w:sz w:val="20"/>
                <w:szCs w:val="20"/>
                <w:color w:val="auto"/>
              </w:rPr>
            </w:pPr>
            <w:r>
              <w:rPr>
                <w:rFonts w:ascii="Arial" w:cs="Arial" w:eastAsia="Arial" w:hAnsi="Arial"/>
                <w:sz w:val="14"/>
                <w:szCs w:val="14"/>
                <w:b w:val="1"/>
                <w:bCs w:val="1"/>
                <w:color w:val="auto"/>
              </w:rPr>
              <w:t>May 1,</w:t>
            </w:r>
          </w:p>
        </w:tc>
        <w:tc>
          <w:tcPr>
            <w:tcW w:w="360" w:type="dxa"/>
            <w:vAlign w:val="bottom"/>
          </w:tcPr>
          <w:p>
            <w:pPr>
              <w:spacing w:after="0"/>
              <w:rPr>
                <w:sz w:val="11"/>
                <w:szCs w:val="11"/>
                <w:color w:val="auto"/>
              </w:rPr>
            </w:pPr>
          </w:p>
        </w:tc>
      </w:tr>
      <w:tr>
        <w:trPr>
          <w:trHeight w:val="188"/>
        </w:trPr>
        <w:tc>
          <w:tcPr>
            <w:tcW w:w="6780" w:type="dxa"/>
            <w:vAlign w:val="bottom"/>
            <w:tcBorders>
              <w:bottom w:val="single" w:sz="8" w:color="CCEEFF"/>
            </w:tcBorders>
          </w:tcPr>
          <w:p>
            <w:pPr>
              <w:spacing w:after="0"/>
              <w:rPr>
                <w:sz w:val="16"/>
                <w:szCs w:val="16"/>
                <w:color w:val="auto"/>
              </w:rPr>
            </w:pPr>
          </w:p>
        </w:tc>
        <w:tc>
          <w:tcPr>
            <w:tcW w:w="1740" w:type="dxa"/>
            <w:vAlign w:val="bottom"/>
            <w:tcBorders>
              <w:bottom w:val="single" w:sz="8" w:color="auto"/>
            </w:tcBorders>
          </w:tcPr>
          <w:p>
            <w:pPr>
              <w:jc w:val="right"/>
              <w:ind w:right="462"/>
              <w:spacing w:after="0"/>
              <w:rPr>
                <w:sz w:val="20"/>
                <w:szCs w:val="20"/>
                <w:color w:val="auto"/>
              </w:rPr>
            </w:pPr>
            <w:r>
              <w:rPr>
                <w:rFonts w:ascii="Arial" w:cs="Arial" w:eastAsia="Arial" w:hAnsi="Arial"/>
                <w:sz w:val="14"/>
                <w:szCs w:val="14"/>
                <w:b w:val="1"/>
                <w:bCs w:val="1"/>
                <w:color w:val="auto"/>
              </w:rPr>
              <w:t>2022</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78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2021</w:t>
            </w:r>
          </w:p>
        </w:tc>
        <w:tc>
          <w:tcPr>
            <w:tcW w:w="360" w:type="dxa"/>
            <w:vAlign w:val="bottom"/>
            <w:tcBorders>
              <w:bottom w:val="single" w:sz="8" w:color="auto"/>
            </w:tcBorders>
          </w:tcPr>
          <w:p>
            <w:pPr>
              <w:spacing w:after="0"/>
              <w:rPr>
                <w:sz w:val="16"/>
                <w:szCs w:val="16"/>
                <w:color w:val="auto"/>
              </w:rPr>
            </w:pPr>
          </w:p>
        </w:tc>
      </w:tr>
      <w:tr>
        <w:trPr>
          <w:trHeight w:val="211"/>
        </w:trPr>
        <w:tc>
          <w:tcPr>
            <w:tcW w:w="6780" w:type="dxa"/>
            <w:vAlign w:val="bottom"/>
            <w:shd w:val="clear" w:color="auto" w:fill="CCEEFF"/>
          </w:tcPr>
          <w:p>
            <w:pPr>
              <w:ind w:left="680"/>
              <w:spacing w:after="0"/>
              <w:rPr>
                <w:sz w:val="20"/>
                <w:szCs w:val="20"/>
                <w:color w:val="auto"/>
              </w:rPr>
            </w:pPr>
            <w:r>
              <w:rPr>
                <w:rFonts w:ascii="Arial" w:cs="Arial" w:eastAsia="Arial" w:hAnsi="Arial"/>
                <w:sz w:val="18"/>
                <w:szCs w:val="18"/>
                <w:b w:val="1"/>
                <w:bCs w:val="1"/>
                <w:color w:val="auto"/>
              </w:rPr>
              <w:t>Distributor:</w:t>
            </w:r>
          </w:p>
        </w:tc>
        <w:tc>
          <w:tcPr>
            <w:tcW w:w="17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7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r>
      <w:tr>
        <w:trPr>
          <w:trHeight w:val="230"/>
        </w:trPr>
        <w:tc>
          <w:tcPr>
            <w:tcW w:w="6780" w:type="dxa"/>
            <w:vAlign w:val="bottom"/>
          </w:tcPr>
          <w:p>
            <w:pPr>
              <w:ind w:left="1000"/>
              <w:spacing w:after="0"/>
              <w:rPr>
                <w:sz w:val="20"/>
                <w:szCs w:val="20"/>
                <w:color w:val="auto"/>
              </w:rPr>
            </w:pPr>
            <w:r>
              <w:rPr>
                <w:rFonts w:ascii="Arial" w:cs="Arial" w:eastAsia="Arial" w:hAnsi="Arial"/>
                <w:sz w:val="18"/>
                <w:szCs w:val="18"/>
                <w:color w:val="auto"/>
              </w:rPr>
              <w:t>Distributor A</w:t>
            </w:r>
          </w:p>
        </w:tc>
        <w:tc>
          <w:tcPr>
            <w:tcW w:w="1740" w:type="dxa"/>
            <w:vAlign w:val="bottom"/>
          </w:tcPr>
          <w:p>
            <w:pPr>
              <w:jc w:val="right"/>
              <w:ind w:right="422"/>
              <w:spacing w:after="0"/>
              <w:rPr>
                <w:sz w:val="20"/>
                <w:szCs w:val="20"/>
                <w:color w:val="auto"/>
              </w:rPr>
            </w:pPr>
            <w:r>
              <w:rPr>
                <w:rFonts w:ascii="Arial" w:cs="Arial" w:eastAsia="Arial" w:hAnsi="Arial"/>
                <w:sz w:val="18"/>
                <w:szCs w:val="18"/>
                <w:color w:val="auto"/>
              </w:rPr>
              <w:t>19</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780" w:type="dxa"/>
            <w:vAlign w:val="bottom"/>
          </w:tcPr>
          <w:p>
            <w:pPr>
              <w:jc w:val="right"/>
              <w:ind w:right="442"/>
              <w:spacing w:after="0"/>
              <w:rPr>
                <w:sz w:val="20"/>
                <w:szCs w:val="20"/>
                <w:color w:val="auto"/>
              </w:rPr>
            </w:pPr>
            <w:r>
              <w:rPr>
                <w:rFonts w:ascii="Arial" w:cs="Arial" w:eastAsia="Arial" w:hAnsi="Arial"/>
                <w:sz w:val="18"/>
                <w:szCs w:val="18"/>
                <w:color w:val="auto"/>
              </w:rPr>
              <w:t>19</w:t>
            </w: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r>
    </w:tbl>
    <w:p>
      <w:pPr>
        <w:spacing w:after="0" w:line="322" w:lineRule="exact"/>
        <w:rPr>
          <w:sz w:val="20"/>
          <w:szCs w:val="20"/>
          <w:color w:val="auto"/>
        </w:rPr>
      </w:pPr>
    </w:p>
    <w:p>
      <w:pPr>
        <w:ind w:right="320" w:firstLine="405"/>
        <w:spacing w:after="0" w:line="261" w:lineRule="auto"/>
        <w:rPr>
          <w:sz w:val="20"/>
          <w:szCs w:val="20"/>
          <w:color w:val="auto"/>
        </w:rPr>
      </w:pPr>
      <w:r>
        <w:rPr>
          <w:rFonts w:ascii="Arial" w:cs="Arial" w:eastAsia="Arial" w:hAnsi="Arial"/>
          <w:sz w:val="18"/>
          <w:szCs w:val="18"/>
          <w:color w:val="auto"/>
        </w:rPr>
        <w:t>We continuously monitor the creditworthiness of our customers and distributors and believe these distributors’ sales to diverse end customers and geographies further serve to mitigate our exposure to credit risk.</w:t>
      </w:r>
    </w:p>
    <w:p>
      <w:pPr>
        <w:spacing w:after="0" w:line="198" w:lineRule="exact"/>
        <w:rPr>
          <w:sz w:val="20"/>
          <w:szCs w:val="20"/>
          <w:color w:val="auto"/>
        </w:rPr>
      </w:pPr>
    </w:p>
    <w:p>
      <w:pPr>
        <w:ind w:firstLine="405"/>
        <w:spacing w:after="0" w:line="238" w:lineRule="auto"/>
        <w:rPr>
          <w:sz w:val="20"/>
          <w:szCs w:val="20"/>
          <w:color w:val="auto"/>
        </w:rPr>
      </w:pPr>
      <w:r>
        <w:rPr>
          <w:rFonts w:ascii="Arial" w:cs="Arial" w:eastAsia="Arial" w:hAnsi="Arial"/>
          <w:sz w:val="18"/>
          <w:szCs w:val="18"/>
          <w:color w:val="auto"/>
        </w:rPr>
        <w:t>Most of our sales are made to customers located outside of the United States, primarily in Asia, and majority of our products are manufactured outside the United States. Sales shipped to customers with operations in Asia represented approximately 75% of our net revenue in the three months ended April 30, 2022, and approximately 80% of net revenue in the three months ended May 1, 2021.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8"/>
          <w:szCs w:val="18"/>
          <w:i w:val="1"/>
          <w:iCs w:val="1"/>
          <w:color w:val="auto"/>
        </w:rPr>
        <w:t>We</w:t>
      </w:r>
      <w:r>
        <w:rPr>
          <w:rFonts w:ascii="Arial" w:cs="Arial" w:eastAsia="Arial" w:hAnsi="Arial"/>
          <w:sz w:val="18"/>
          <w:szCs w:val="18"/>
          <w:color w:val="auto"/>
        </w:rPr>
        <w:t xml:space="preserve"> </w:t>
      </w:r>
      <w:r>
        <w:rPr>
          <w:rFonts w:ascii="Arial" w:cs="Arial" w:eastAsia="Arial" w:hAnsi="Arial"/>
          <w:sz w:val="18"/>
          <w:szCs w:val="18"/>
          <w:i w:val="1"/>
          <w:iCs w:val="1"/>
          <w:color w:val="auto"/>
        </w:rPr>
        <w:t>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221" w:lineRule="exact"/>
        <w:rPr>
          <w:sz w:val="20"/>
          <w:szCs w:val="20"/>
          <w:color w:val="auto"/>
        </w:rPr>
      </w:pPr>
    </w:p>
    <w:p>
      <w:pPr>
        <w:ind w:right="140" w:firstLine="405"/>
        <w:spacing w:after="0"/>
        <w:rPr>
          <w:sz w:val="20"/>
          <w:szCs w:val="20"/>
          <w:color w:val="auto"/>
        </w:rPr>
      </w:pPr>
      <w:r>
        <w:rPr>
          <w:rFonts w:ascii="Arial" w:cs="Arial" w:eastAsia="Arial" w:hAnsi="Arial"/>
          <w:sz w:val="18"/>
          <w:szCs w:val="18"/>
          <w:color w:val="auto"/>
        </w:rPr>
        <w:t>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rFonts w:ascii="Arial" w:cs="Arial" w:eastAsia="Arial" w:hAnsi="Arial"/>
          <w:sz w:val="18"/>
          <w:szCs w:val="18"/>
          <w:i w:val="1"/>
          <w:iCs w:val="1"/>
          <w:color w:val="auto"/>
        </w:rPr>
        <w:t>We are subject to order and shipment</w:t>
      </w:r>
      <w:r>
        <w:rPr>
          <w:rFonts w:ascii="Arial" w:cs="Arial" w:eastAsia="Arial" w:hAnsi="Arial"/>
          <w:sz w:val="18"/>
          <w:szCs w:val="18"/>
          <w:color w:val="auto"/>
        </w:rPr>
        <w:t xml:space="preserve"> </w:t>
      </w:r>
      <w:r>
        <w:rPr>
          <w:rFonts w:ascii="Arial" w:cs="Arial" w:eastAsia="Arial" w:hAnsi="Arial"/>
          <w:sz w:val="18"/>
          <w:szCs w:val="18"/>
          <w:i w:val="1"/>
          <w:iCs w:val="1"/>
          <w:color w:val="auto"/>
        </w:rPr>
        <w:t>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3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0" w:name="page31"/>
    <w:bookmarkEnd w:id="3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There have been no material changes during the three months ended April 30, 2022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29, 2022.</w:t>
      </w:r>
    </w:p>
    <w:p>
      <w:pPr>
        <w:spacing w:after="0" w:line="209" w:lineRule="exact"/>
        <w:rPr>
          <w:sz w:val="20"/>
          <w:szCs w:val="20"/>
          <w:color w:val="auto"/>
        </w:rPr>
      </w:pPr>
    </w:p>
    <w:p>
      <w:pPr>
        <w:ind w:right="440" w:firstLine="405"/>
        <w:spacing w:after="0" w:line="248" w:lineRule="auto"/>
        <w:rPr>
          <w:sz w:val="20"/>
          <w:szCs w:val="20"/>
          <w:color w:val="auto"/>
        </w:rPr>
      </w:pPr>
      <w:r>
        <w:rPr>
          <w:rFonts w:ascii="Arial" w:cs="Arial" w:eastAsia="Arial" w:hAnsi="Arial"/>
          <w:sz w:val="18"/>
          <w:szCs w:val="18"/>
          <w:color w:val="auto"/>
        </w:rPr>
        <w:t>In the current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right="140" w:firstLine="405"/>
        <w:spacing w:after="0" w:line="253"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7900" w:type="dxa"/>
            <w:vAlign w:val="bottom"/>
          </w:tcPr>
          <w:p>
            <w:pPr>
              <w:spacing w:after="0"/>
              <w:rPr>
                <w:sz w:val="16"/>
                <w:szCs w:val="16"/>
                <w:color w:val="auto"/>
              </w:rPr>
            </w:pPr>
          </w:p>
        </w:tc>
        <w:tc>
          <w:tcPr>
            <w:tcW w:w="3300" w:type="dxa"/>
            <w:vAlign w:val="bottom"/>
            <w:gridSpan w:val="4"/>
          </w:tcPr>
          <w:p>
            <w:pPr>
              <w:ind w:left="940"/>
              <w:spacing w:after="0"/>
              <w:rPr>
                <w:sz w:val="20"/>
                <w:szCs w:val="20"/>
                <w:color w:val="auto"/>
              </w:rPr>
            </w:pPr>
            <w:r>
              <w:rPr>
                <w:rFonts w:ascii="Arial" w:cs="Arial" w:eastAsia="Arial" w:hAnsi="Arial"/>
                <w:sz w:val="14"/>
                <w:szCs w:val="14"/>
                <w:b w:val="1"/>
                <w:bCs w:val="1"/>
                <w:color w:val="auto"/>
              </w:rPr>
              <w:t>Three Months Ended</w:t>
            </w:r>
          </w:p>
        </w:tc>
      </w:tr>
      <w:tr>
        <w:trPr>
          <w:trHeight w:val="135"/>
        </w:trPr>
        <w:tc>
          <w:tcPr>
            <w:tcW w:w="7900" w:type="dxa"/>
            <w:vAlign w:val="bottom"/>
          </w:tcPr>
          <w:p>
            <w:pPr>
              <w:spacing w:after="0"/>
              <w:rPr>
                <w:sz w:val="11"/>
                <w:szCs w:val="11"/>
                <w:color w:val="auto"/>
              </w:rPr>
            </w:pPr>
          </w:p>
        </w:tc>
        <w:tc>
          <w:tcPr>
            <w:tcW w:w="1660" w:type="dxa"/>
            <w:vAlign w:val="bottom"/>
            <w:tcBorders>
              <w:top w:val="single" w:sz="8" w:color="auto"/>
            </w:tcBorders>
            <w:gridSpan w:val="2"/>
          </w:tcPr>
          <w:p>
            <w:pPr>
              <w:ind w:left="500"/>
              <w:spacing w:after="0" w:line="135" w:lineRule="exact"/>
              <w:rPr>
                <w:sz w:val="20"/>
                <w:szCs w:val="20"/>
                <w:color w:val="auto"/>
              </w:rPr>
            </w:pPr>
            <w:r>
              <w:rPr>
                <w:rFonts w:ascii="Arial" w:cs="Arial" w:eastAsia="Arial" w:hAnsi="Arial"/>
                <w:sz w:val="14"/>
                <w:szCs w:val="14"/>
                <w:b w:val="1"/>
                <w:bCs w:val="1"/>
                <w:color w:val="auto"/>
              </w:rPr>
              <w:t>April 30,</w:t>
            </w:r>
          </w:p>
        </w:tc>
        <w:tc>
          <w:tcPr>
            <w:tcW w:w="1540" w:type="dxa"/>
            <w:vAlign w:val="bottom"/>
            <w:tcBorders>
              <w:top w:val="single" w:sz="8" w:color="auto"/>
            </w:tcBorders>
          </w:tcPr>
          <w:p>
            <w:pPr>
              <w:jc w:val="right"/>
              <w:ind w:right="472"/>
              <w:spacing w:after="0" w:line="135" w:lineRule="exact"/>
              <w:rPr>
                <w:sz w:val="20"/>
                <w:szCs w:val="20"/>
                <w:color w:val="auto"/>
              </w:rPr>
            </w:pPr>
            <w:r>
              <w:rPr>
                <w:rFonts w:ascii="Arial" w:cs="Arial" w:eastAsia="Arial" w:hAnsi="Arial"/>
                <w:sz w:val="14"/>
                <w:szCs w:val="14"/>
                <w:b w:val="1"/>
                <w:bCs w:val="1"/>
                <w:color w:val="auto"/>
              </w:rPr>
              <w:t>May 1,</w:t>
            </w:r>
          </w:p>
        </w:tc>
        <w:tc>
          <w:tcPr>
            <w:tcW w:w="100" w:type="dxa"/>
            <w:vAlign w:val="bottom"/>
          </w:tcPr>
          <w:p>
            <w:pPr>
              <w:spacing w:after="0"/>
              <w:rPr>
                <w:sz w:val="11"/>
                <w:szCs w:val="11"/>
                <w:color w:val="auto"/>
              </w:rPr>
            </w:pPr>
          </w:p>
        </w:tc>
      </w:tr>
      <w:tr>
        <w:trPr>
          <w:trHeight w:val="188"/>
        </w:trPr>
        <w:tc>
          <w:tcPr>
            <w:tcW w:w="790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533"/>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540" w:type="dxa"/>
            <w:vAlign w:val="bottom"/>
            <w:tcBorders>
              <w:bottom w:val="single" w:sz="8" w:color="auto"/>
            </w:tcBorders>
          </w:tcPr>
          <w:p>
            <w:pPr>
              <w:jc w:val="right"/>
              <w:ind w:right="532"/>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r>
      <w:tr>
        <w:trPr>
          <w:trHeight w:val="224"/>
        </w:trPr>
        <w:tc>
          <w:tcPr>
            <w:tcW w:w="7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r>
      <w:tr>
        <w:trPr>
          <w:trHeight w:val="230"/>
        </w:trPr>
        <w:tc>
          <w:tcPr>
            <w:tcW w:w="79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154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48.1</w:t>
            </w:r>
          </w:p>
        </w:tc>
        <w:tc>
          <w:tcPr>
            <w:tcW w:w="12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49.8</w:t>
            </w:r>
          </w:p>
        </w:tc>
        <w:tc>
          <w:tcPr>
            <w:tcW w:w="100" w:type="dxa"/>
            <w:vAlign w:val="bottom"/>
            <w:tcBorders>
              <w:bottom w:val="single" w:sz="8" w:color="CCEEFF"/>
            </w:tcBorders>
          </w:tcPr>
          <w:p>
            <w:pPr>
              <w:spacing w:after="0"/>
              <w:rPr>
                <w:sz w:val="19"/>
                <w:szCs w:val="19"/>
                <w:color w:val="auto"/>
              </w:rPr>
            </w:pPr>
          </w:p>
        </w:tc>
      </w:tr>
      <w:tr>
        <w:trPr>
          <w:trHeight w:val="223"/>
        </w:trPr>
        <w:tc>
          <w:tcPr>
            <w:tcW w:w="7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154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51.9</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50.2</w:t>
            </w:r>
          </w:p>
        </w:tc>
        <w:tc>
          <w:tcPr>
            <w:tcW w:w="100" w:type="dxa"/>
            <w:vAlign w:val="bottom"/>
            <w:shd w:val="clear" w:color="auto" w:fill="CCEEFF"/>
          </w:tcPr>
          <w:p>
            <w:pPr>
              <w:spacing w:after="0"/>
              <w:rPr>
                <w:sz w:val="19"/>
                <w:szCs w:val="19"/>
                <w:color w:val="auto"/>
              </w:rPr>
            </w:pPr>
          </w:p>
        </w:tc>
      </w:tr>
      <w:tr>
        <w:trPr>
          <w:trHeight w:val="230"/>
        </w:trPr>
        <w:tc>
          <w:tcPr>
            <w:tcW w:w="79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15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29"/>
        </w:trPr>
        <w:tc>
          <w:tcPr>
            <w:tcW w:w="79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54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30.7</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34.4</w:t>
            </w:r>
          </w:p>
        </w:tc>
        <w:tc>
          <w:tcPr>
            <w:tcW w:w="100" w:type="dxa"/>
            <w:vAlign w:val="bottom"/>
            <w:shd w:val="clear" w:color="auto" w:fill="CCEEFF"/>
          </w:tcPr>
          <w:p>
            <w:pPr>
              <w:spacing w:after="0"/>
              <w:rPr>
                <w:sz w:val="19"/>
                <w:szCs w:val="19"/>
                <w:color w:val="auto"/>
              </w:rPr>
            </w:pPr>
          </w:p>
        </w:tc>
      </w:tr>
      <w:tr>
        <w:trPr>
          <w:trHeight w:val="229"/>
        </w:trPr>
        <w:tc>
          <w:tcPr>
            <w:tcW w:w="79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1540" w:type="dxa"/>
            <w:vAlign w:val="bottom"/>
          </w:tcPr>
          <w:p>
            <w:pPr>
              <w:jc w:val="right"/>
              <w:ind w:right="133"/>
              <w:spacing w:after="0"/>
              <w:rPr>
                <w:sz w:val="20"/>
                <w:szCs w:val="20"/>
                <w:color w:val="auto"/>
              </w:rPr>
            </w:pPr>
            <w:r>
              <w:rPr>
                <w:rFonts w:ascii="Arial" w:cs="Arial" w:eastAsia="Arial" w:hAnsi="Arial"/>
                <w:sz w:val="18"/>
                <w:szCs w:val="18"/>
                <w:color w:val="auto"/>
              </w:rPr>
              <w:t>16.3</w:t>
            </w:r>
          </w:p>
        </w:tc>
        <w:tc>
          <w:tcPr>
            <w:tcW w:w="120" w:type="dxa"/>
            <w:vAlign w:val="bottom"/>
          </w:tcPr>
          <w:p>
            <w:pPr>
              <w:spacing w:after="0"/>
              <w:rPr>
                <w:sz w:val="19"/>
                <w:szCs w:val="19"/>
                <w:color w:val="auto"/>
              </w:rPr>
            </w:pPr>
          </w:p>
        </w:tc>
        <w:tc>
          <w:tcPr>
            <w:tcW w:w="1540" w:type="dxa"/>
            <w:vAlign w:val="bottom"/>
          </w:tcPr>
          <w:p>
            <w:pPr>
              <w:jc w:val="right"/>
              <w:ind w:right="132"/>
              <w:spacing w:after="0"/>
              <w:rPr>
                <w:sz w:val="20"/>
                <w:szCs w:val="20"/>
                <w:color w:val="auto"/>
              </w:rPr>
            </w:pPr>
            <w:r>
              <w:rPr>
                <w:rFonts w:ascii="Arial" w:cs="Arial" w:eastAsia="Arial" w:hAnsi="Arial"/>
                <w:sz w:val="18"/>
                <w:szCs w:val="18"/>
                <w:color w:val="auto"/>
              </w:rPr>
              <w:t>24.2</w:t>
            </w:r>
          </w:p>
        </w:tc>
        <w:tc>
          <w:tcPr>
            <w:tcW w:w="100" w:type="dxa"/>
            <w:vAlign w:val="bottom"/>
          </w:tcPr>
          <w:p>
            <w:pPr>
              <w:spacing w:after="0"/>
              <w:rPr>
                <w:sz w:val="19"/>
                <w:szCs w:val="19"/>
                <w:color w:val="auto"/>
              </w:rPr>
            </w:pPr>
          </w:p>
        </w:tc>
      </w:tr>
      <w:tr>
        <w:trPr>
          <w:trHeight w:val="230"/>
        </w:trPr>
        <w:tc>
          <w:tcPr>
            <w:tcW w:w="79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Restructuring related charges</w:t>
            </w:r>
          </w:p>
        </w:tc>
        <w:tc>
          <w:tcPr>
            <w:tcW w:w="1540" w:type="dxa"/>
            <w:vAlign w:val="bottom"/>
            <w:tcBorders>
              <w:bottom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9"/>
                <w:szCs w:val="19"/>
                <w:color w:val="auto"/>
              </w:rPr>
            </w:pPr>
          </w:p>
        </w:tc>
        <w:tc>
          <w:tcPr>
            <w:tcW w:w="154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1.5</w:t>
            </w:r>
          </w:p>
        </w:tc>
        <w:tc>
          <w:tcPr>
            <w:tcW w:w="100" w:type="dxa"/>
            <w:vAlign w:val="bottom"/>
            <w:shd w:val="clear" w:color="auto" w:fill="CCEEFF"/>
          </w:tcPr>
          <w:p>
            <w:pPr>
              <w:spacing w:after="0"/>
              <w:rPr>
                <w:sz w:val="19"/>
                <w:szCs w:val="19"/>
                <w:color w:val="auto"/>
              </w:rPr>
            </w:pPr>
          </w:p>
        </w:tc>
      </w:tr>
      <w:tr>
        <w:trPr>
          <w:trHeight w:val="223"/>
        </w:trPr>
        <w:tc>
          <w:tcPr>
            <w:tcW w:w="79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operating expenses</w:t>
            </w:r>
          </w:p>
        </w:tc>
        <w:tc>
          <w:tcPr>
            <w:tcW w:w="154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47.1</w:t>
            </w:r>
          </w:p>
        </w:tc>
        <w:tc>
          <w:tcPr>
            <w:tcW w:w="12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60.1</w:t>
            </w:r>
          </w:p>
        </w:tc>
        <w:tc>
          <w:tcPr>
            <w:tcW w:w="100" w:type="dxa"/>
            <w:vAlign w:val="bottom"/>
            <w:tcBorders>
              <w:bottom w:val="single" w:sz="8" w:color="CCEEFF"/>
            </w:tcBorders>
          </w:tcPr>
          <w:p>
            <w:pPr>
              <w:spacing w:after="0"/>
              <w:rPr>
                <w:sz w:val="19"/>
                <w:szCs w:val="19"/>
                <w:color w:val="auto"/>
              </w:rPr>
            </w:pPr>
          </w:p>
        </w:tc>
      </w:tr>
      <w:tr>
        <w:trPr>
          <w:trHeight w:val="223"/>
        </w:trPr>
        <w:tc>
          <w:tcPr>
            <w:tcW w:w="7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Operating income (loss)</w:t>
            </w:r>
          </w:p>
        </w:tc>
        <w:tc>
          <w:tcPr>
            <w:tcW w:w="154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4.8</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(9.9)</w:t>
            </w:r>
          </w:p>
        </w:tc>
        <w:tc>
          <w:tcPr>
            <w:tcW w:w="100" w:type="dxa"/>
            <w:vAlign w:val="bottom"/>
            <w:shd w:val="clear" w:color="auto" w:fill="CCEEFF"/>
          </w:tcPr>
          <w:p>
            <w:pPr>
              <w:spacing w:after="0"/>
              <w:rPr>
                <w:sz w:val="19"/>
                <w:szCs w:val="19"/>
                <w:color w:val="auto"/>
              </w:rPr>
            </w:pPr>
          </w:p>
        </w:tc>
      </w:tr>
      <w:tr>
        <w:trPr>
          <w:trHeight w:val="230"/>
        </w:trPr>
        <w:tc>
          <w:tcPr>
            <w:tcW w:w="7900" w:type="dxa"/>
            <w:vAlign w:val="bottom"/>
          </w:tcPr>
          <w:p>
            <w:pPr>
              <w:ind w:left="20"/>
              <w:spacing w:after="0"/>
              <w:rPr>
                <w:sz w:val="20"/>
                <w:szCs w:val="20"/>
                <w:color w:val="auto"/>
              </w:rPr>
            </w:pPr>
            <w:r>
              <w:rPr>
                <w:rFonts w:ascii="Arial" w:cs="Arial" w:eastAsia="Arial" w:hAnsi="Arial"/>
                <w:sz w:val="18"/>
                <w:szCs w:val="18"/>
                <w:color w:val="auto"/>
              </w:rPr>
              <w:t>Interest income</w:t>
            </w:r>
          </w:p>
        </w:tc>
        <w:tc>
          <w:tcPr>
            <w:tcW w:w="16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6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r>
      <w:tr>
        <w:trPr>
          <w:trHeight w:val="230"/>
        </w:trPr>
        <w:tc>
          <w:tcPr>
            <w:tcW w:w="7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154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(2.5)</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(4.2)</w:t>
            </w:r>
          </w:p>
        </w:tc>
        <w:tc>
          <w:tcPr>
            <w:tcW w:w="100" w:type="dxa"/>
            <w:vAlign w:val="bottom"/>
            <w:shd w:val="clear" w:color="auto" w:fill="CCEEFF"/>
          </w:tcPr>
          <w:p>
            <w:pPr>
              <w:spacing w:after="0"/>
              <w:rPr>
                <w:sz w:val="19"/>
                <w:szCs w:val="19"/>
                <w:color w:val="auto"/>
              </w:rPr>
            </w:pPr>
          </w:p>
        </w:tc>
      </w:tr>
      <w:tr>
        <w:trPr>
          <w:trHeight w:val="229"/>
        </w:trPr>
        <w:tc>
          <w:tcPr>
            <w:tcW w:w="79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income, net</w:t>
            </w:r>
          </w:p>
        </w:tc>
        <w:tc>
          <w:tcPr>
            <w:tcW w:w="154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0.4</w:t>
            </w:r>
          </w:p>
        </w:tc>
        <w:tc>
          <w:tcPr>
            <w:tcW w:w="12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tcPr>
          <w:p>
            <w:pPr>
              <w:spacing w:after="0"/>
              <w:rPr>
                <w:sz w:val="19"/>
                <w:szCs w:val="19"/>
                <w:color w:val="auto"/>
              </w:rPr>
            </w:pPr>
          </w:p>
        </w:tc>
      </w:tr>
      <w:tr>
        <w:trPr>
          <w:trHeight w:val="223"/>
        </w:trPr>
        <w:tc>
          <w:tcPr>
            <w:tcW w:w="7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1540" w:type="dxa"/>
            <w:vAlign w:val="bottom"/>
            <w:shd w:val="clear" w:color="auto" w:fill="CCEEFF"/>
          </w:tcPr>
          <w:p>
            <w:pPr>
              <w:jc w:val="right"/>
              <w:ind w:right="133"/>
              <w:spacing w:after="0"/>
              <w:rPr>
                <w:sz w:val="20"/>
                <w:szCs w:val="20"/>
                <w:color w:val="auto"/>
              </w:rPr>
            </w:pPr>
            <w:r>
              <w:rPr>
                <w:rFonts w:ascii="Arial" w:cs="Arial" w:eastAsia="Arial" w:hAnsi="Arial"/>
                <w:sz w:val="18"/>
                <w:szCs w:val="18"/>
                <w:color w:val="auto"/>
              </w:rPr>
              <w:t>2.7</w:t>
            </w:r>
          </w:p>
        </w:tc>
        <w:tc>
          <w:tcPr>
            <w:tcW w:w="120" w:type="dxa"/>
            <w:vAlign w:val="bottom"/>
            <w:shd w:val="clear" w:color="auto" w:fill="CCEEFF"/>
          </w:tcPr>
          <w:p>
            <w:pPr>
              <w:spacing w:after="0"/>
              <w:rPr>
                <w:sz w:val="19"/>
                <w:szCs w:val="19"/>
                <w:color w:val="auto"/>
              </w:rPr>
            </w:pPr>
          </w:p>
        </w:tc>
        <w:tc>
          <w:tcPr>
            <w:tcW w:w="154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rPr>
              <w:t>(14.0)</w:t>
            </w:r>
          </w:p>
        </w:tc>
        <w:tc>
          <w:tcPr>
            <w:tcW w:w="100" w:type="dxa"/>
            <w:vAlign w:val="bottom"/>
            <w:shd w:val="clear" w:color="auto" w:fill="CCEEFF"/>
          </w:tcPr>
          <w:p>
            <w:pPr>
              <w:spacing w:after="0"/>
              <w:rPr>
                <w:sz w:val="19"/>
                <w:szCs w:val="19"/>
                <w:color w:val="auto"/>
              </w:rPr>
            </w:pPr>
          </w:p>
        </w:tc>
      </w:tr>
      <w:tr>
        <w:trPr>
          <w:trHeight w:val="230"/>
        </w:trPr>
        <w:tc>
          <w:tcPr>
            <w:tcW w:w="79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1540" w:type="dxa"/>
            <w:vAlign w:val="bottom"/>
            <w:tcBorders>
              <w:bottom w:val="single" w:sz="8" w:color="auto"/>
            </w:tcBorders>
          </w:tcPr>
          <w:p>
            <w:pPr>
              <w:jc w:val="right"/>
              <w:ind w:right="133"/>
              <w:spacing w:after="0"/>
              <w:rPr>
                <w:sz w:val="20"/>
                <w:szCs w:val="20"/>
                <w:color w:val="auto"/>
              </w:rPr>
            </w:pPr>
            <w:r>
              <w:rPr>
                <w:rFonts w:ascii="Arial" w:cs="Arial" w:eastAsia="Arial" w:hAnsi="Arial"/>
                <w:sz w:val="18"/>
                <w:szCs w:val="18"/>
                <w:color w:val="auto"/>
              </w:rPr>
              <w:t>14.2</w:t>
            </w:r>
          </w:p>
        </w:tc>
        <w:tc>
          <w:tcPr>
            <w:tcW w:w="120" w:type="dxa"/>
            <w:vAlign w:val="bottom"/>
            <w:tcBorders>
              <w:bottom w:val="single" w:sz="8" w:color="CCEEFF"/>
            </w:tcBorders>
          </w:tcPr>
          <w:p>
            <w:pPr>
              <w:spacing w:after="0"/>
              <w:rPr>
                <w:sz w:val="19"/>
                <w:szCs w:val="19"/>
                <w:color w:val="auto"/>
              </w:rPr>
            </w:pPr>
          </w:p>
        </w:tc>
        <w:tc>
          <w:tcPr>
            <w:tcW w:w="1540" w:type="dxa"/>
            <w:vAlign w:val="bottom"/>
            <w:tcBorders>
              <w:bottom w:val="single" w:sz="8" w:color="auto"/>
            </w:tcBorders>
          </w:tcPr>
          <w:p>
            <w:pPr>
              <w:jc w:val="right"/>
              <w:ind w:right="72"/>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tcPr>
          <w:p>
            <w:pPr>
              <w:spacing w:after="0"/>
              <w:rPr>
                <w:sz w:val="19"/>
                <w:szCs w:val="19"/>
                <w:color w:val="auto"/>
              </w:rPr>
            </w:pPr>
          </w:p>
        </w:tc>
      </w:tr>
      <w:tr>
        <w:trPr>
          <w:trHeight w:val="248"/>
        </w:trPr>
        <w:tc>
          <w:tcPr>
            <w:tcW w:w="7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w:t>
            </w:r>
          </w:p>
        </w:tc>
        <w:tc>
          <w:tcPr>
            <w:tcW w:w="100" w:type="dxa"/>
            <w:vAlign w:val="bottom"/>
            <w:tcBorders>
              <w:bottom w:val="single" w:sz="8" w:color="CCEEFF"/>
            </w:tcBorders>
            <w:shd w:val="clear" w:color="auto" w:fill="CCEEFF"/>
          </w:tcPr>
          <w:p>
            <w:pPr>
              <w:spacing w:after="0"/>
              <w:rPr>
                <w:sz w:val="21"/>
                <w:szCs w:val="21"/>
                <w:color w:val="auto"/>
              </w:rPr>
            </w:pPr>
          </w:p>
        </w:tc>
      </w:tr>
      <w:tr>
        <w:trPr>
          <w:trHeight w:val="20"/>
        </w:trPr>
        <w:tc>
          <w:tcPr>
            <w:tcW w:w="79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April 30, 2022 and May 1, 2021</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7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3080" w:type="dxa"/>
            <w:vAlign w:val="bottom"/>
            <w:tcBorders>
              <w:bottom w:val="single" w:sz="8" w:color="auto"/>
            </w:tcBorders>
            <w:gridSpan w:val="6"/>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1120" w:type="dxa"/>
            <w:vAlign w:val="bottom"/>
            <w:tcBorders>
              <w:bottom w:val="single" w:sz="8" w:color="auto"/>
            </w:tcBorders>
          </w:tcPr>
          <w:p>
            <w:pPr>
              <w:spacing w:after="0"/>
              <w:rPr>
                <w:sz w:val="16"/>
                <w:szCs w:val="16"/>
                <w:color w:val="auto"/>
              </w:rPr>
            </w:pPr>
          </w:p>
        </w:tc>
      </w:tr>
      <w:tr>
        <w:trPr>
          <w:trHeight w:val="135"/>
        </w:trPr>
        <w:tc>
          <w:tcPr>
            <w:tcW w:w="6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7"/>
              </w:rPr>
              <w:t>April 30,</w:t>
            </w:r>
          </w:p>
        </w:tc>
        <w:tc>
          <w:tcPr>
            <w:tcW w:w="300" w:type="dxa"/>
            <w:vAlign w:val="bottom"/>
          </w:tcPr>
          <w:p>
            <w:pPr>
              <w:spacing w:after="0"/>
              <w:rPr>
                <w:sz w:val="11"/>
                <w:szCs w:val="11"/>
                <w:color w:val="auto"/>
              </w:rPr>
            </w:pPr>
          </w:p>
        </w:tc>
        <w:tc>
          <w:tcPr>
            <w:tcW w:w="1540" w:type="dxa"/>
            <w:vAlign w:val="bottom"/>
            <w:gridSpan w:val="3"/>
          </w:tcPr>
          <w:p>
            <w:pPr>
              <w:jc w:val="center"/>
              <w:ind w:right="700"/>
              <w:spacing w:after="0" w:line="135" w:lineRule="exact"/>
              <w:rPr>
                <w:sz w:val="20"/>
                <w:szCs w:val="20"/>
                <w:color w:val="auto"/>
              </w:rPr>
            </w:pPr>
            <w:r>
              <w:rPr>
                <w:rFonts w:ascii="Arial" w:cs="Arial" w:eastAsia="Arial" w:hAnsi="Arial"/>
                <w:sz w:val="14"/>
                <w:szCs w:val="14"/>
                <w:b w:val="1"/>
                <w:bCs w:val="1"/>
                <w:color w:val="auto"/>
              </w:rPr>
              <w:t>May 1,</w:t>
            </w:r>
          </w:p>
        </w:tc>
        <w:tc>
          <w:tcPr>
            <w:tcW w:w="1120" w:type="dxa"/>
            <w:vAlign w:val="bottom"/>
          </w:tcPr>
          <w:p>
            <w:pPr>
              <w:jc w:val="right"/>
              <w:ind w:right="56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67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222"/>
              <w:spacing w:after="0"/>
              <w:rPr>
                <w:sz w:val="20"/>
                <w:szCs w:val="20"/>
                <w:color w:val="auto"/>
              </w:rPr>
            </w:pPr>
            <w:r>
              <w:rPr>
                <w:rFonts w:ascii="Arial" w:cs="Arial" w:eastAsia="Arial" w:hAnsi="Arial"/>
                <w:sz w:val="14"/>
                <w:szCs w:val="14"/>
                <w:b w:val="1"/>
                <w:bCs w:val="1"/>
                <w:color w:val="auto"/>
                <w:w w:val="89"/>
              </w:rPr>
              <w:t>2021</w:t>
            </w:r>
          </w:p>
        </w:tc>
        <w:tc>
          <w:tcPr>
            <w:tcW w:w="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ind w:left="160"/>
              <w:spacing w:after="0"/>
              <w:rPr>
                <w:sz w:val="20"/>
                <w:szCs w:val="20"/>
                <w:color w:val="auto"/>
              </w:rPr>
            </w:pPr>
            <w:r>
              <w:rPr>
                <w:rFonts w:ascii="Arial" w:cs="Arial" w:eastAsia="Arial" w:hAnsi="Arial"/>
                <w:sz w:val="14"/>
                <w:szCs w:val="14"/>
                <w:b w:val="1"/>
                <w:bCs w:val="1"/>
                <w:color w:val="auto"/>
              </w:rPr>
              <w:t>Change</w:t>
            </w:r>
          </w:p>
        </w:tc>
      </w:tr>
      <w:tr>
        <w:trPr>
          <w:trHeight w:val="218"/>
        </w:trPr>
        <w:tc>
          <w:tcPr>
            <w:tcW w:w="6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80" w:type="dxa"/>
            <w:vAlign w:val="bottom"/>
            <w:gridSpan w:val="6"/>
          </w:tcPr>
          <w:p>
            <w:pPr>
              <w:jc w:val="center"/>
              <w:ind w:left="764"/>
              <w:spacing w:after="0"/>
              <w:rPr>
                <w:sz w:val="20"/>
                <w:szCs w:val="20"/>
                <w:color w:val="auto"/>
              </w:rPr>
            </w:pPr>
            <w:r>
              <w:rPr>
                <w:rFonts w:ascii="Arial" w:cs="Arial" w:eastAsia="Arial" w:hAnsi="Arial"/>
                <w:sz w:val="14"/>
                <w:szCs w:val="14"/>
                <w:b w:val="1"/>
                <w:bCs w:val="1"/>
                <w:color w:val="auto"/>
                <w:w w:val="91"/>
              </w:rPr>
              <w:t>(in millions, except percentage)</w:t>
            </w:r>
          </w:p>
        </w:tc>
        <w:tc>
          <w:tcPr>
            <w:tcW w:w="1120" w:type="dxa"/>
            <w:vAlign w:val="bottom"/>
          </w:tcPr>
          <w:p>
            <w:pPr>
              <w:spacing w:after="0"/>
              <w:rPr>
                <w:sz w:val="18"/>
                <w:szCs w:val="18"/>
                <w:color w:val="auto"/>
              </w:rPr>
            </w:pPr>
          </w:p>
        </w:tc>
      </w:tr>
      <w:tr>
        <w:trPr>
          <w:trHeight w:val="236"/>
        </w:trPr>
        <w:tc>
          <w:tcPr>
            <w:tcW w:w="67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ind w:left="540"/>
              <w:spacing w:after="0"/>
              <w:rPr>
                <w:sz w:val="20"/>
                <w:szCs w:val="20"/>
                <w:color w:val="auto"/>
              </w:rPr>
            </w:pPr>
            <w:r>
              <w:rPr>
                <w:rFonts w:ascii="Arial" w:cs="Arial" w:eastAsia="Arial" w:hAnsi="Arial"/>
                <w:sz w:val="18"/>
                <w:szCs w:val="18"/>
                <w:color w:val="auto"/>
                <w:w w:val="96"/>
              </w:rPr>
              <w:t>1,446.9</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832.3</w:t>
            </w:r>
          </w:p>
        </w:tc>
        <w:tc>
          <w:tcPr>
            <w:tcW w:w="8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jc w:val="right"/>
              <w:ind w:right="402"/>
              <w:spacing w:after="0"/>
              <w:rPr>
                <w:sz w:val="20"/>
                <w:szCs w:val="20"/>
                <w:color w:val="auto"/>
              </w:rPr>
            </w:pPr>
            <w:r>
              <w:rPr>
                <w:rFonts w:ascii="Arial" w:cs="Arial" w:eastAsia="Arial" w:hAnsi="Arial"/>
                <w:sz w:val="18"/>
                <w:szCs w:val="18"/>
                <w:color w:val="auto"/>
              </w:rPr>
              <w:t>73.8%</w:t>
            </w:r>
          </w:p>
        </w:tc>
      </w:tr>
    </w:tbl>
    <w:p>
      <w:pPr>
        <w:spacing w:after="0" w:line="323" w:lineRule="exact"/>
        <w:rPr>
          <w:sz w:val="20"/>
          <w:szCs w:val="20"/>
          <w:color w:val="auto"/>
        </w:rPr>
      </w:pPr>
    </w:p>
    <w:p>
      <w:pPr>
        <w:ind w:right="80" w:firstLine="405"/>
        <w:spacing w:after="0" w:line="239" w:lineRule="auto"/>
        <w:rPr>
          <w:sz w:val="20"/>
          <w:szCs w:val="20"/>
          <w:color w:val="auto"/>
        </w:rPr>
      </w:pPr>
      <w:r>
        <w:rPr>
          <w:rFonts w:ascii="Arial" w:cs="Arial" w:eastAsia="Arial" w:hAnsi="Arial"/>
          <w:sz w:val="18"/>
          <w:szCs w:val="18"/>
          <w:color w:val="auto"/>
        </w:rPr>
        <w:t>Our net revenue for the three months ended April 30, 2022 increased by $614.6 million compared to net revenue for the three months ended May 1, 2021. This was due to an increase in sales from all our end markets. Revenue increased from the data center end market by 131% from the carrier infrastructure end market by 50%, from the enterprise networking end market by 64%, from the consumer end market by 7%, and from the automotive/industrial end market by 94% compared to the three months ended May 1, 2021. The overall increase in net revenue of 74% was primarily driven by an increase in demand for our products and the year-over-year impact of acquisitions in fiscal 2022, with both factors contributing to higher unit shipments. In addition, our average selling prices increased year-over-year driven by relatively higher sales of products which had higher content and more features.</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2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3"/>
          </w:tcPr>
          <w:p>
            <w:pPr>
              <w:jc w:val="right"/>
              <w:ind w:right="88"/>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tcBorders>
              <w:bottom w:val="single" w:sz="8" w:color="auto"/>
            </w:tcBorders>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spacing w:after="0"/>
              <w:rPr>
                <w:sz w:val="16"/>
                <w:szCs w:val="16"/>
                <w:color w:val="auto"/>
              </w:rPr>
            </w:pPr>
          </w:p>
        </w:tc>
      </w:tr>
      <w:tr>
        <w:trPr>
          <w:trHeight w:val="134"/>
        </w:trPr>
        <w:tc>
          <w:tcPr>
            <w:tcW w:w="4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240" w:type="dxa"/>
            <w:vAlign w:val="bottom"/>
          </w:tcPr>
          <w:p>
            <w:pPr>
              <w:jc w:val="right"/>
              <w:ind w:right="176"/>
              <w:spacing w:after="0" w:line="135" w:lineRule="exact"/>
              <w:rPr>
                <w:sz w:val="20"/>
                <w:szCs w:val="20"/>
                <w:color w:val="auto"/>
              </w:rPr>
            </w:pPr>
            <w:r>
              <w:rPr>
                <w:rFonts w:ascii="Arial" w:cs="Arial" w:eastAsia="Arial" w:hAnsi="Arial"/>
                <w:sz w:val="14"/>
                <w:szCs w:val="14"/>
                <w:b w:val="1"/>
                <w:bCs w:val="1"/>
                <w:color w:val="auto"/>
              </w:rPr>
              <w:t>April 30,</w:t>
            </w: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200" w:type="dxa"/>
            <w:vAlign w:val="bottom"/>
          </w:tcPr>
          <w:p>
            <w:pPr>
              <w:jc w:val="right"/>
              <w:ind w:right="276"/>
              <w:spacing w:after="0" w:line="135" w:lineRule="exact"/>
              <w:rPr>
                <w:sz w:val="20"/>
                <w:szCs w:val="20"/>
                <w:color w:val="auto"/>
              </w:rPr>
            </w:pPr>
            <w:r>
              <w:rPr>
                <w:rFonts w:ascii="Arial" w:cs="Arial" w:eastAsia="Arial" w:hAnsi="Arial"/>
                <w:sz w:val="14"/>
                <w:szCs w:val="14"/>
                <w:b w:val="1"/>
                <w:bCs w:val="1"/>
                <w:color w:val="auto"/>
              </w:rPr>
              <w:t>May 1,</w:t>
            </w:r>
          </w:p>
        </w:tc>
        <w:tc>
          <w:tcPr>
            <w:tcW w:w="1940" w:type="dxa"/>
            <w:vAlign w:val="bottom"/>
            <w:gridSpan w:val="3"/>
          </w:tcPr>
          <w:p>
            <w:pPr>
              <w:jc w:val="center"/>
              <w:ind w:left="1194"/>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12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616"/>
              <w:spacing w:after="0"/>
              <w:rPr>
                <w:sz w:val="20"/>
                <w:szCs w:val="20"/>
                <w:color w:val="auto"/>
              </w:rPr>
            </w:pPr>
            <w:r>
              <w:rPr>
                <w:rFonts w:ascii="Arial" w:cs="Arial" w:eastAsia="Arial" w:hAnsi="Arial"/>
                <w:sz w:val="14"/>
                <w:szCs w:val="14"/>
                <w:b w:val="1"/>
                <w:bCs w:val="1"/>
                <w:color w:val="auto"/>
              </w:rPr>
              <w:t>2022</w:t>
            </w:r>
          </w:p>
        </w:tc>
        <w:tc>
          <w:tcPr>
            <w:tcW w:w="5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656"/>
              <w:spacing w:after="0"/>
              <w:rPr>
                <w:sz w:val="20"/>
                <w:szCs w:val="20"/>
                <w:color w:val="auto"/>
              </w:rPr>
            </w:pPr>
            <w:r>
              <w:rPr>
                <w:rFonts w:ascii="Arial" w:cs="Arial" w:eastAsia="Arial" w:hAnsi="Arial"/>
                <w:sz w:val="14"/>
                <w:szCs w:val="14"/>
                <w:b w:val="1"/>
                <w:bCs w:val="1"/>
                <w:color w:val="auto"/>
              </w:rPr>
              <w:t>2021</w:t>
            </w:r>
          </w:p>
        </w:tc>
        <w:tc>
          <w:tcPr>
            <w:tcW w:w="5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80" w:type="dxa"/>
            <w:vAlign w:val="bottom"/>
            <w:gridSpan w:val="2"/>
          </w:tcPr>
          <w:p>
            <w:pPr>
              <w:jc w:val="right"/>
              <w:ind w:right="256"/>
              <w:spacing w:after="0"/>
              <w:rPr>
                <w:sz w:val="20"/>
                <w:szCs w:val="20"/>
                <w:color w:val="auto"/>
              </w:rPr>
            </w:pPr>
            <w:r>
              <w:rPr>
                <w:rFonts w:ascii="Arial" w:cs="Arial" w:eastAsia="Arial" w:hAnsi="Arial"/>
                <w:sz w:val="14"/>
                <w:szCs w:val="14"/>
                <w:b w:val="1"/>
                <w:bCs w:val="1"/>
                <w:color w:val="auto"/>
                <w:w w:val="91"/>
              </w:rPr>
              <w:t>(in millions, except percentage)</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5"/>
        </w:trPr>
        <w:tc>
          <w:tcPr>
            <w:tcW w:w="41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Cost of goods sold</w:t>
            </w:r>
          </w:p>
        </w:tc>
        <w:tc>
          <w:tcPr>
            <w:tcW w:w="100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236"/>
              <w:spacing w:after="0"/>
              <w:rPr>
                <w:sz w:val="20"/>
                <w:szCs w:val="20"/>
                <w:color w:val="auto"/>
              </w:rPr>
            </w:pPr>
            <w:r>
              <w:rPr>
                <w:rFonts w:ascii="Arial" w:cs="Arial" w:eastAsia="Arial" w:hAnsi="Arial"/>
                <w:sz w:val="18"/>
                <w:szCs w:val="18"/>
                <w:color w:val="auto"/>
              </w:rPr>
              <w:t>696.0</w:t>
            </w:r>
          </w:p>
        </w:tc>
        <w:tc>
          <w:tcPr>
            <w:tcW w:w="174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76"/>
              <w:spacing w:after="0"/>
              <w:rPr>
                <w:sz w:val="20"/>
                <w:szCs w:val="20"/>
                <w:color w:val="auto"/>
              </w:rPr>
            </w:pPr>
            <w:r>
              <w:rPr>
                <w:rFonts w:ascii="Arial" w:cs="Arial" w:eastAsia="Arial" w:hAnsi="Arial"/>
                <w:sz w:val="18"/>
                <w:szCs w:val="18"/>
                <w:color w:val="auto"/>
              </w:rPr>
              <w:t>414.1</w:t>
            </w:r>
          </w:p>
        </w:tc>
        <w:tc>
          <w:tcPr>
            <w:tcW w:w="1940" w:type="dxa"/>
            <w:vAlign w:val="bottom"/>
            <w:gridSpan w:val="3"/>
            <w:shd w:val="clear" w:color="auto" w:fill="CCEEFF"/>
          </w:tcPr>
          <w:p>
            <w:pPr>
              <w:jc w:val="center"/>
              <w:ind w:left="1194"/>
              <w:spacing w:after="0"/>
              <w:rPr>
                <w:sz w:val="20"/>
                <w:szCs w:val="20"/>
                <w:color w:val="auto"/>
              </w:rPr>
            </w:pPr>
            <w:r>
              <w:rPr>
                <w:rFonts w:ascii="Arial" w:cs="Arial" w:eastAsia="Arial" w:hAnsi="Arial"/>
                <w:sz w:val="18"/>
                <w:szCs w:val="18"/>
                <w:color w:val="auto"/>
                <w:w w:val="90"/>
              </w:rPr>
              <w:t>68.1%</w:t>
            </w:r>
          </w:p>
        </w:tc>
      </w:tr>
      <w:tr>
        <w:trPr>
          <w:trHeight w:val="229"/>
        </w:trPr>
        <w:tc>
          <w:tcPr>
            <w:tcW w:w="412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19"/>
                <w:szCs w:val="19"/>
                <w:color w:val="auto"/>
              </w:rPr>
            </w:pPr>
          </w:p>
        </w:tc>
        <w:tc>
          <w:tcPr>
            <w:tcW w:w="1240" w:type="dxa"/>
            <w:vAlign w:val="bottom"/>
          </w:tcPr>
          <w:p>
            <w:pPr>
              <w:jc w:val="right"/>
              <w:ind w:right="236"/>
              <w:spacing w:after="0"/>
              <w:rPr>
                <w:sz w:val="20"/>
                <w:szCs w:val="20"/>
                <w:color w:val="auto"/>
              </w:rPr>
            </w:pPr>
            <w:r>
              <w:rPr>
                <w:rFonts w:ascii="Arial" w:cs="Arial" w:eastAsia="Arial" w:hAnsi="Arial"/>
                <w:sz w:val="18"/>
                <w:szCs w:val="18"/>
                <w:color w:val="auto"/>
              </w:rPr>
              <w:t>48.1</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200" w:type="dxa"/>
            <w:vAlign w:val="bottom"/>
          </w:tcPr>
          <w:p>
            <w:pPr>
              <w:jc w:val="right"/>
              <w:ind w:right="276"/>
              <w:spacing w:after="0"/>
              <w:rPr>
                <w:sz w:val="20"/>
                <w:szCs w:val="20"/>
                <w:color w:val="auto"/>
              </w:rPr>
            </w:pPr>
            <w:r>
              <w:rPr>
                <w:rFonts w:ascii="Arial" w:cs="Arial" w:eastAsia="Arial" w:hAnsi="Arial"/>
                <w:sz w:val="18"/>
                <w:szCs w:val="18"/>
                <w:color w:val="auto"/>
              </w:rPr>
              <w:t>49.8</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30"/>
        </w:trPr>
        <w:tc>
          <w:tcPr>
            <w:tcW w:w="41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Gross profit</w:t>
            </w:r>
          </w:p>
        </w:tc>
        <w:tc>
          <w:tcPr>
            <w:tcW w:w="100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236"/>
              <w:spacing w:after="0"/>
              <w:rPr>
                <w:sz w:val="20"/>
                <w:szCs w:val="20"/>
                <w:color w:val="auto"/>
              </w:rPr>
            </w:pPr>
            <w:r>
              <w:rPr>
                <w:rFonts w:ascii="Arial" w:cs="Arial" w:eastAsia="Arial" w:hAnsi="Arial"/>
                <w:sz w:val="18"/>
                <w:szCs w:val="18"/>
                <w:color w:val="auto"/>
              </w:rPr>
              <w:t>750.9</w:t>
            </w:r>
          </w:p>
        </w:tc>
        <w:tc>
          <w:tcPr>
            <w:tcW w:w="174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76"/>
              <w:spacing w:after="0"/>
              <w:rPr>
                <w:sz w:val="20"/>
                <w:szCs w:val="20"/>
                <w:color w:val="auto"/>
              </w:rPr>
            </w:pPr>
            <w:r>
              <w:rPr>
                <w:rFonts w:ascii="Arial" w:cs="Arial" w:eastAsia="Arial" w:hAnsi="Arial"/>
                <w:sz w:val="18"/>
                <w:szCs w:val="18"/>
                <w:color w:val="auto"/>
              </w:rPr>
              <w:t>418.2</w:t>
            </w:r>
          </w:p>
        </w:tc>
        <w:tc>
          <w:tcPr>
            <w:tcW w:w="1940" w:type="dxa"/>
            <w:vAlign w:val="bottom"/>
            <w:gridSpan w:val="3"/>
            <w:shd w:val="clear" w:color="auto" w:fill="CCEEFF"/>
          </w:tcPr>
          <w:p>
            <w:pPr>
              <w:jc w:val="center"/>
              <w:ind w:left="1194"/>
              <w:spacing w:after="0"/>
              <w:rPr>
                <w:sz w:val="20"/>
                <w:szCs w:val="20"/>
                <w:color w:val="auto"/>
              </w:rPr>
            </w:pPr>
            <w:r>
              <w:rPr>
                <w:rFonts w:ascii="Arial" w:cs="Arial" w:eastAsia="Arial" w:hAnsi="Arial"/>
                <w:sz w:val="18"/>
                <w:szCs w:val="18"/>
                <w:color w:val="auto"/>
                <w:w w:val="90"/>
              </w:rPr>
              <w:t>79.6%</w:t>
            </w:r>
          </w:p>
        </w:tc>
      </w:tr>
      <w:tr>
        <w:trPr>
          <w:trHeight w:val="230"/>
        </w:trPr>
        <w:tc>
          <w:tcPr>
            <w:tcW w:w="412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1240" w:type="dxa"/>
            <w:vAlign w:val="bottom"/>
          </w:tcPr>
          <w:p>
            <w:pPr>
              <w:jc w:val="right"/>
              <w:ind w:right="236"/>
              <w:spacing w:after="0"/>
              <w:rPr>
                <w:sz w:val="20"/>
                <w:szCs w:val="20"/>
                <w:color w:val="auto"/>
              </w:rPr>
            </w:pPr>
            <w:r>
              <w:rPr>
                <w:rFonts w:ascii="Arial" w:cs="Arial" w:eastAsia="Arial" w:hAnsi="Arial"/>
                <w:sz w:val="18"/>
                <w:szCs w:val="18"/>
                <w:color w:val="auto"/>
              </w:rPr>
              <w:t>51.9</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200" w:type="dxa"/>
            <w:vAlign w:val="bottom"/>
          </w:tcPr>
          <w:p>
            <w:pPr>
              <w:jc w:val="right"/>
              <w:ind w:right="276"/>
              <w:spacing w:after="0"/>
              <w:rPr>
                <w:sz w:val="20"/>
                <w:szCs w:val="20"/>
                <w:color w:val="auto"/>
              </w:rPr>
            </w:pPr>
            <w:r>
              <w:rPr>
                <w:rFonts w:ascii="Arial" w:cs="Arial" w:eastAsia="Arial" w:hAnsi="Arial"/>
                <w:sz w:val="18"/>
                <w:szCs w:val="18"/>
                <w:color w:val="auto"/>
              </w:rPr>
              <w:t>50.2</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09" w:lineRule="exact"/>
        <w:rPr>
          <w:sz w:val="20"/>
          <w:szCs w:val="20"/>
          <w:color w:val="auto"/>
        </w:rPr>
      </w:pPr>
    </w:p>
    <w:p>
      <w:pPr>
        <w:jc w:val="both"/>
        <w:ind w:right="220" w:firstLine="405"/>
        <w:spacing w:after="0" w:line="294" w:lineRule="auto"/>
        <w:rPr>
          <w:sz w:val="20"/>
          <w:szCs w:val="20"/>
          <w:color w:val="auto"/>
        </w:rPr>
      </w:pPr>
      <w:r>
        <w:rPr>
          <w:rFonts w:ascii="Arial" w:cs="Arial" w:eastAsia="Arial" w:hAnsi="Arial"/>
          <w:sz w:val="16"/>
          <w:szCs w:val="16"/>
          <w:color w:val="auto"/>
        </w:rPr>
        <w:t>Cost of goods sold as a percentage of net revenue decreased for the three months ended April 30, 2022 compared to the three months ended May 1, 2021, which is primarily due to operational efficiencies with increased sales and lower amortization of inventory fair value adjustment. As a result, gross margin for the three months ended April 30, 2022 increased 1.7% percentage points compared to the three months ended May 1, 2021.</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2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3"/>
          </w:tcPr>
          <w:p>
            <w:pPr>
              <w:jc w:val="right"/>
              <w:ind w:right="88"/>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tcBorders>
              <w:bottom w:val="single" w:sz="8" w:color="auto"/>
            </w:tcBorders>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spacing w:after="0"/>
              <w:rPr>
                <w:sz w:val="16"/>
                <w:szCs w:val="16"/>
                <w:color w:val="auto"/>
              </w:rPr>
            </w:pPr>
          </w:p>
        </w:tc>
      </w:tr>
      <w:tr>
        <w:trPr>
          <w:trHeight w:val="135"/>
        </w:trPr>
        <w:tc>
          <w:tcPr>
            <w:tcW w:w="412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240" w:type="dxa"/>
            <w:vAlign w:val="bottom"/>
          </w:tcPr>
          <w:p>
            <w:pPr>
              <w:jc w:val="right"/>
              <w:ind w:right="179"/>
              <w:spacing w:after="0" w:line="135" w:lineRule="exact"/>
              <w:rPr>
                <w:sz w:val="20"/>
                <w:szCs w:val="20"/>
                <w:color w:val="auto"/>
              </w:rPr>
            </w:pPr>
            <w:r>
              <w:rPr>
                <w:rFonts w:ascii="Arial" w:cs="Arial" w:eastAsia="Arial" w:hAnsi="Arial"/>
                <w:sz w:val="14"/>
                <w:szCs w:val="14"/>
                <w:b w:val="1"/>
                <w:bCs w:val="1"/>
                <w:color w:val="auto"/>
              </w:rPr>
              <w:t>April 30,</w:t>
            </w:r>
          </w:p>
        </w:tc>
        <w:tc>
          <w:tcPr>
            <w:tcW w:w="5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200" w:type="dxa"/>
            <w:vAlign w:val="bottom"/>
          </w:tcPr>
          <w:p>
            <w:pPr>
              <w:jc w:val="right"/>
              <w:ind w:right="279"/>
              <w:spacing w:after="0" w:line="135" w:lineRule="exact"/>
              <w:rPr>
                <w:sz w:val="20"/>
                <w:szCs w:val="20"/>
                <w:color w:val="auto"/>
              </w:rPr>
            </w:pPr>
            <w:r>
              <w:rPr>
                <w:rFonts w:ascii="Arial" w:cs="Arial" w:eastAsia="Arial" w:hAnsi="Arial"/>
                <w:sz w:val="14"/>
                <w:szCs w:val="14"/>
                <w:b w:val="1"/>
                <w:bCs w:val="1"/>
                <w:color w:val="auto"/>
              </w:rPr>
              <w:t>May 1,</w:t>
            </w:r>
          </w:p>
        </w:tc>
        <w:tc>
          <w:tcPr>
            <w:tcW w:w="1940" w:type="dxa"/>
            <w:vAlign w:val="bottom"/>
            <w:gridSpan w:val="3"/>
          </w:tcPr>
          <w:p>
            <w:pPr>
              <w:jc w:val="right"/>
              <w:ind w:right="18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12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619"/>
              <w:spacing w:after="0"/>
              <w:rPr>
                <w:sz w:val="20"/>
                <w:szCs w:val="20"/>
                <w:color w:val="auto"/>
              </w:rPr>
            </w:pPr>
            <w:r>
              <w:rPr>
                <w:rFonts w:ascii="Arial" w:cs="Arial" w:eastAsia="Arial" w:hAnsi="Arial"/>
                <w:sz w:val="14"/>
                <w:szCs w:val="14"/>
                <w:b w:val="1"/>
                <w:bCs w:val="1"/>
                <w:color w:val="auto"/>
              </w:rPr>
              <w:t>2022</w:t>
            </w:r>
          </w:p>
        </w:tc>
        <w:tc>
          <w:tcPr>
            <w:tcW w:w="5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659"/>
              <w:spacing w:after="0"/>
              <w:rPr>
                <w:sz w:val="20"/>
                <w:szCs w:val="20"/>
                <w:color w:val="auto"/>
              </w:rPr>
            </w:pPr>
            <w:r>
              <w:rPr>
                <w:rFonts w:ascii="Arial" w:cs="Arial" w:eastAsia="Arial" w:hAnsi="Arial"/>
                <w:sz w:val="14"/>
                <w:szCs w:val="14"/>
                <w:b w:val="1"/>
                <w:bCs w:val="1"/>
                <w:color w:val="auto"/>
              </w:rPr>
              <w:t>2021</w:t>
            </w:r>
          </w:p>
        </w:tc>
        <w:tc>
          <w:tcPr>
            <w:tcW w:w="5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80" w:type="dxa"/>
            <w:vAlign w:val="bottom"/>
            <w:gridSpan w:val="2"/>
          </w:tcPr>
          <w:p>
            <w:pPr>
              <w:jc w:val="right"/>
              <w:ind w:right="259"/>
              <w:spacing w:after="0"/>
              <w:rPr>
                <w:sz w:val="20"/>
                <w:szCs w:val="20"/>
                <w:color w:val="auto"/>
              </w:rPr>
            </w:pPr>
            <w:r>
              <w:rPr>
                <w:rFonts w:ascii="Arial" w:cs="Arial" w:eastAsia="Arial" w:hAnsi="Arial"/>
                <w:sz w:val="14"/>
                <w:szCs w:val="14"/>
                <w:b w:val="1"/>
                <w:bCs w:val="1"/>
                <w:color w:val="auto"/>
                <w:w w:val="91"/>
              </w:rPr>
              <w:t>(in millions, except percentage)</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5"/>
        </w:trPr>
        <w:tc>
          <w:tcPr>
            <w:tcW w:w="41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Research and development</w:t>
            </w:r>
          </w:p>
        </w:tc>
        <w:tc>
          <w:tcPr>
            <w:tcW w:w="100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239"/>
              <w:spacing w:after="0"/>
              <w:rPr>
                <w:sz w:val="20"/>
                <w:szCs w:val="20"/>
                <w:color w:val="auto"/>
              </w:rPr>
            </w:pPr>
            <w:r>
              <w:rPr>
                <w:rFonts w:ascii="Arial" w:cs="Arial" w:eastAsia="Arial" w:hAnsi="Arial"/>
                <w:sz w:val="18"/>
                <w:szCs w:val="18"/>
                <w:color w:val="auto"/>
              </w:rPr>
              <w:t>444.1</w:t>
            </w:r>
          </w:p>
        </w:tc>
        <w:tc>
          <w:tcPr>
            <w:tcW w:w="174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79"/>
              <w:spacing w:after="0"/>
              <w:rPr>
                <w:sz w:val="20"/>
                <w:szCs w:val="20"/>
                <w:color w:val="auto"/>
              </w:rPr>
            </w:pPr>
            <w:r>
              <w:rPr>
                <w:rFonts w:ascii="Arial" w:cs="Arial" w:eastAsia="Arial" w:hAnsi="Arial"/>
                <w:sz w:val="18"/>
                <w:szCs w:val="18"/>
                <w:color w:val="auto"/>
              </w:rPr>
              <w:t>286.1</w:t>
            </w:r>
          </w:p>
        </w:tc>
        <w:tc>
          <w:tcPr>
            <w:tcW w:w="1940" w:type="dxa"/>
            <w:vAlign w:val="bottom"/>
            <w:gridSpan w:val="3"/>
            <w:shd w:val="clear" w:color="auto" w:fill="CCEEFF"/>
          </w:tcPr>
          <w:p>
            <w:pPr>
              <w:jc w:val="right"/>
              <w:ind w:right="28"/>
              <w:spacing w:after="0"/>
              <w:rPr>
                <w:sz w:val="20"/>
                <w:szCs w:val="20"/>
                <w:color w:val="auto"/>
              </w:rPr>
            </w:pPr>
            <w:r>
              <w:rPr>
                <w:rFonts w:ascii="Arial" w:cs="Arial" w:eastAsia="Arial" w:hAnsi="Arial"/>
                <w:sz w:val="18"/>
                <w:szCs w:val="18"/>
                <w:color w:val="auto"/>
              </w:rPr>
              <w:t>55.2%</w:t>
            </w:r>
          </w:p>
        </w:tc>
      </w:tr>
      <w:tr>
        <w:trPr>
          <w:trHeight w:val="230"/>
        </w:trPr>
        <w:tc>
          <w:tcPr>
            <w:tcW w:w="412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1240" w:type="dxa"/>
            <w:vAlign w:val="bottom"/>
          </w:tcPr>
          <w:p>
            <w:pPr>
              <w:jc w:val="right"/>
              <w:ind w:right="239"/>
              <w:spacing w:after="0"/>
              <w:rPr>
                <w:sz w:val="20"/>
                <w:szCs w:val="20"/>
                <w:color w:val="auto"/>
              </w:rPr>
            </w:pPr>
            <w:r>
              <w:rPr>
                <w:rFonts w:ascii="Arial" w:cs="Arial" w:eastAsia="Arial" w:hAnsi="Arial"/>
                <w:sz w:val="18"/>
                <w:szCs w:val="18"/>
                <w:color w:val="auto"/>
              </w:rPr>
              <w:t>30.7</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1200" w:type="dxa"/>
            <w:vAlign w:val="bottom"/>
          </w:tcPr>
          <w:p>
            <w:pPr>
              <w:jc w:val="right"/>
              <w:ind w:right="279"/>
              <w:spacing w:after="0"/>
              <w:rPr>
                <w:sz w:val="20"/>
                <w:szCs w:val="20"/>
                <w:color w:val="auto"/>
              </w:rPr>
            </w:pPr>
            <w:r>
              <w:rPr>
                <w:rFonts w:ascii="Arial" w:cs="Arial" w:eastAsia="Arial" w:hAnsi="Arial"/>
                <w:sz w:val="18"/>
                <w:szCs w:val="18"/>
                <w:color w:val="auto"/>
              </w:rPr>
              <w:t>34.4</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22" w:lineRule="exact"/>
        <w:rPr>
          <w:sz w:val="20"/>
          <w:szCs w:val="20"/>
          <w:color w:val="auto"/>
        </w:rPr>
      </w:pPr>
    </w:p>
    <w:p>
      <w:pPr>
        <w:ind w:right="260" w:firstLine="405"/>
        <w:spacing w:after="0" w:line="294" w:lineRule="auto"/>
        <w:rPr>
          <w:sz w:val="20"/>
          <w:szCs w:val="20"/>
          <w:color w:val="auto"/>
        </w:rPr>
      </w:pPr>
      <w:r>
        <w:rPr>
          <w:rFonts w:ascii="Arial" w:cs="Arial" w:eastAsia="Arial" w:hAnsi="Arial"/>
          <w:sz w:val="16"/>
          <w:szCs w:val="16"/>
          <w:color w:val="auto"/>
        </w:rPr>
        <w:t>Research and development expense increased by $158.0 million in the three months ended April 30, 2022 compared to the three months ended May 1, 2021. The increase was primarily due to additional costs from our acquisitions of Inphi and Innovium in fiscal 2022, including $125.0 million of higher employee personnel-related costs and $32.9 million of higher product development and qualification costs recognized in the current period.</w:t>
      </w:r>
    </w:p>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2" w:name="page33"/>
    <w:bookmarkEnd w:id="3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0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3"/>
          </w:tcPr>
          <w:p>
            <w:pPr>
              <w:jc w:val="right"/>
              <w:ind w:right="68"/>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spacing w:after="0"/>
              <w:rPr>
                <w:sz w:val="16"/>
                <w:szCs w:val="16"/>
                <w:color w:val="auto"/>
              </w:rPr>
            </w:pPr>
          </w:p>
        </w:tc>
      </w:tr>
      <w:tr>
        <w:trPr>
          <w:trHeight w:val="134"/>
        </w:trPr>
        <w:tc>
          <w:tcPr>
            <w:tcW w:w="420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jc w:val="right"/>
              <w:ind w:right="179"/>
              <w:spacing w:after="0" w:line="135" w:lineRule="exact"/>
              <w:rPr>
                <w:sz w:val="20"/>
                <w:szCs w:val="20"/>
                <w:color w:val="auto"/>
              </w:rPr>
            </w:pPr>
            <w:r>
              <w:rPr>
                <w:rFonts w:ascii="Arial" w:cs="Arial" w:eastAsia="Arial" w:hAnsi="Arial"/>
                <w:sz w:val="14"/>
                <w:szCs w:val="14"/>
                <w:b w:val="1"/>
                <w:bCs w:val="1"/>
                <w:color w:val="auto"/>
              </w:rPr>
              <w:t>April 30,</w:t>
            </w: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200" w:type="dxa"/>
            <w:vAlign w:val="bottom"/>
          </w:tcPr>
          <w:p>
            <w:pPr>
              <w:jc w:val="right"/>
              <w:ind w:right="299"/>
              <w:spacing w:after="0" w:line="135" w:lineRule="exact"/>
              <w:rPr>
                <w:sz w:val="20"/>
                <w:szCs w:val="20"/>
                <w:color w:val="auto"/>
              </w:rPr>
            </w:pPr>
            <w:r>
              <w:rPr>
                <w:rFonts w:ascii="Arial" w:cs="Arial" w:eastAsia="Arial" w:hAnsi="Arial"/>
                <w:sz w:val="14"/>
                <w:szCs w:val="14"/>
                <w:b w:val="1"/>
                <w:bCs w:val="1"/>
                <w:color w:val="auto"/>
              </w:rPr>
              <w:t>May 1,</w:t>
            </w:r>
          </w:p>
        </w:tc>
        <w:tc>
          <w:tcPr>
            <w:tcW w:w="1920" w:type="dxa"/>
            <w:vAlign w:val="bottom"/>
            <w:gridSpan w:val="3"/>
          </w:tcPr>
          <w:p>
            <w:pPr>
              <w:jc w:val="right"/>
              <w:ind w:right="18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20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619"/>
              <w:spacing w:after="0"/>
              <w:rPr>
                <w:sz w:val="20"/>
                <w:szCs w:val="20"/>
                <w:color w:val="auto"/>
              </w:rPr>
            </w:pPr>
            <w:r>
              <w:rPr>
                <w:rFonts w:ascii="Arial" w:cs="Arial" w:eastAsia="Arial" w:hAnsi="Arial"/>
                <w:sz w:val="14"/>
                <w:szCs w:val="14"/>
                <w:b w:val="1"/>
                <w:bCs w:val="1"/>
                <w:color w:val="auto"/>
              </w:rPr>
              <w:t>2022</w:t>
            </w:r>
          </w:p>
        </w:tc>
        <w:tc>
          <w:tcPr>
            <w:tcW w:w="50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679"/>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2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300" w:type="dxa"/>
            <w:vAlign w:val="bottom"/>
            <w:gridSpan w:val="2"/>
          </w:tcPr>
          <w:p>
            <w:pPr>
              <w:jc w:val="right"/>
              <w:ind w:right="239"/>
              <w:spacing w:after="0"/>
              <w:rPr>
                <w:sz w:val="20"/>
                <w:szCs w:val="20"/>
                <w:color w:val="auto"/>
              </w:rPr>
            </w:pPr>
            <w:r>
              <w:rPr>
                <w:rFonts w:ascii="Arial" w:cs="Arial" w:eastAsia="Arial" w:hAnsi="Arial"/>
                <w:sz w:val="14"/>
                <w:szCs w:val="14"/>
                <w:b w:val="1"/>
                <w:bCs w:val="1"/>
                <w:color w:val="auto"/>
                <w:w w:val="93"/>
              </w:rPr>
              <w:t>(in millions, except percentage)</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35"/>
        </w:trPr>
        <w:tc>
          <w:tcPr>
            <w:tcW w:w="4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Selling, general and administrative</w:t>
            </w:r>
          </w:p>
        </w:tc>
        <w:tc>
          <w:tcPr>
            <w:tcW w:w="9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279"/>
              <w:spacing w:after="0"/>
              <w:rPr>
                <w:sz w:val="20"/>
                <w:szCs w:val="20"/>
                <w:color w:val="auto"/>
              </w:rPr>
            </w:pPr>
            <w:r>
              <w:rPr>
                <w:rFonts w:ascii="Arial" w:cs="Arial" w:eastAsia="Arial" w:hAnsi="Arial"/>
                <w:sz w:val="18"/>
                <w:szCs w:val="18"/>
                <w:color w:val="auto"/>
              </w:rPr>
              <w:t>235.7</w:t>
            </w:r>
          </w:p>
        </w:tc>
        <w:tc>
          <w:tcPr>
            <w:tcW w:w="1720" w:type="dxa"/>
            <w:vAlign w:val="bottom"/>
            <w:gridSpan w:val="3"/>
            <w:shd w:val="clear" w:color="auto" w:fill="CCEEFF"/>
          </w:tcPr>
          <w:p>
            <w:pPr>
              <w:jc w:val="right"/>
              <w:ind w:right="26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99"/>
              <w:spacing w:after="0"/>
              <w:rPr>
                <w:sz w:val="20"/>
                <w:szCs w:val="20"/>
                <w:color w:val="auto"/>
              </w:rPr>
            </w:pPr>
            <w:r>
              <w:rPr>
                <w:rFonts w:ascii="Arial" w:cs="Arial" w:eastAsia="Arial" w:hAnsi="Arial"/>
                <w:sz w:val="18"/>
                <w:szCs w:val="18"/>
                <w:color w:val="auto"/>
              </w:rPr>
              <w:t>201.5</w:t>
            </w:r>
          </w:p>
        </w:tc>
        <w:tc>
          <w:tcPr>
            <w:tcW w:w="1920" w:type="dxa"/>
            <w:vAlign w:val="bottom"/>
            <w:gridSpan w:val="3"/>
            <w:shd w:val="clear" w:color="auto" w:fill="CCEEFF"/>
          </w:tcPr>
          <w:p>
            <w:pPr>
              <w:jc w:val="right"/>
              <w:ind w:right="28"/>
              <w:spacing w:after="0"/>
              <w:rPr>
                <w:sz w:val="20"/>
                <w:szCs w:val="20"/>
                <w:color w:val="auto"/>
              </w:rPr>
            </w:pPr>
            <w:r>
              <w:rPr>
                <w:rFonts w:ascii="Arial" w:cs="Arial" w:eastAsia="Arial" w:hAnsi="Arial"/>
                <w:sz w:val="18"/>
                <w:szCs w:val="18"/>
                <w:color w:val="auto"/>
              </w:rPr>
              <w:t>17.0%</w:t>
            </w:r>
          </w:p>
        </w:tc>
      </w:tr>
      <w:tr>
        <w:trPr>
          <w:trHeight w:val="230"/>
        </w:trPr>
        <w:tc>
          <w:tcPr>
            <w:tcW w:w="420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980" w:type="dxa"/>
            <w:vAlign w:val="bottom"/>
          </w:tcPr>
          <w:p>
            <w:pPr>
              <w:spacing w:after="0"/>
              <w:rPr>
                <w:sz w:val="20"/>
                <w:szCs w:val="20"/>
                <w:color w:val="auto"/>
              </w:rPr>
            </w:pPr>
          </w:p>
        </w:tc>
        <w:tc>
          <w:tcPr>
            <w:tcW w:w="1220" w:type="dxa"/>
            <w:vAlign w:val="bottom"/>
          </w:tcPr>
          <w:p>
            <w:pPr>
              <w:jc w:val="right"/>
              <w:ind w:right="279"/>
              <w:spacing w:after="0"/>
              <w:rPr>
                <w:sz w:val="20"/>
                <w:szCs w:val="20"/>
                <w:color w:val="auto"/>
              </w:rPr>
            </w:pPr>
            <w:r>
              <w:rPr>
                <w:rFonts w:ascii="Arial" w:cs="Arial" w:eastAsia="Arial" w:hAnsi="Arial"/>
                <w:sz w:val="18"/>
                <w:szCs w:val="18"/>
                <w:color w:val="auto"/>
              </w:rPr>
              <w:t>16.3</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200" w:type="dxa"/>
            <w:vAlign w:val="bottom"/>
          </w:tcPr>
          <w:p>
            <w:pPr>
              <w:jc w:val="right"/>
              <w:ind w:right="299"/>
              <w:spacing w:after="0"/>
              <w:rPr>
                <w:sz w:val="20"/>
                <w:szCs w:val="20"/>
                <w:color w:val="auto"/>
              </w:rPr>
            </w:pPr>
            <w:r>
              <w:rPr>
                <w:rFonts w:ascii="Arial" w:cs="Arial" w:eastAsia="Arial" w:hAnsi="Arial"/>
                <w:sz w:val="18"/>
                <w:szCs w:val="18"/>
                <w:color w:val="auto"/>
              </w:rPr>
              <w:t>24.2</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322" w:lineRule="exact"/>
        <w:rPr>
          <w:sz w:val="20"/>
          <w:szCs w:val="20"/>
          <w:color w:val="auto"/>
        </w:rPr>
      </w:pPr>
    </w:p>
    <w:p>
      <w:pPr>
        <w:ind w:right="60" w:firstLine="405"/>
        <w:spacing w:after="0" w:line="270" w:lineRule="auto"/>
        <w:rPr>
          <w:sz w:val="20"/>
          <w:szCs w:val="20"/>
          <w:color w:val="auto"/>
        </w:rPr>
      </w:pPr>
      <w:r>
        <w:rPr>
          <w:rFonts w:ascii="Arial" w:cs="Arial" w:eastAsia="Arial" w:hAnsi="Arial"/>
          <w:sz w:val="17"/>
          <w:szCs w:val="17"/>
          <w:color w:val="auto"/>
        </w:rPr>
        <w:t>Selling, general and administrative expense increased by $34.2 million in the three months ended April 30, 2022 compared to the three months ended May 1, 2021. The increase was primarily due to additional costs from our acquisitions of Inphi and Innovium in fiscal 2022, including $63.1 million of higher intangibles amortization expense, partially offset by $35.3 million of lower integration costs in the current period.</w:t>
      </w:r>
    </w:p>
    <w:p>
      <w:pPr>
        <w:spacing w:after="0" w:line="29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ind w:right="68"/>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tcBorders>
              <w:bottom w:val="single" w:sz="8" w:color="auto"/>
            </w:tcBorders>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r>
      <w:tr>
        <w:trPr>
          <w:trHeight w:val="135"/>
        </w:trPr>
        <w:tc>
          <w:tcPr>
            <w:tcW w:w="4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20" w:type="dxa"/>
            <w:vAlign w:val="bottom"/>
          </w:tcPr>
          <w:p>
            <w:pPr>
              <w:jc w:val="right"/>
              <w:ind w:right="179"/>
              <w:spacing w:after="0" w:line="135" w:lineRule="exact"/>
              <w:rPr>
                <w:sz w:val="20"/>
                <w:szCs w:val="20"/>
                <w:color w:val="auto"/>
              </w:rPr>
            </w:pPr>
            <w:r>
              <w:rPr>
                <w:rFonts w:ascii="Arial" w:cs="Arial" w:eastAsia="Arial" w:hAnsi="Arial"/>
                <w:sz w:val="14"/>
                <w:szCs w:val="14"/>
                <w:b w:val="1"/>
                <w:bCs w:val="1"/>
                <w:color w:val="auto"/>
              </w:rPr>
              <w:t>April 30,</w:t>
            </w:r>
          </w:p>
        </w:tc>
        <w:tc>
          <w:tcPr>
            <w:tcW w:w="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200" w:type="dxa"/>
            <w:vAlign w:val="bottom"/>
          </w:tcPr>
          <w:p>
            <w:pPr>
              <w:jc w:val="right"/>
              <w:ind w:right="299"/>
              <w:spacing w:after="0" w:line="135" w:lineRule="exact"/>
              <w:rPr>
                <w:sz w:val="20"/>
                <w:szCs w:val="20"/>
                <w:color w:val="auto"/>
              </w:rPr>
            </w:pPr>
            <w:r>
              <w:rPr>
                <w:rFonts w:ascii="Arial" w:cs="Arial" w:eastAsia="Arial" w:hAnsi="Arial"/>
                <w:sz w:val="14"/>
                <w:szCs w:val="14"/>
                <w:b w:val="1"/>
                <w:bCs w:val="1"/>
                <w:color w:val="auto"/>
              </w:rPr>
              <w:t>May 1,</w:t>
            </w:r>
          </w:p>
        </w:tc>
        <w:tc>
          <w:tcPr>
            <w:tcW w:w="1920" w:type="dxa"/>
            <w:vAlign w:val="bottom"/>
            <w:gridSpan w:val="3"/>
          </w:tcPr>
          <w:p>
            <w:pPr>
              <w:jc w:val="right"/>
              <w:ind w:right="22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619"/>
              <w:spacing w:after="0"/>
              <w:rPr>
                <w:sz w:val="20"/>
                <w:szCs w:val="20"/>
                <w:color w:val="auto"/>
              </w:rPr>
            </w:pPr>
            <w:r>
              <w:rPr>
                <w:rFonts w:ascii="Arial" w:cs="Arial" w:eastAsia="Arial" w:hAnsi="Arial"/>
                <w:sz w:val="14"/>
                <w:szCs w:val="14"/>
                <w:b w:val="1"/>
                <w:bCs w:val="1"/>
                <w:color w:val="auto"/>
              </w:rPr>
              <w:t>2022</w:t>
            </w:r>
          </w:p>
        </w:tc>
        <w:tc>
          <w:tcPr>
            <w:tcW w:w="50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699"/>
              <w:spacing w:after="0"/>
              <w:rPr>
                <w:sz w:val="20"/>
                <w:szCs w:val="20"/>
                <w:color w:val="auto"/>
              </w:rPr>
            </w:pPr>
            <w:r>
              <w:rPr>
                <w:rFonts w:ascii="Arial" w:cs="Arial" w:eastAsia="Arial" w:hAnsi="Arial"/>
                <w:sz w:val="14"/>
                <w:szCs w:val="14"/>
                <w:b w:val="1"/>
                <w:bCs w:val="1"/>
                <w:color w:val="auto"/>
              </w:rPr>
              <w:t>2021</w:t>
            </w:r>
          </w:p>
        </w:tc>
        <w:tc>
          <w:tcPr>
            <w:tcW w:w="4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300" w:type="dxa"/>
            <w:vAlign w:val="bottom"/>
            <w:gridSpan w:val="2"/>
          </w:tcPr>
          <w:p>
            <w:pPr>
              <w:jc w:val="right"/>
              <w:ind w:right="219"/>
              <w:spacing w:after="0"/>
              <w:rPr>
                <w:sz w:val="20"/>
                <w:szCs w:val="20"/>
                <w:color w:val="auto"/>
              </w:rPr>
            </w:pPr>
            <w:r>
              <w:rPr>
                <w:rFonts w:ascii="Arial" w:cs="Arial" w:eastAsia="Arial" w:hAnsi="Arial"/>
                <w:sz w:val="14"/>
                <w:szCs w:val="14"/>
                <w:b w:val="1"/>
                <w:bCs w:val="1"/>
                <w:color w:val="auto"/>
                <w:w w:val="94"/>
              </w:rPr>
              <w:t>(in millions, except percentage)</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4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charges</w:t>
            </w:r>
          </w:p>
        </w:tc>
        <w:tc>
          <w:tcPr>
            <w:tcW w:w="98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299"/>
              <w:spacing w:after="0"/>
              <w:rPr>
                <w:sz w:val="20"/>
                <w:szCs w:val="20"/>
                <w:color w:val="auto"/>
              </w:rPr>
            </w:pPr>
            <w:r>
              <w:rPr>
                <w:rFonts w:ascii="Arial" w:cs="Arial" w:eastAsia="Arial" w:hAnsi="Arial"/>
                <w:sz w:val="18"/>
                <w:szCs w:val="18"/>
                <w:color w:val="auto"/>
              </w:rPr>
              <w:t>1.3</w:t>
            </w:r>
          </w:p>
        </w:tc>
        <w:tc>
          <w:tcPr>
            <w:tcW w:w="1680" w:type="dxa"/>
            <w:vAlign w:val="bottom"/>
            <w:gridSpan w:val="3"/>
            <w:shd w:val="clear" w:color="auto" w:fill="CCEEFF"/>
          </w:tcPr>
          <w:p>
            <w:pPr>
              <w:jc w:val="right"/>
              <w:ind w:right="26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339"/>
              <w:spacing w:after="0"/>
              <w:rPr>
                <w:sz w:val="20"/>
                <w:szCs w:val="20"/>
                <w:color w:val="auto"/>
              </w:rPr>
            </w:pPr>
            <w:r>
              <w:rPr>
                <w:rFonts w:ascii="Arial" w:cs="Arial" w:eastAsia="Arial" w:hAnsi="Arial"/>
                <w:sz w:val="18"/>
                <w:szCs w:val="18"/>
                <w:color w:val="auto"/>
              </w:rPr>
              <w:t>12.9</w:t>
            </w:r>
          </w:p>
        </w:tc>
        <w:tc>
          <w:tcPr>
            <w:tcW w:w="1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(89.9)%</w:t>
            </w:r>
          </w:p>
        </w:tc>
      </w:tr>
      <w:tr>
        <w:trPr>
          <w:trHeight w:val="230"/>
        </w:trPr>
        <w:tc>
          <w:tcPr>
            <w:tcW w:w="424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980" w:type="dxa"/>
            <w:vAlign w:val="bottom"/>
          </w:tcPr>
          <w:p>
            <w:pPr>
              <w:spacing w:after="0"/>
              <w:rPr>
                <w:sz w:val="20"/>
                <w:szCs w:val="20"/>
                <w:color w:val="auto"/>
              </w:rPr>
            </w:pPr>
          </w:p>
        </w:tc>
        <w:tc>
          <w:tcPr>
            <w:tcW w:w="1220" w:type="dxa"/>
            <w:vAlign w:val="bottom"/>
          </w:tcPr>
          <w:p>
            <w:pPr>
              <w:jc w:val="right"/>
              <w:ind w:right="299"/>
              <w:spacing w:after="0"/>
              <w:rPr>
                <w:sz w:val="20"/>
                <w:szCs w:val="20"/>
                <w:color w:val="auto"/>
              </w:rPr>
            </w:pPr>
            <w:r>
              <w:rPr>
                <w:rFonts w:ascii="Arial" w:cs="Arial" w:eastAsia="Arial" w:hAnsi="Arial"/>
                <w:sz w:val="18"/>
                <w:szCs w:val="18"/>
                <w:color w:val="auto"/>
              </w:rPr>
              <w:t>0.1</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200" w:type="dxa"/>
            <w:vAlign w:val="bottom"/>
          </w:tcPr>
          <w:p>
            <w:pPr>
              <w:jc w:val="right"/>
              <w:ind w:right="339"/>
              <w:spacing w:after="0"/>
              <w:rPr>
                <w:sz w:val="20"/>
                <w:szCs w:val="20"/>
                <w:color w:val="auto"/>
              </w:rPr>
            </w:pPr>
            <w:r>
              <w:rPr>
                <w:rFonts w:ascii="Arial" w:cs="Arial" w:eastAsia="Arial" w:hAnsi="Arial"/>
                <w:sz w:val="18"/>
                <w:szCs w:val="18"/>
                <w:color w:val="auto"/>
              </w:rPr>
              <w:t>1.5</w:t>
            </w:r>
          </w:p>
        </w:tc>
        <w:tc>
          <w:tcPr>
            <w:tcW w:w="44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09" w:lineRule="exact"/>
        <w:rPr>
          <w:sz w:val="20"/>
          <w:szCs w:val="20"/>
          <w:color w:val="auto"/>
        </w:rPr>
      </w:pPr>
    </w:p>
    <w:p>
      <w:pPr>
        <w:ind w:right="340" w:firstLine="405"/>
        <w:spacing w:after="0" w:line="248" w:lineRule="auto"/>
        <w:rPr>
          <w:sz w:val="20"/>
          <w:szCs w:val="20"/>
          <w:color w:val="auto"/>
        </w:rPr>
      </w:pPr>
      <w:r>
        <w:rPr>
          <w:rFonts w:ascii="Arial" w:cs="Arial" w:eastAsia="Arial" w:hAnsi="Arial"/>
          <w:sz w:val="18"/>
          <w:szCs w:val="18"/>
          <w:color w:val="auto"/>
        </w:rPr>
        <w:t>We recognized $1.3 million of total restructuring related charges in the three months ended April 30, 2022 as we continue to evaluate our existing operations to increase operational efficiency, decrease costs, and increase profitability. See “Note 9 –Restructuring” in the Notes to the Unaudited Condensed Consolidated Financial Statements for further information.</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right"/>
              <w:ind w:right="68"/>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r>
      <w:tr>
        <w:trPr>
          <w:trHeight w:val="134"/>
        </w:trPr>
        <w:tc>
          <w:tcPr>
            <w:tcW w:w="4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jc w:val="right"/>
              <w:ind w:right="159"/>
              <w:spacing w:after="0" w:line="135" w:lineRule="exact"/>
              <w:rPr>
                <w:sz w:val="20"/>
                <w:szCs w:val="20"/>
                <w:color w:val="auto"/>
              </w:rPr>
            </w:pPr>
            <w:r>
              <w:rPr>
                <w:rFonts w:ascii="Arial" w:cs="Arial" w:eastAsia="Arial" w:hAnsi="Arial"/>
                <w:sz w:val="14"/>
                <w:szCs w:val="14"/>
                <w:b w:val="1"/>
                <w:bCs w:val="1"/>
                <w:color w:val="auto"/>
              </w:rPr>
              <w:t>April 30,</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80" w:type="dxa"/>
            <w:vAlign w:val="bottom"/>
          </w:tcPr>
          <w:p>
            <w:pPr>
              <w:jc w:val="right"/>
              <w:ind w:right="279"/>
              <w:spacing w:after="0" w:line="135" w:lineRule="exact"/>
              <w:rPr>
                <w:sz w:val="20"/>
                <w:szCs w:val="20"/>
                <w:color w:val="auto"/>
              </w:rPr>
            </w:pPr>
            <w:r>
              <w:rPr>
                <w:rFonts w:ascii="Arial" w:cs="Arial" w:eastAsia="Arial" w:hAnsi="Arial"/>
                <w:sz w:val="14"/>
                <w:szCs w:val="14"/>
                <w:b w:val="1"/>
                <w:bCs w:val="1"/>
                <w:color w:val="auto"/>
              </w:rPr>
              <w:t>May 1,</w:t>
            </w:r>
          </w:p>
        </w:tc>
        <w:tc>
          <w:tcPr>
            <w:tcW w:w="1940" w:type="dxa"/>
            <w:vAlign w:val="bottom"/>
            <w:gridSpan w:val="3"/>
          </w:tcPr>
          <w:p>
            <w:pPr>
              <w:jc w:val="right"/>
              <w:ind w:right="20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99"/>
              <w:spacing w:after="0"/>
              <w:rPr>
                <w:sz w:val="20"/>
                <w:szCs w:val="20"/>
                <w:color w:val="auto"/>
              </w:rPr>
            </w:pPr>
            <w:r>
              <w:rPr>
                <w:rFonts w:ascii="Arial" w:cs="Arial" w:eastAsia="Arial" w:hAnsi="Arial"/>
                <w:sz w:val="14"/>
                <w:szCs w:val="14"/>
                <w:b w:val="1"/>
                <w:bCs w:val="1"/>
                <w:color w:val="auto"/>
              </w:rPr>
              <w:t>2022</w:t>
            </w:r>
          </w:p>
        </w:tc>
        <w:tc>
          <w:tcPr>
            <w:tcW w:w="5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659"/>
              <w:spacing w:after="0"/>
              <w:rPr>
                <w:sz w:val="20"/>
                <w:szCs w:val="20"/>
                <w:color w:val="auto"/>
              </w:rPr>
            </w:pPr>
            <w:r>
              <w:rPr>
                <w:rFonts w:ascii="Arial" w:cs="Arial" w:eastAsia="Arial" w:hAnsi="Arial"/>
                <w:sz w:val="14"/>
                <w:szCs w:val="14"/>
                <w:b w:val="1"/>
                <w:bCs w:val="1"/>
                <w:color w:val="auto"/>
              </w:rPr>
              <w:t>2021</w:t>
            </w:r>
          </w:p>
        </w:tc>
        <w:tc>
          <w:tcPr>
            <w:tcW w:w="46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40" w:type="dxa"/>
            <w:vAlign w:val="bottom"/>
            <w:gridSpan w:val="2"/>
          </w:tcPr>
          <w:p>
            <w:pPr>
              <w:jc w:val="right"/>
              <w:ind w:right="199"/>
              <w:spacing w:after="0"/>
              <w:rPr>
                <w:sz w:val="20"/>
                <w:szCs w:val="20"/>
                <w:color w:val="auto"/>
              </w:rPr>
            </w:pPr>
            <w:r>
              <w:rPr>
                <w:rFonts w:ascii="Arial" w:cs="Arial" w:eastAsia="Arial" w:hAnsi="Arial"/>
                <w:sz w:val="14"/>
                <w:szCs w:val="14"/>
                <w:b w:val="1"/>
                <w:bCs w:val="1"/>
                <w:color w:val="auto"/>
                <w:w w:val="92"/>
              </w:rPr>
              <w:t>(in millions, except percentage)</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4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income</w:t>
            </w:r>
          </w:p>
        </w:tc>
        <w:tc>
          <w:tcPr>
            <w:tcW w:w="9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rPr>
              <w:t>0.5</w:t>
            </w:r>
          </w:p>
        </w:tc>
        <w:tc>
          <w:tcPr>
            <w:tcW w:w="1700" w:type="dxa"/>
            <w:vAlign w:val="bottom"/>
            <w:gridSpan w:val="3"/>
            <w:shd w:val="clear" w:color="auto" w:fill="CCEEFF"/>
          </w:tcPr>
          <w:p>
            <w:pPr>
              <w:jc w:val="right"/>
              <w:ind w:right="228"/>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319"/>
              <w:spacing w:after="0"/>
              <w:rPr>
                <w:sz w:val="20"/>
                <w:szCs w:val="20"/>
                <w:color w:val="auto"/>
              </w:rPr>
            </w:pPr>
            <w:r>
              <w:rPr>
                <w:rFonts w:ascii="Arial" w:cs="Arial" w:eastAsia="Arial" w:hAnsi="Arial"/>
                <w:sz w:val="18"/>
                <w:szCs w:val="18"/>
                <w:color w:val="auto"/>
              </w:rPr>
              <w:t>0.2</w:t>
            </w:r>
          </w:p>
        </w:tc>
        <w:tc>
          <w:tcPr>
            <w:tcW w:w="194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rPr>
              <w:t>150.0%</w:t>
            </w:r>
          </w:p>
        </w:tc>
      </w:tr>
      <w:tr>
        <w:trPr>
          <w:trHeight w:val="230"/>
        </w:trPr>
        <w:tc>
          <w:tcPr>
            <w:tcW w:w="424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980" w:type="dxa"/>
            <w:vAlign w:val="bottom"/>
          </w:tcPr>
          <w:p>
            <w:pPr>
              <w:spacing w:after="0"/>
              <w:rPr>
                <w:sz w:val="20"/>
                <w:szCs w:val="20"/>
                <w:color w:val="auto"/>
              </w:rPr>
            </w:pPr>
          </w:p>
        </w:tc>
        <w:tc>
          <w:tcPr>
            <w:tcW w:w="1200" w:type="dxa"/>
            <w:vAlign w:val="bottom"/>
          </w:tcPr>
          <w:p>
            <w:pPr>
              <w:jc w:val="right"/>
              <w:ind w:right="259"/>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180" w:type="dxa"/>
            <w:vAlign w:val="bottom"/>
          </w:tcPr>
          <w:p>
            <w:pPr>
              <w:jc w:val="right"/>
              <w:ind w:right="319"/>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Interest income increased by $0.3 million in the three months ended April 30, 2022 compared to the three months ended May 1, 2021 due to higher interest rates on our invested cash.</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8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740" w:type="dxa"/>
            <w:vAlign w:val="bottom"/>
            <w:tcBorders>
              <w:bottom w:val="single" w:sz="8" w:color="auto"/>
            </w:tcBorders>
            <w:gridSpan w:val="3"/>
          </w:tcPr>
          <w:p>
            <w:pPr>
              <w:jc w:val="right"/>
              <w:ind w:right="88"/>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spacing w:after="0"/>
              <w:rPr>
                <w:sz w:val="16"/>
                <w:szCs w:val="16"/>
                <w:color w:val="auto"/>
              </w:rPr>
            </w:pPr>
          </w:p>
        </w:tc>
      </w:tr>
      <w:tr>
        <w:trPr>
          <w:trHeight w:val="135"/>
        </w:trPr>
        <w:tc>
          <w:tcPr>
            <w:tcW w:w="418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1240" w:type="dxa"/>
            <w:vAlign w:val="bottom"/>
          </w:tcPr>
          <w:p>
            <w:pPr>
              <w:jc w:val="right"/>
              <w:ind w:right="179"/>
              <w:spacing w:after="0" w:line="135" w:lineRule="exact"/>
              <w:rPr>
                <w:sz w:val="20"/>
                <w:szCs w:val="20"/>
                <w:color w:val="auto"/>
              </w:rPr>
            </w:pPr>
            <w:r>
              <w:rPr>
                <w:rFonts w:ascii="Arial" w:cs="Arial" w:eastAsia="Arial" w:hAnsi="Arial"/>
                <w:sz w:val="14"/>
                <w:szCs w:val="14"/>
                <w:b w:val="1"/>
                <w:bCs w:val="1"/>
                <w:color w:val="auto"/>
              </w:rPr>
              <w:t>April 30,</w:t>
            </w:r>
          </w:p>
        </w:tc>
        <w:tc>
          <w:tcPr>
            <w:tcW w:w="5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200" w:type="dxa"/>
            <w:vAlign w:val="bottom"/>
          </w:tcPr>
          <w:p>
            <w:pPr>
              <w:jc w:val="right"/>
              <w:ind w:right="279"/>
              <w:spacing w:after="0" w:line="135" w:lineRule="exact"/>
              <w:rPr>
                <w:sz w:val="20"/>
                <w:szCs w:val="20"/>
                <w:color w:val="auto"/>
              </w:rPr>
            </w:pPr>
            <w:r>
              <w:rPr>
                <w:rFonts w:ascii="Arial" w:cs="Arial" w:eastAsia="Arial" w:hAnsi="Arial"/>
                <w:sz w:val="14"/>
                <w:szCs w:val="14"/>
                <w:b w:val="1"/>
                <w:bCs w:val="1"/>
                <w:color w:val="auto"/>
              </w:rPr>
              <w:t>May 1,</w:t>
            </w:r>
          </w:p>
        </w:tc>
        <w:tc>
          <w:tcPr>
            <w:tcW w:w="1880" w:type="dxa"/>
            <w:vAlign w:val="bottom"/>
            <w:gridSpan w:val="3"/>
          </w:tcPr>
          <w:p>
            <w:pPr>
              <w:jc w:val="right"/>
              <w:ind w:right="16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18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619"/>
              <w:spacing w:after="0"/>
              <w:rPr>
                <w:sz w:val="20"/>
                <w:szCs w:val="20"/>
                <w:color w:val="auto"/>
              </w:rPr>
            </w:pPr>
            <w:r>
              <w:rPr>
                <w:rFonts w:ascii="Arial" w:cs="Arial" w:eastAsia="Arial" w:hAnsi="Arial"/>
                <w:sz w:val="14"/>
                <w:szCs w:val="14"/>
                <w:b w:val="1"/>
                <w:bCs w:val="1"/>
                <w:color w:val="auto"/>
              </w:rPr>
              <w:t>2022</w:t>
            </w:r>
          </w:p>
        </w:tc>
        <w:tc>
          <w:tcPr>
            <w:tcW w:w="5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679"/>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28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300" w:type="dxa"/>
            <w:vAlign w:val="bottom"/>
            <w:gridSpan w:val="2"/>
          </w:tcPr>
          <w:p>
            <w:pPr>
              <w:jc w:val="right"/>
              <w:ind w:right="299"/>
              <w:spacing w:after="0"/>
              <w:rPr>
                <w:sz w:val="20"/>
                <w:szCs w:val="20"/>
                <w:color w:val="auto"/>
              </w:rPr>
            </w:pPr>
            <w:r>
              <w:rPr>
                <w:rFonts w:ascii="Arial" w:cs="Arial" w:eastAsia="Arial" w:hAnsi="Arial"/>
                <w:sz w:val="14"/>
                <w:szCs w:val="14"/>
                <w:b w:val="1"/>
                <w:bCs w:val="1"/>
                <w:color w:val="auto"/>
                <w:w w:val="90"/>
              </w:rPr>
              <w:t>(in millions, except percentage)</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80" w:type="dxa"/>
            <w:vAlign w:val="bottom"/>
          </w:tcPr>
          <w:p>
            <w:pPr>
              <w:spacing w:after="0"/>
              <w:rPr>
                <w:sz w:val="18"/>
                <w:szCs w:val="18"/>
                <w:color w:val="auto"/>
              </w:rPr>
            </w:pPr>
          </w:p>
        </w:tc>
      </w:tr>
      <w:tr>
        <w:trPr>
          <w:trHeight w:val="235"/>
        </w:trPr>
        <w:tc>
          <w:tcPr>
            <w:tcW w:w="418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Interest expense</w:t>
            </w:r>
          </w:p>
        </w:tc>
        <w:tc>
          <w:tcPr>
            <w:tcW w:w="100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rPr>
              <w:t>(36.3)</w:t>
            </w:r>
          </w:p>
        </w:tc>
        <w:tc>
          <w:tcPr>
            <w:tcW w:w="1740" w:type="dxa"/>
            <w:vAlign w:val="bottom"/>
            <w:gridSpan w:val="3"/>
            <w:shd w:val="clear" w:color="auto" w:fill="CCEEFF"/>
          </w:tcPr>
          <w:p>
            <w:pPr>
              <w:jc w:val="right"/>
              <w:ind w:right="268"/>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rPr>
              <w:t>(35.1)</w:t>
            </w:r>
          </w:p>
        </w:tc>
        <w:tc>
          <w:tcPr>
            <w:tcW w:w="1880" w:type="dxa"/>
            <w:vAlign w:val="bottom"/>
            <w:gridSpan w:val="3"/>
            <w:shd w:val="clear" w:color="auto" w:fill="CCEEFF"/>
          </w:tcPr>
          <w:p>
            <w:pPr>
              <w:jc w:val="right"/>
              <w:ind w:right="48"/>
              <w:spacing w:after="0"/>
              <w:rPr>
                <w:sz w:val="20"/>
                <w:szCs w:val="20"/>
                <w:color w:val="auto"/>
              </w:rPr>
            </w:pPr>
            <w:r>
              <w:rPr>
                <w:rFonts w:ascii="Arial" w:cs="Arial" w:eastAsia="Arial" w:hAnsi="Arial"/>
                <w:sz w:val="18"/>
                <w:szCs w:val="18"/>
                <w:color w:val="auto"/>
              </w:rPr>
              <w:t>3.4%</w:t>
            </w:r>
          </w:p>
        </w:tc>
      </w:tr>
      <w:tr>
        <w:trPr>
          <w:trHeight w:val="230"/>
        </w:trPr>
        <w:tc>
          <w:tcPr>
            <w:tcW w:w="418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1240" w:type="dxa"/>
            <w:vAlign w:val="bottom"/>
          </w:tcPr>
          <w:p>
            <w:pPr>
              <w:jc w:val="right"/>
              <w:ind w:right="199"/>
              <w:spacing w:after="0"/>
              <w:rPr>
                <w:sz w:val="20"/>
                <w:szCs w:val="20"/>
                <w:color w:val="auto"/>
              </w:rPr>
            </w:pPr>
            <w:r>
              <w:rPr>
                <w:rFonts w:ascii="Arial" w:cs="Arial" w:eastAsia="Arial" w:hAnsi="Arial"/>
                <w:sz w:val="18"/>
                <w:szCs w:val="18"/>
                <w:color w:val="auto"/>
              </w:rPr>
              <w:t>(2.5)</w:t>
            </w: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200" w:type="dxa"/>
            <w:vAlign w:val="bottom"/>
          </w:tcPr>
          <w:p>
            <w:pPr>
              <w:jc w:val="right"/>
              <w:ind w:right="259"/>
              <w:spacing w:after="0"/>
              <w:rPr>
                <w:sz w:val="20"/>
                <w:szCs w:val="20"/>
                <w:color w:val="auto"/>
              </w:rPr>
            </w:pPr>
            <w:r>
              <w:rPr>
                <w:rFonts w:ascii="Arial" w:cs="Arial" w:eastAsia="Arial" w:hAnsi="Arial"/>
                <w:sz w:val="18"/>
                <w:szCs w:val="18"/>
                <w:color w:val="auto"/>
              </w:rPr>
              <w:t>(4.2)</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280" w:type="dxa"/>
            <w:vAlign w:val="bottom"/>
          </w:tcPr>
          <w:p>
            <w:pPr>
              <w:spacing w:after="0"/>
              <w:rPr>
                <w:sz w:val="20"/>
                <w:szCs w:val="20"/>
                <w:color w:val="auto"/>
              </w:rPr>
            </w:pPr>
          </w:p>
        </w:tc>
      </w:tr>
    </w:tbl>
    <w:p>
      <w:pPr>
        <w:spacing w:after="0" w:line="322"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Interest expense increased by $1.2 million in the three months ended April 30, 2022 compared to the three months ended May 1, 2021. The increase was primarily due to higher interest expense and amortization of debt issuance costs associated with the 2020 Term Loans and 2026, 2028 and 2031 Senior Notes, partially offset by prior period costs associated with the bridge loan termination.</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3" w:name="page34"/>
    <w:bookmarkEnd w:id="3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3"/>
          </w:tcPr>
          <w:p>
            <w:pPr>
              <w:jc w:val="right"/>
              <w:ind w:right="68"/>
              <w:spacing w:after="0"/>
              <w:rPr>
                <w:sz w:val="20"/>
                <w:szCs w:val="20"/>
                <w:color w:val="auto"/>
              </w:rPr>
            </w:pPr>
            <w:r>
              <w:rPr>
                <w:rFonts w:ascii="Arial" w:cs="Arial" w:eastAsia="Arial" w:hAnsi="Arial"/>
                <w:sz w:val="14"/>
                <w:szCs w:val="14"/>
                <w:b w:val="1"/>
                <w:bCs w:val="1"/>
                <w:color w:val="auto"/>
              </w:rPr>
              <w:t>Three Months Ended</w:t>
            </w:r>
          </w:p>
        </w:tc>
        <w:tc>
          <w:tcPr>
            <w:tcW w:w="1180" w:type="dxa"/>
            <w:vAlign w:val="bottom"/>
            <w:tcBorders>
              <w:bottom w:val="single" w:sz="8" w:color="auto"/>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spacing w:after="0"/>
              <w:rPr>
                <w:sz w:val="16"/>
                <w:szCs w:val="16"/>
                <w:color w:val="auto"/>
              </w:rPr>
            </w:pPr>
          </w:p>
        </w:tc>
      </w:tr>
      <w:tr>
        <w:trPr>
          <w:trHeight w:val="135"/>
        </w:trPr>
        <w:tc>
          <w:tcPr>
            <w:tcW w:w="4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jc w:val="right"/>
              <w:ind w:right="159"/>
              <w:spacing w:after="0" w:line="135" w:lineRule="exact"/>
              <w:rPr>
                <w:sz w:val="20"/>
                <w:szCs w:val="20"/>
                <w:color w:val="auto"/>
              </w:rPr>
            </w:pPr>
            <w:r>
              <w:rPr>
                <w:rFonts w:ascii="Arial" w:cs="Arial" w:eastAsia="Arial" w:hAnsi="Arial"/>
                <w:sz w:val="14"/>
                <w:szCs w:val="14"/>
                <w:b w:val="1"/>
                <w:bCs w:val="1"/>
                <w:color w:val="auto"/>
              </w:rPr>
              <w:t>April 30,</w:t>
            </w: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80" w:type="dxa"/>
            <w:vAlign w:val="bottom"/>
          </w:tcPr>
          <w:p>
            <w:pPr>
              <w:jc w:val="right"/>
              <w:ind w:right="279"/>
              <w:spacing w:after="0" w:line="135" w:lineRule="exact"/>
              <w:rPr>
                <w:sz w:val="20"/>
                <w:szCs w:val="20"/>
                <w:color w:val="auto"/>
              </w:rPr>
            </w:pPr>
            <w:r>
              <w:rPr>
                <w:rFonts w:ascii="Arial" w:cs="Arial" w:eastAsia="Arial" w:hAnsi="Arial"/>
                <w:sz w:val="14"/>
                <w:szCs w:val="14"/>
                <w:b w:val="1"/>
                <w:bCs w:val="1"/>
                <w:color w:val="auto"/>
              </w:rPr>
              <w:t>May 1,</w:t>
            </w:r>
          </w:p>
        </w:tc>
        <w:tc>
          <w:tcPr>
            <w:tcW w:w="1940" w:type="dxa"/>
            <w:vAlign w:val="bottom"/>
            <w:gridSpan w:val="3"/>
          </w:tcPr>
          <w:p>
            <w:pPr>
              <w:jc w:val="right"/>
              <w:ind w:right="208"/>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4240" w:type="dxa"/>
            <w:vAlign w:val="bottom"/>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99"/>
              <w:spacing w:after="0"/>
              <w:rPr>
                <w:sz w:val="20"/>
                <w:szCs w:val="20"/>
                <w:color w:val="auto"/>
              </w:rPr>
            </w:pPr>
            <w:r>
              <w:rPr>
                <w:rFonts w:ascii="Arial" w:cs="Arial" w:eastAsia="Arial" w:hAnsi="Arial"/>
                <w:sz w:val="14"/>
                <w:szCs w:val="14"/>
                <w:b w:val="1"/>
                <w:bCs w:val="1"/>
                <w:color w:val="auto"/>
              </w:rPr>
              <w:t>2022</w:t>
            </w:r>
          </w:p>
        </w:tc>
        <w:tc>
          <w:tcPr>
            <w:tcW w:w="5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659"/>
              <w:spacing w:after="0"/>
              <w:rPr>
                <w:sz w:val="20"/>
                <w:szCs w:val="20"/>
                <w:color w:val="auto"/>
              </w:rPr>
            </w:pPr>
            <w:r>
              <w:rPr>
                <w:rFonts w:ascii="Arial" w:cs="Arial" w:eastAsia="Arial" w:hAnsi="Arial"/>
                <w:sz w:val="14"/>
                <w:szCs w:val="14"/>
                <w:b w:val="1"/>
                <w:bCs w:val="1"/>
                <w:color w:val="auto"/>
              </w:rPr>
              <w:t>2021</w:t>
            </w:r>
          </w:p>
        </w:tc>
        <w:tc>
          <w:tcPr>
            <w:tcW w:w="46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8"/>
        </w:trPr>
        <w:tc>
          <w:tcPr>
            <w:tcW w:w="4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40" w:type="dxa"/>
            <w:vAlign w:val="bottom"/>
            <w:gridSpan w:val="2"/>
          </w:tcPr>
          <w:p>
            <w:pPr>
              <w:jc w:val="right"/>
              <w:ind w:right="199"/>
              <w:spacing w:after="0"/>
              <w:rPr>
                <w:sz w:val="20"/>
                <w:szCs w:val="20"/>
                <w:color w:val="auto"/>
              </w:rPr>
            </w:pPr>
            <w:r>
              <w:rPr>
                <w:rFonts w:ascii="Arial" w:cs="Arial" w:eastAsia="Arial" w:hAnsi="Arial"/>
                <w:sz w:val="14"/>
                <w:szCs w:val="14"/>
                <w:b w:val="1"/>
                <w:bCs w:val="1"/>
                <w:color w:val="auto"/>
                <w:w w:val="92"/>
              </w:rPr>
              <w:t>(in millions, except percentage)</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36"/>
        </w:trPr>
        <w:tc>
          <w:tcPr>
            <w:tcW w:w="4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income, net</w:t>
            </w:r>
          </w:p>
        </w:tc>
        <w:tc>
          <w:tcPr>
            <w:tcW w:w="98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ind w:right="259"/>
              <w:spacing w:after="0"/>
              <w:rPr>
                <w:sz w:val="20"/>
                <w:szCs w:val="20"/>
                <w:color w:val="auto"/>
              </w:rPr>
            </w:pPr>
            <w:r>
              <w:rPr>
                <w:rFonts w:ascii="Arial" w:cs="Arial" w:eastAsia="Arial" w:hAnsi="Arial"/>
                <w:sz w:val="18"/>
                <w:szCs w:val="18"/>
                <w:color w:val="auto"/>
              </w:rPr>
              <w:t>5.2</w:t>
            </w:r>
          </w:p>
        </w:tc>
        <w:tc>
          <w:tcPr>
            <w:tcW w:w="1700" w:type="dxa"/>
            <w:vAlign w:val="bottom"/>
            <w:gridSpan w:val="3"/>
            <w:shd w:val="clear" w:color="auto" w:fill="CCEEFF"/>
          </w:tcPr>
          <w:p>
            <w:pPr>
              <w:jc w:val="right"/>
              <w:ind w:right="228"/>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319"/>
              <w:spacing w:after="0"/>
              <w:rPr>
                <w:sz w:val="20"/>
                <w:szCs w:val="20"/>
                <w:color w:val="auto"/>
              </w:rPr>
            </w:pPr>
            <w:r>
              <w:rPr>
                <w:rFonts w:ascii="Arial" w:cs="Arial" w:eastAsia="Arial" w:hAnsi="Arial"/>
                <w:sz w:val="18"/>
                <w:szCs w:val="18"/>
                <w:color w:val="auto"/>
              </w:rPr>
              <w:t>1.2</w:t>
            </w:r>
          </w:p>
        </w:tc>
        <w:tc>
          <w:tcPr>
            <w:tcW w:w="1940" w:type="dxa"/>
            <w:vAlign w:val="bottom"/>
            <w:gridSpan w:val="3"/>
            <w:shd w:val="clear" w:color="auto" w:fill="CCEEFF"/>
          </w:tcPr>
          <w:p>
            <w:pPr>
              <w:jc w:val="right"/>
              <w:ind w:right="8"/>
              <w:spacing w:after="0"/>
              <w:rPr>
                <w:sz w:val="20"/>
                <w:szCs w:val="20"/>
                <w:color w:val="auto"/>
              </w:rPr>
            </w:pPr>
            <w:r>
              <w:rPr>
                <w:rFonts w:ascii="Arial" w:cs="Arial" w:eastAsia="Arial" w:hAnsi="Arial"/>
                <w:sz w:val="18"/>
                <w:szCs w:val="18"/>
                <w:color w:val="auto"/>
              </w:rPr>
              <w:t>333.3%</w:t>
            </w:r>
          </w:p>
        </w:tc>
      </w:tr>
      <w:tr>
        <w:trPr>
          <w:trHeight w:val="230"/>
        </w:trPr>
        <w:tc>
          <w:tcPr>
            <w:tcW w:w="4240" w:type="dxa"/>
            <w:vAlign w:val="bottom"/>
          </w:tcPr>
          <w:p>
            <w:pPr>
              <w:ind w:left="680"/>
              <w:spacing w:after="0"/>
              <w:rPr>
                <w:sz w:val="20"/>
                <w:szCs w:val="20"/>
                <w:color w:val="auto"/>
              </w:rPr>
            </w:pPr>
            <w:r>
              <w:rPr>
                <w:rFonts w:ascii="Arial" w:cs="Arial" w:eastAsia="Arial" w:hAnsi="Arial"/>
                <w:sz w:val="18"/>
                <w:szCs w:val="18"/>
                <w:color w:val="auto"/>
              </w:rPr>
              <w:t>% of net revenue</w:t>
            </w:r>
          </w:p>
        </w:tc>
        <w:tc>
          <w:tcPr>
            <w:tcW w:w="980" w:type="dxa"/>
            <w:vAlign w:val="bottom"/>
          </w:tcPr>
          <w:p>
            <w:pPr>
              <w:spacing w:after="0"/>
              <w:rPr>
                <w:sz w:val="20"/>
                <w:szCs w:val="20"/>
                <w:color w:val="auto"/>
              </w:rPr>
            </w:pPr>
          </w:p>
        </w:tc>
        <w:tc>
          <w:tcPr>
            <w:tcW w:w="1200" w:type="dxa"/>
            <w:vAlign w:val="bottom"/>
          </w:tcPr>
          <w:p>
            <w:pPr>
              <w:jc w:val="right"/>
              <w:ind w:right="259"/>
              <w:spacing w:after="0"/>
              <w:rPr>
                <w:sz w:val="20"/>
                <w:szCs w:val="20"/>
                <w:color w:val="auto"/>
              </w:rPr>
            </w:pPr>
            <w:r>
              <w:rPr>
                <w:rFonts w:ascii="Arial" w:cs="Arial" w:eastAsia="Arial" w:hAnsi="Arial"/>
                <w:sz w:val="18"/>
                <w:szCs w:val="18"/>
                <w:color w:val="auto"/>
              </w:rPr>
              <w:t>0.4</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1180" w:type="dxa"/>
            <w:vAlign w:val="bottom"/>
          </w:tcPr>
          <w:p>
            <w:pPr>
              <w:jc w:val="right"/>
              <w:ind w:right="319"/>
              <w:spacing w:after="0"/>
              <w:rPr>
                <w:sz w:val="20"/>
                <w:szCs w:val="20"/>
                <w:color w:val="auto"/>
              </w:rPr>
            </w:pPr>
            <w:r>
              <w:rPr>
                <w:rFonts w:ascii="Arial" w:cs="Arial" w:eastAsia="Arial" w:hAnsi="Arial"/>
                <w:sz w:val="18"/>
                <w:szCs w:val="18"/>
                <w:color w:val="auto"/>
              </w:rPr>
              <w:t>0.1</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620" w:firstLine="405"/>
        <w:spacing w:after="0" w:line="261" w:lineRule="auto"/>
        <w:rPr>
          <w:sz w:val="20"/>
          <w:szCs w:val="20"/>
          <w:color w:val="auto"/>
        </w:rPr>
      </w:pPr>
      <w:r>
        <w:rPr>
          <w:rFonts w:ascii="Arial" w:cs="Arial" w:eastAsia="Arial" w:hAnsi="Arial"/>
          <w:sz w:val="18"/>
          <w:szCs w:val="18"/>
          <w:color w:val="auto"/>
        </w:rPr>
        <w:t>Other income, net, increased by $4.0 million in the three months ended April 30, 2022 compared to the three months ended May 1, 2021. The increase was primarily due to a gain from an equity investment in a privately-held company.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520" w:type="dxa"/>
            <w:vAlign w:val="bottom"/>
          </w:tcPr>
          <w:p>
            <w:pPr>
              <w:spacing w:after="0"/>
              <w:rPr>
                <w:sz w:val="16"/>
                <w:szCs w:val="16"/>
                <w:color w:val="auto"/>
              </w:rPr>
            </w:pPr>
          </w:p>
        </w:tc>
        <w:tc>
          <w:tcPr>
            <w:tcW w:w="82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3"/>
          </w:tcPr>
          <w:p>
            <w:pPr>
              <w:jc w:val="right"/>
              <w:ind w:right="564"/>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spacing w:after="0"/>
              <w:rPr>
                <w:sz w:val="16"/>
                <w:szCs w:val="16"/>
                <w:color w:val="auto"/>
              </w:rPr>
            </w:pPr>
          </w:p>
        </w:tc>
      </w:tr>
      <w:tr>
        <w:trPr>
          <w:trHeight w:val="135"/>
        </w:trPr>
        <w:tc>
          <w:tcPr>
            <w:tcW w:w="55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20" w:type="dxa"/>
            <w:vAlign w:val="bottom"/>
            <w:gridSpan w:val="2"/>
          </w:tcPr>
          <w:p>
            <w:pPr>
              <w:ind w:left="240"/>
              <w:spacing w:after="0" w:line="135" w:lineRule="exact"/>
              <w:rPr>
                <w:sz w:val="20"/>
                <w:szCs w:val="20"/>
                <w:color w:val="auto"/>
              </w:rPr>
            </w:pPr>
            <w:r>
              <w:rPr>
                <w:rFonts w:ascii="Arial" w:cs="Arial" w:eastAsia="Arial" w:hAnsi="Arial"/>
                <w:sz w:val="14"/>
                <w:szCs w:val="14"/>
                <w:b w:val="1"/>
                <w:bCs w:val="1"/>
                <w:color w:val="auto"/>
              </w:rPr>
              <w:t>April 30,</w:t>
            </w:r>
          </w:p>
        </w:tc>
        <w:tc>
          <w:tcPr>
            <w:tcW w:w="156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May 1,</w:t>
            </w: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Pr>
          <w:p>
            <w:pPr>
              <w:jc w:val="right"/>
              <w:ind w:right="242"/>
              <w:spacing w:after="0" w:line="135" w:lineRule="exact"/>
              <w:rPr>
                <w:sz w:val="20"/>
                <w:szCs w:val="20"/>
                <w:color w:val="auto"/>
              </w:rPr>
            </w:pPr>
            <w:r>
              <w:rPr>
                <w:rFonts w:ascii="Arial" w:cs="Arial" w:eastAsia="Arial" w:hAnsi="Arial"/>
                <w:sz w:val="14"/>
                <w:szCs w:val="14"/>
                <w:b w:val="1"/>
                <w:bCs w:val="1"/>
                <w:color w:val="auto"/>
              </w:rPr>
              <w:t>%</w:t>
            </w:r>
          </w:p>
        </w:tc>
      </w:tr>
      <w:tr>
        <w:trPr>
          <w:trHeight w:val="188"/>
        </w:trPr>
        <w:tc>
          <w:tcPr>
            <w:tcW w:w="5520" w:type="dxa"/>
            <w:vAlign w:val="bottom"/>
          </w:tcPr>
          <w:p>
            <w:pPr>
              <w:spacing w:after="0"/>
              <w:rPr>
                <w:sz w:val="16"/>
                <w:szCs w:val="16"/>
                <w:color w:val="auto"/>
              </w:rPr>
            </w:pPr>
          </w:p>
        </w:tc>
        <w:tc>
          <w:tcPr>
            <w:tcW w:w="8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80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560" w:type="dxa"/>
            <w:vAlign w:val="bottom"/>
            <w:tcBorders>
              <w:bottom w:val="single" w:sz="8" w:color="auto"/>
            </w:tcBorders>
          </w:tcPr>
          <w:p>
            <w:pPr>
              <w:jc w:val="right"/>
              <w:ind w:right="324"/>
              <w:spacing w:after="0"/>
              <w:rPr>
                <w:sz w:val="20"/>
                <w:szCs w:val="20"/>
                <w:color w:val="auto"/>
              </w:rPr>
            </w:pPr>
            <w:r>
              <w:rPr>
                <w:rFonts w:ascii="Arial" w:cs="Arial" w:eastAsia="Arial" w:hAnsi="Arial"/>
                <w:sz w:val="14"/>
                <w:szCs w:val="14"/>
                <w:b w:val="1"/>
                <w:bCs w:val="1"/>
                <w:color w:val="auto"/>
              </w:rPr>
              <w:t>2021</w:t>
            </w:r>
          </w:p>
        </w:tc>
        <w:tc>
          <w:tcPr>
            <w:tcW w:w="4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44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18"/>
        </w:trPr>
        <w:tc>
          <w:tcPr>
            <w:tcW w:w="55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14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1"/>
              </w:rPr>
              <w:t>(in millions, except percentage)</w:t>
            </w:r>
          </w:p>
        </w:tc>
        <w:tc>
          <w:tcPr>
            <w:tcW w:w="1440" w:type="dxa"/>
            <w:vAlign w:val="bottom"/>
          </w:tcPr>
          <w:p>
            <w:pPr>
              <w:spacing w:after="0"/>
              <w:rPr>
                <w:sz w:val="18"/>
                <w:szCs w:val="18"/>
                <w:color w:val="auto"/>
              </w:rPr>
            </w:pPr>
          </w:p>
        </w:tc>
      </w:tr>
      <w:tr>
        <w:trPr>
          <w:trHeight w:val="236"/>
        </w:trPr>
        <w:tc>
          <w:tcPr>
            <w:tcW w:w="55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Provision (benefit) for income taxes</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204.9</w:t>
            </w:r>
          </w:p>
        </w:tc>
        <w:tc>
          <w:tcPr>
            <w:tcW w:w="100" w:type="dxa"/>
            <w:vAlign w:val="bottom"/>
            <w:shd w:val="clear" w:color="auto" w:fill="CCEEFF"/>
          </w:tcPr>
          <w:p>
            <w:pPr>
              <w:spacing w:after="0"/>
              <w:rPr>
                <w:sz w:val="20"/>
                <w:szCs w:val="20"/>
                <w:color w:val="auto"/>
              </w:rPr>
            </w:pPr>
          </w:p>
        </w:tc>
        <w:tc>
          <w:tcPr>
            <w:tcW w:w="1560" w:type="dxa"/>
            <w:vAlign w:val="bottom"/>
            <w:shd w:val="clear" w:color="auto" w:fill="CCEEFF"/>
          </w:tcPr>
          <w:p>
            <w:pPr>
              <w:jc w:val="right"/>
              <w:ind w:right="724"/>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(27.8)</w:t>
            </w:r>
          </w:p>
        </w:tc>
        <w:tc>
          <w:tcPr>
            <w:tcW w:w="100" w:type="dxa"/>
            <w:vAlign w:val="bottom"/>
            <w:shd w:val="clear" w:color="auto" w:fill="CCEEFF"/>
          </w:tcPr>
          <w:p>
            <w:pPr>
              <w:spacing w:after="0"/>
              <w:rPr>
                <w:sz w:val="20"/>
                <w:szCs w:val="20"/>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(837.1)%</w:t>
            </w:r>
          </w:p>
        </w:tc>
      </w:tr>
    </w:tbl>
    <w:p>
      <w:pPr>
        <w:spacing w:after="0" w:line="310" w:lineRule="exact"/>
        <w:rPr>
          <w:sz w:val="20"/>
          <w:szCs w:val="20"/>
          <w:color w:val="auto"/>
        </w:rPr>
      </w:pPr>
    </w:p>
    <w:p>
      <w:pPr>
        <w:ind w:right="20" w:firstLine="405"/>
        <w:spacing w:after="0" w:line="238" w:lineRule="auto"/>
        <w:rPr>
          <w:sz w:val="20"/>
          <w:szCs w:val="20"/>
          <w:color w:val="auto"/>
        </w:rPr>
      </w:pPr>
      <w:r>
        <w:rPr>
          <w:rFonts w:ascii="Arial" w:cs="Arial" w:eastAsia="Arial" w:hAnsi="Arial"/>
          <w:sz w:val="18"/>
          <w:szCs w:val="18"/>
          <w:color w:val="auto"/>
        </w:rPr>
        <w:t>Our income tax expense for the three months ended April 30, 2022 was $204.9 million compared to a tax benefit of $27.8 million for the three months ended May 1, 2021. Our income tax expense for the three months ended April 30, 2022 differed from the 21% federal income tax rate, primarily because of the remeasurement of our deferred taxes in Singapore upon the five year extension of our DEI status until June 30, 2029 at the new incentive tax rates that are expected to apply during these future periods for existing deferred tax items, resulting in a net reduction to our Singapore deferred tax assets of $213.6 million and a corresponding income tax expense. In addition, our tax rate for the three months ended April 30, 2022 was affected by the recognition of benefits for tax credits, discrete tax benefits from stock-based compensation deductions and the tax rate differential on foreign income. The income tax benefit for the three months ended May 1, 2021 differed from the federal statutory tax rate of 21% primarily because of tax rate differentials on foreign income, tax benefits for stock based compensation and the recognition of tax benefits on the expiration of the statutes of limitations for the assessment of certain foreign taxes.</w:t>
      </w:r>
    </w:p>
    <w:p>
      <w:pPr>
        <w:spacing w:after="0" w:line="218"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w:t>
      </w:r>
    </w:p>
    <w:p>
      <w:pPr>
        <w:spacing w:after="0" w:line="215"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The ultimate realization of deferred tax assets depends upon the generation of future taxable income during the periods in which those assets become deductible or creditable. We evaluate the recoverability of these assets, weighing all positive and negative evidence, and provide or maintain a valuation allowance for these assets if it is more likely than not that some, or all, of the deferred tax assets will not be realized. If negative evidence exists, sufficient positive evidence is necessary to support a conclusion that a valuation allowance is not needed. We consider all available evidence such as our earnings history including the existence of cumulative income or losses, reversals of taxable temporary differences, projected future taxable income, and tax planning strategies. In future periods, it is possible that significant positive or negative evidence could arise that results in a change in our judgment with respect to the need for a valuation allowance, which could result in a tax benefit, or adversely affect our income tax provision, in the period of such change in judgment.</w:t>
      </w:r>
    </w:p>
    <w:p>
      <w:pPr>
        <w:spacing w:after="0" w:line="221" w:lineRule="exact"/>
        <w:rPr>
          <w:sz w:val="20"/>
          <w:szCs w:val="20"/>
          <w:color w:val="auto"/>
        </w:rPr>
      </w:pPr>
    </w:p>
    <w:p>
      <w:pPr>
        <w:ind w:right="560" w:firstLine="405"/>
        <w:spacing w:after="0" w:line="248" w:lineRule="auto"/>
        <w:rPr>
          <w:sz w:val="20"/>
          <w:szCs w:val="20"/>
          <w:color w:val="auto"/>
        </w:rPr>
      </w:pPr>
      <w:r>
        <w:rPr>
          <w:rFonts w:ascii="Arial" w:cs="Arial" w:eastAsia="Arial" w:hAnsi="Arial"/>
          <w:sz w:val="18"/>
          <w:szCs w:val="18"/>
          <w:color w:val="auto"/>
        </w:rPr>
        <w:t>We also continuously evaluate potential changes to our legal structure in response to guidelines and requirements in various international tax jurisdictions where we conduct business. Additionally, please see the information in “Item 1A: Risk Factors” under the caption “</w:t>
      </w:r>
      <w:r>
        <w:rPr>
          <w:rFonts w:ascii="Arial" w:cs="Arial" w:eastAsia="Arial" w:hAnsi="Arial"/>
          <w:sz w:val="18"/>
          <w:szCs w:val="18"/>
          <w:i w:val="1"/>
          <w:iCs w:val="1"/>
          <w:color w:val="auto"/>
        </w:rPr>
        <w:t>Changes in existing</w:t>
      </w:r>
      <w:r>
        <w:rPr>
          <w:rFonts w:ascii="Arial" w:cs="Arial" w:eastAsia="Arial" w:hAnsi="Arial"/>
          <w:sz w:val="18"/>
          <w:szCs w:val="18"/>
          <w:color w:val="auto"/>
        </w:rPr>
        <w:t xml:space="preserve"> </w:t>
      </w:r>
      <w:r>
        <w:rPr>
          <w:rFonts w:ascii="Arial" w:cs="Arial" w:eastAsia="Arial" w:hAnsi="Arial"/>
          <w:sz w:val="18"/>
          <w:szCs w:val="18"/>
          <w:i w:val="1"/>
          <w:iCs w:val="1"/>
          <w:color w:val="auto"/>
        </w:rPr>
        <w:t>taxation benefits, 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4" w:name="page35"/>
    <w:bookmarkEnd w:id="3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firstLine="405"/>
        <w:spacing w:after="0" w:line="262" w:lineRule="auto"/>
        <w:rPr>
          <w:sz w:val="20"/>
          <w:szCs w:val="20"/>
          <w:color w:val="auto"/>
        </w:rPr>
      </w:pPr>
      <w:r>
        <w:rPr>
          <w:rFonts w:ascii="Arial" w:cs="Arial" w:eastAsia="Arial" w:hAnsi="Arial"/>
          <w:sz w:val="17"/>
          <w:szCs w:val="17"/>
          <w:color w:val="auto"/>
        </w:rPr>
        <w:t>Our principal source of liquidity as of April 30, 2022 consisted of approximately $465.0 million of cash and cash equivalents, of which approximately $415.6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10 – Income Taxes” in the Notes to the Unaudited Condensed Consolidated Financial Statements for further information.</w:t>
      </w:r>
    </w:p>
    <w:p>
      <w:pPr>
        <w:spacing w:after="0" w:line="199" w:lineRule="exact"/>
        <w:rPr>
          <w:sz w:val="20"/>
          <w:szCs w:val="20"/>
          <w:color w:val="auto"/>
        </w:rPr>
      </w:pPr>
    </w:p>
    <w:p>
      <w:pPr>
        <w:ind w:right="100" w:firstLine="405"/>
        <w:spacing w:after="0" w:line="324" w:lineRule="auto"/>
        <w:rPr>
          <w:sz w:val="20"/>
          <w:szCs w:val="20"/>
          <w:color w:val="auto"/>
        </w:rPr>
      </w:pPr>
      <w:r>
        <w:rPr>
          <w:rFonts w:ascii="Arial" w:cs="Arial" w:eastAsia="Arial" w:hAnsi="Arial"/>
          <w:sz w:val="16"/>
          <w:szCs w:val="16"/>
          <w:color w:val="auto"/>
        </w:rPr>
        <w:t>In December 2020, to fund the Inphi acquisition, we executed a debt agreement to obtain a 3-year term loan of $875.0 million and a 5-year term loan of $875.0 million. For the quarter ended April 30, 2022, the Company repaid $10.9 million of the principal outstanding of the 5-year term loan.</w:t>
      </w:r>
    </w:p>
    <w:p>
      <w:pPr>
        <w:spacing w:after="0" w:line="151"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In December 2020, we also executed a debt agreement to obtain a $750.0 million revolving credit facility (“2020 Revolving Credit Facility”). Subsequent to quarter end, on May 3, 2022, the Company drew down $150.0 million on the 2020 Revolving Credit Facility. The Company intends to repay the drawn amount during the second quarter of fiscal 2023.</w:t>
      </w:r>
    </w:p>
    <w:p>
      <w:pPr>
        <w:spacing w:after="0" w:line="209" w:lineRule="exact"/>
        <w:rPr>
          <w:sz w:val="20"/>
          <w:szCs w:val="20"/>
          <w:color w:val="auto"/>
        </w:rPr>
      </w:pPr>
    </w:p>
    <w:p>
      <w:pPr>
        <w:ind w:right="180" w:firstLine="405"/>
        <w:spacing w:after="0" w:line="248" w:lineRule="auto"/>
        <w:rPr>
          <w:sz w:val="20"/>
          <w:szCs w:val="20"/>
          <w:color w:val="auto"/>
        </w:rPr>
      </w:pPr>
      <w:r>
        <w:rPr>
          <w:rFonts w:ascii="Arial" w:cs="Arial" w:eastAsia="Arial" w:hAnsi="Arial"/>
          <w:sz w:val="18"/>
          <w:szCs w:val="18"/>
          <w:color w:val="auto"/>
        </w:rPr>
        <w:t>In April 2021, we completed an offering and issued (i) 5-year $500.0 million senior notes due in 2026, (ii) 7-year $750.0 million senior notes due in 2028, and (iii) 10-year $750.0 million senior notes due in 2031 (collectively, the “Senior Notes”). On October 8, 2021, the Senior Notes issued in April 2021 were exchanged for new notes.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“Note 4 – Debt” in the Notes to the Unaudited Condensed Consolidated Financial Statements for additional information.</w:t>
      </w:r>
    </w:p>
    <w:p>
      <w:pPr>
        <w:spacing w:after="0" w:line="239"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We believe that our existing cash, cash equivalents, together with cash generated from operations, and funds from our 2020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01" w:lineRule="exact"/>
        <w:rPr>
          <w:sz w:val="20"/>
          <w:szCs w:val="20"/>
          <w:color w:val="auto"/>
        </w:rPr>
      </w:pPr>
    </w:p>
    <w:p>
      <w:pPr>
        <w:ind w:right="40" w:firstLine="405"/>
        <w:spacing w:after="0"/>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216"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spacing w:after="0" w:line="20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Net cash flow provided by operating activities for the three months ended April 30, 2022 was $194.8 million. We had a net loss of $165.7 million adjusted for the following non-cash items: amortization of acquired intangible assets of $272.5 million, deferred income tax expense of $165.0 million, stock-based compensation expense of $131.1 million, depreciation and amortization of $75.7 million, amortization of inventory fair value adjustment associated with the Innovium acquisition of $9.3 million, and $6.7 million net loss from other non-cash items. Cash outflow from working capital of $299.8 million for the three months ended April 30, 2022 was primarily driven by increases in accounts receivable, inventory, and prepaid expenses and other assets and decrease in accrued employee compensation, partially offset by increases in accounts payable and accrued liabilities and other non-current liabilities. The increase in accounts receivable was driven primarily by higher revenue and uniform collections. The increase in inventory is to support future customer demand. The increase in prepaid expenses and other assets is primarily due to prepayments on supply capacity reservation agreements. The decrease in accrued employee compensation is due to bonus payout. The increase in accounts payable was mainly due to timing of payments. The increase in accrued liabilities and other non-current liabilities is mainly due to an increase in ship and debit claim reserve due to price increase and stock replenishment.</w:t>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120" w:firstLine="405"/>
        <w:spacing w:after="0" w:line="272" w:lineRule="auto"/>
        <w:rPr>
          <w:sz w:val="20"/>
          <w:szCs w:val="20"/>
          <w:color w:val="auto"/>
        </w:rPr>
      </w:pPr>
      <w:r>
        <w:rPr>
          <w:rFonts w:ascii="Arial" w:cs="Arial" w:eastAsia="Arial" w:hAnsi="Arial"/>
          <w:sz w:val="16"/>
          <w:szCs w:val="16"/>
          <w:color w:val="auto"/>
        </w:rPr>
        <w:t>Net cash flow used in operating activities for the three months ended May 1, 2021 was $13.7 million. We had a net loss of $88.2 million adjusted for the following non-cash items: amortization of acquired intangible assets of $128.6 million, stock-based compensation expense of $92.7 million, depreciation and amortization of $51.8 million, deferred income tax benefit of $22.6 million, amortization of inventory fair value adjustment associated with the Inphi acquisition of $13.7 million and $31.4 million net loss from other non-cash items. Cash outflow from working capital of $221.1 million for the three months ended May 1, 2021 was primarily driven by a decrease in accrued employee compensation, decrease in accounts payable, a decrease in accrued liabilities and other non-current liabilities as well as an increase in accounts receivable. The decrease in accrued employee compensation is due to our annual bonus payment in the period. The decrease in accounts payable and accrued liabilities and other non-current liabilities is primarily due to payment of banker success fees. The increase in accounts receivable is due to revenue linearity and lower sales reserves.</w:t>
      </w:r>
    </w:p>
    <w:p>
      <w:pPr>
        <w:spacing w:after="0" w:line="19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260" w:firstLine="405"/>
        <w:spacing w:after="0" w:line="291" w:lineRule="auto"/>
        <w:rPr>
          <w:sz w:val="20"/>
          <w:szCs w:val="20"/>
          <w:color w:val="auto"/>
        </w:rPr>
      </w:pPr>
      <w:r>
        <w:rPr>
          <w:rFonts w:ascii="Arial" w:cs="Arial" w:eastAsia="Arial" w:hAnsi="Arial"/>
          <w:sz w:val="17"/>
          <w:szCs w:val="17"/>
          <w:color w:val="auto"/>
        </w:rPr>
        <w:t>For the three months ended April 30, 2022, net cash used in investing activities of $82.4 million was primarily driven by net cash paid for business acquisitions of $44.0 million, purchases of property and equipment of $36.9 million, and purchases of technology licenses of $1.6 million.</w:t>
      </w:r>
    </w:p>
    <w:p>
      <w:pPr>
        <w:spacing w:after="0" w:line="174" w:lineRule="exact"/>
        <w:rPr>
          <w:sz w:val="20"/>
          <w:szCs w:val="20"/>
          <w:color w:val="auto"/>
        </w:rPr>
      </w:pPr>
    </w:p>
    <w:p>
      <w:pPr>
        <w:ind w:right="420" w:firstLine="405"/>
        <w:spacing w:after="0" w:line="291" w:lineRule="auto"/>
        <w:rPr>
          <w:sz w:val="20"/>
          <w:szCs w:val="20"/>
          <w:color w:val="auto"/>
        </w:rPr>
      </w:pPr>
      <w:r>
        <w:rPr>
          <w:rFonts w:ascii="Arial" w:cs="Arial" w:eastAsia="Arial" w:hAnsi="Arial"/>
          <w:sz w:val="17"/>
          <w:szCs w:val="17"/>
          <w:color w:val="auto"/>
        </w:rPr>
        <w:t>For the three months ended May 1, 2021, net cash used in investing activities of $3.6 billion was primarily driven by the net cash paid to acquire Inphi of $3.6 billion, purchases of property and equipment of $21.4 million and purchases of technology licenses of $3.4 million.</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180" w:firstLine="405"/>
        <w:spacing w:after="0" w:line="243" w:lineRule="auto"/>
        <w:rPr>
          <w:sz w:val="20"/>
          <w:szCs w:val="20"/>
          <w:color w:val="auto"/>
        </w:rPr>
      </w:pPr>
      <w:r>
        <w:rPr>
          <w:rFonts w:ascii="Arial" w:cs="Arial" w:eastAsia="Arial" w:hAnsi="Arial"/>
          <w:sz w:val="18"/>
          <w:szCs w:val="18"/>
          <w:color w:val="auto"/>
        </w:rPr>
        <w:t>For the three months ended April 30, 2022, net cash used in financing activities of $260.9 million was primarily attributable to $137.6 million tax withholding payments on behalf of employees for net share settlements, $50.9 million for payment of our quarterly dividends, $49.0 million payments on technology license obligations, $15.0 million of repurchases of common stock and $10.9 million repayment of debt, partially offset by $2.5 million proceeds from employee stock plans.</w:t>
      </w:r>
    </w:p>
    <w:p>
      <w:pPr>
        <w:spacing w:after="0" w:line="215" w:lineRule="exact"/>
        <w:rPr>
          <w:sz w:val="20"/>
          <w:szCs w:val="20"/>
          <w:color w:val="auto"/>
        </w:rPr>
      </w:pPr>
    </w:p>
    <w:p>
      <w:pPr>
        <w:ind w:firstLine="405"/>
        <w:spacing w:after="0" w:line="262" w:lineRule="auto"/>
        <w:rPr>
          <w:sz w:val="20"/>
          <w:szCs w:val="20"/>
          <w:color w:val="auto"/>
        </w:rPr>
      </w:pPr>
      <w:r>
        <w:rPr>
          <w:rFonts w:ascii="Arial" w:cs="Arial" w:eastAsia="Arial" w:hAnsi="Arial"/>
          <w:sz w:val="17"/>
          <w:szCs w:val="17"/>
          <w:color w:val="auto"/>
        </w:rPr>
        <w:t>For the three months ended May 1, 2021, net cash provided by financing activities of $3.4 billion was primarily attributable to proceeds from issuance of debt of $3.7 billion, proceeds from capped calls of $111.2 million, partially offset by $200.0 million repayment of debt principal, $73.2 million tax withholding payments on behalf of employees for net share settlements, $71.1 million of repurchase and settlement of convertible notes, $44.1 million payments for technology license obligations and $40.6 million for payment of our quarterly dividends.</w:t>
      </w:r>
    </w:p>
    <w:p>
      <w:pPr>
        <w:spacing w:after="0" w:line="19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Capital Resources and Material Cash Requirements</w:t>
      </w:r>
    </w:p>
    <w:p>
      <w:pPr>
        <w:spacing w:after="0" w:line="239" w:lineRule="exact"/>
        <w:rPr>
          <w:sz w:val="20"/>
          <w:szCs w:val="20"/>
          <w:color w:val="auto"/>
        </w:rPr>
      </w:pPr>
    </w:p>
    <w:p>
      <w:pPr>
        <w:ind w:right="340" w:firstLine="405"/>
        <w:spacing w:after="0" w:line="294" w:lineRule="auto"/>
        <w:rPr>
          <w:sz w:val="20"/>
          <w:szCs w:val="20"/>
          <w:color w:val="auto"/>
        </w:rPr>
      </w:pPr>
      <w:r>
        <w:rPr>
          <w:rFonts w:ascii="Arial" w:cs="Arial" w:eastAsia="Arial" w:hAnsi="Arial"/>
          <w:sz w:val="16"/>
          <w:szCs w:val="16"/>
          <w:color w:val="auto"/>
        </w:rPr>
        <w:t>A summary of our capital resources and material cash requirements is presented in Part II, Item 7, Management’s Discussion and Analysis of Financial Condition and Results of Operations, in our Annual Report on Form 10-K for the fiscal year ended January 29, 2022. Other than as described above, there were no material changes to our capital resources and material cash requirements during the three months ended April 30, 2022.</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See “Note 5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6" w:name="page37"/>
    <w:bookmarkEnd w:id="3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2020 Term Loans. See “Note 4 – Debt” in the Notes to the Unaudited Condensed Consolidated Financial Statements for further information. A hypothetical increase or decrease in the interest rate by 1 percentage point would result in an increase or decrease in annual interest expense by approximately $15.5 million.</w:t>
      </w:r>
    </w:p>
    <w:p>
      <w:pPr>
        <w:spacing w:after="0" w:line="215"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We currently carry debt that relies on one-month LIBOR as the benchmark rate. The one-month LIBOR is expected to cease publication after June 30, 2023. To the extent the one-month LIBOR ceases to exist, the 2020 Term Loans and 2020 Revolving Credit Facility agreements contemplate an alternative benchmark rate without the need for any amendment thereto.</w:t>
      </w:r>
    </w:p>
    <w:p>
      <w:pPr>
        <w:spacing w:after="0" w:line="209" w:lineRule="exact"/>
        <w:rPr>
          <w:sz w:val="20"/>
          <w:szCs w:val="20"/>
          <w:color w:val="auto"/>
        </w:rPr>
      </w:pPr>
    </w:p>
    <w:p>
      <w:pPr>
        <w:ind w:firstLine="405"/>
        <w:spacing w:after="0" w:line="254"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April 30, 2022,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5"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Rules 13a-15(e) and 15d-15(e)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April 30, 2022.</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firstLine="405"/>
        <w:spacing w:after="0" w:line="225"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April 30, 2022 that have materially affected, or are reasonably likely to materially affect, our internal control over financial reporting. While our offices around the world generally remain open to enable critical on-site business functions in accordance with local government guidelines, in response to the COVID-19 pandemic we modified our workplace practices globally, which resulted in many of our employees working remotely for extended periods of time. As a result, many of our employees have expressed a preference to continue to work from home two to three days a week post-pandemic. In response, we adopted a hybrid work policy where most employees split their time between home and the office. We are continually monitoring and assessing the COVID-19 situation on our internal controls to minimize the impact on their design and operating effectiveness. We believe that our internal controls over financial reporting are being executed effectively and continue to be effective.</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 on Effectiveness of Controls</w:t>
      </w:r>
    </w:p>
    <w:p>
      <w:pPr>
        <w:spacing w:after="0" w:line="243" w:lineRule="exact"/>
        <w:rPr>
          <w:sz w:val="20"/>
          <w:szCs w:val="20"/>
          <w:color w:val="auto"/>
        </w:rPr>
      </w:pPr>
    </w:p>
    <w:p>
      <w:pPr>
        <w:ind w:right="180" w:firstLine="405"/>
        <w:spacing w:after="0" w:line="253"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8" w:name="page39"/>
    <w:bookmarkEnd w:id="3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information under the caption “Contingencies and Legal Proceedings” as set forth in “Note 5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108"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104" w:lineRule="exact"/>
        <w:rPr>
          <w:sz w:val="20"/>
          <w:szCs w:val="20"/>
          <w:color w:val="auto"/>
        </w:rPr>
      </w:pPr>
    </w:p>
    <w:p>
      <w:pPr>
        <w:ind w:right="320" w:firstLine="405"/>
        <w:spacing w:after="0" w:line="275"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109" w:lineRule="exact"/>
        <w:rPr>
          <w:sz w:val="20"/>
          <w:szCs w:val="20"/>
          <w:color w:val="auto"/>
        </w:rPr>
      </w:pPr>
    </w:p>
    <w:p>
      <w:pPr>
        <w:ind w:left="660" w:right="64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1" w:lineRule="exact"/>
        <w:rPr>
          <w:rFonts w:ascii="Arial" w:cs="Arial" w:eastAsia="Arial" w:hAnsi="Arial"/>
          <w:sz w:val="22"/>
          <w:szCs w:val="22"/>
          <w:color w:val="auto"/>
        </w:rPr>
      </w:pPr>
    </w:p>
    <w:p>
      <w:pPr>
        <w:ind w:left="660" w:hanging="328"/>
        <w:spacing w:after="0" w:line="230"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scale our business;</w:t>
      </w:r>
    </w:p>
    <w:p>
      <w:pPr>
        <w:spacing w:after="0" w:line="13" w:lineRule="exact"/>
        <w:rPr>
          <w:rFonts w:ascii="Arial" w:cs="Arial" w:eastAsia="Arial" w:hAnsi="Arial"/>
          <w:sz w:val="22"/>
          <w:szCs w:val="22"/>
          <w:color w:val="auto"/>
        </w:rPr>
      </w:pPr>
    </w:p>
    <w:p>
      <w:pPr>
        <w:ind w:left="660" w:right="220" w:hanging="328"/>
        <w:spacing w:after="0" w:line="233"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1" w:lineRule="exact"/>
        <w:rPr>
          <w:rFonts w:ascii="Arial" w:cs="Arial" w:eastAsia="Arial" w:hAnsi="Arial"/>
          <w:sz w:val="22"/>
          <w:szCs w:val="22"/>
          <w:color w:val="auto"/>
        </w:rPr>
      </w:pPr>
    </w:p>
    <w:p>
      <w:pPr>
        <w:ind w:left="660" w:right="60" w:hanging="328"/>
        <w:spacing w:after="0" w:line="208"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changes in general economic conditions such as economic slowdowns, inflation, stagflation, and recessions or political conditions, such as the tariffs and trade restrictions with China, Russia and other foreign nations, and specific conditions in the end markets we address, including the continuing volatility in the technology sector and semiconductor industry;</w:t>
      </w:r>
    </w:p>
    <w:p>
      <w:pPr>
        <w:spacing w:after="0" w:line="2" w:lineRule="exact"/>
        <w:rPr>
          <w:rFonts w:ascii="Arial" w:cs="Arial" w:eastAsia="Arial" w:hAnsi="Arial"/>
          <w:sz w:val="22"/>
          <w:szCs w:val="22"/>
          <w:color w:val="auto"/>
        </w:rPr>
      </w:pPr>
    </w:p>
    <w:p>
      <w:pPr>
        <w:ind w:left="660" w:right="100" w:hanging="328"/>
        <w:spacing w:after="0" w:line="225"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ind w:left="660" w:right="48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ind w:left="660" w:right="760" w:hanging="328"/>
        <w:spacing w:after="0" w:line="232" w:lineRule="auto"/>
        <w:tabs>
          <w:tab w:leader="none" w:pos="655"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ability to successfully integrate and to realize anticipated synergies, on a timely basis or at all, in connection with our acquisitions, divestitures, significant investments or strategic transactions;</w:t>
      </w:r>
    </w:p>
    <w:p>
      <w:pPr>
        <w:ind w:left="660" w:hanging="328"/>
        <w:spacing w:after="0" w:line="217"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debt obligations;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the effects of any future acquisitions, divestitures or significant investments;</w:t>
      </w:r>
    </w:p>
    <w:p>
      <w:pPr>
        <w:spacing w:after="0" w:line="10" w:lineRule="exact"/>
        <w:rPr>
          <w:rFonts w:ascii="Arial" w:cs="Arial" w:eastAsia="Arial" w:hAnsi="Arial"/>
          <w:sz w:val="22"/>
          <w:szCs w:val="22"/>
          <w:color w:val="auto"/>
        </w:rPr>
      </w:pPr>
    </w:p>
    <w:p>
      <w:pPr>
        <w:ind w:left="660" w:hanging="328"/>
        <w:spacing w:after="0" w:line="231" w:lineRule="auto"/>
        <w:tabs>
          <w:tab w:leader="none" w:pos="660" w:val="left"/>
        </w:tabs>
        <w:numPr>
          <w:ilvl w:val="0"/>
          <w:numId w:val="7"/>
        </w:numPr>
        <w:rPr>
          <w:rFonts w:ascii="Arial" w:cs="Arial" w:eastAsia="Arial" w:hAnsi="Arial"/>
          <w:sz w:val="21"/>
          <w:szCs w:val="21"/>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0" w:lineRule="exact"/>
        <w:rPr>
          <w:rFonts w:ascii="Arial" w:cs="Arial" w:eastAsia="Arial" w:hAnsi="Arial"/>
          <w:sz w:val="21"/>
          <w:szCs w:val="21"/>
          <w:color w:val="auto"/>
        </w:rPr>
      </w:pPr>
    </w:p>
    <w:p>
      <w:pPr>
        <w:ind w:left="660" w:hanging="328"/>
        <w:spacing w:after="0" w:line="221" w:lineRule="auto"/>
        <w:tabs>
          <w:tab w:leader="none" w:pos="660" w:val="left"/>
        </w:tabs>
        <w:numPr>
          <w:ilvl w:val="0"/>
          <w:numId w:val="7"/>
        </w:numPr>
        <w:rPr>
          <w:rFonts w:ascii="Arial" w:cs="Arial" w:eastAsia="Arial" w:hAnsi="Arial"/>
          <w:sz w:val="22"/>
          <w:szCs w:val="22"/>
          <w:color w:val="auto"/>
        </w:rPr>
      </w:pPr>
      <w:r>
        <w:rPr>
          <w:rFonts w:ascii="Arial" w:cs="Arial" w:eastAsia="Arial" w:hAnsi="Arial"/>
          <w:sz w:val="18"/>
          <w:szCs w:val="18"/>
          <w:color w:val="auto"/>
        </w:rPr>
        <w:t>risks related to our dependence on a few customers for a significant portion of our revenue;</w:t>
      </w:r>
    </w:p>
    <w:p>
      <w:pPr>
        <w:spacing w:after="0" w:line="200" w:lineRule="exact"/>
        <w:rPr>
          <w:sz w:val="20"/>
          <w:szCs w:val="20"/>
          <w:color w:val="auto"/>
        </w:rPr>
      </w:pPr>
    </w:p>
    <w:p>
      <w:pPr>
        <w:spacing w:after="0" w:line="3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9" w:name="page40"/>
    <w:bookmarkEnd w:id="3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5" w:lineRule="exact"/>
        <w:rPr>
          <w:sz w:val="20"/>
          <w:szCs w:val="20"/>
          <w:color w:val="auto"/>
        </w:rPr>
      </w:pPr>
    </w:p>
    <w:p>
      <w:pPr>
        <w:ind w:left="660" w:hanging="328"/>
        <w:spacing w:after="0"/>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 w:lineRule="exact"/>
        <w:rPr>
          <w:rFonts w:ascii="Arial" w:cs="Arial" w:eastAsia="Arial" w:hAnsi="Arial"/>
          <w:sz w:val="22"/>
          <w:szCs w:val="22"/>
          <w:color w:val="auto"/>
        </w:rPr>
      </w:pPr>
    </w:p>
    <w:p>
      <w:pPr>
        <w:ind w:left="660" w:right="20" w:hanging="328"/>
        <w:spacing w:after="0" w:line="206"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maintain a competitive cost structure for our manufacturing and assembly and test processes and our reliance on third parties to produce our products;</w:t>
      </w:r>
    </w:p>
    <w:p>
      <w:pPr>
        <w:spacing w:after="0" w:line="1" w:lineRule="exact"/>
        <w:rPr>
          <w:rFonts w:ascii="Arial" w:cs="Arial" w:eastAsia="Arial" w:hAnsi="Arial"/>
          <w:sz w:val="22"/>
          <w:szCs w:val="22"/>
          <w:color w:val="auto"/>
        </w:rPr>
      </w:pPr>
    </w:p>
    <w:p>
      <w:pPr>
        <w:ind w:left="660" w:right="500" w:hanging="328"/>
        <w:spacing w:after="0" w:line="204"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ind w:left="660" w:hanging="328"/>
        <w:spacing w:after="0" w:line="210"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any current and future litigation and regulatory investigations that could result in substantial costs and a diversion of management’s attention and resources that are needed to successfully maintain and grow our business;</w:t>
      </w:r>
    </w:p>
    <w:p>
      <w:pPr>
        <w:ind w:left="660" w:hanging="328"/>
        <w:spacing w:after="0" w:line="204"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gain or loss of a design win or key customer;</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seasonality or volatility related to sales into the infrastructure market;</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qualify our products or our suppliers’ manufacturing lines;</w:t>
      </w:r>
    </w:p>
    <w:p>
      <w:pPr>
        <w:spacing w:after="0" w:line="10" w:lineRule="exact"/>
        <w:rPr>
          <w:rFonts w:ascii="Arial" w:cs="Arial" w:eastAsia="Arial" w:hAnsi="Arial"/>
          <w:sz w:val="22"/>
          <w:szCs w:val="22"/>
          <w:color w:val="auto"/>
        </w:rPr>
      </w:pPr>
    </w:p>
    <w:p>
      <w:pPr>
        <w:ind w:left="660" w:right="580" w:hanging="328"/>
        <w:spacing w:after="0" w:line="213"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ability to develop and introduce new and enhanced products, in particular in the 5G and Cloud markets, in a timely and effective manner, as well as our ability to anticipate and adapt to changes in technology;</w:t>
      </w:r>
    </w:p>
    <w:p>
      <w:pPr>
        <w:ind w:left="660" w:hanging="328"/>
        <w:spacing w:after="0" w:line="204"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to protect our intellectual property, particularly outside the United States;</w:t>
      </w:r>
    </w:p>
    <w:p>
      <w:pPr>
        <w:spacing w:after="0" w:line="13" w:lineRule="exact"/>
        <w:rPr>
          <w:rFonts w:ascii="Arial" w:cs="Arial" w:eastAsia="Arial" w:hAnsi="Arial"/>
          <w:sz w:val="22"/>
          <w:szCs w:val="22"/>
          <w:color w:val="auto"/>
        </w:rPr>
      </w:pPr>
    </w:p>
    <w:p>
      <w:pPr>
        <w:ind w:left="660" w:right="120" w:hanging="328"/>
        <w:spacing w:after="0" w:line="21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the potential impact of a significant natural disasters, or the effects of climate change (such as drought, flooding, wildfires, increased storm severity and sea level rise), particularly in certain regions in which we operate or own buildings, such as Santa Clara, California, and where our third party suppliers operate, such as Taiwan and elsewhere in the Pacific Rim;</w:t>
      </w:r>
    </w:p>
    <w:p>
      <w:pPr>
        <w:spacing w:after="0" w:line="2" w:lineRule="exact"/>
        <w:rPr>
          <w:rFonts w:ascii="Arial" w:cs="Arial" w:eastAsia="Arial" w:hAnsi="Arial"/>
          <w:sz w:val="22"/>
          <w:szCs w:val="22"/>
          <w:color w:val="auto"/>
        </w:rPr>
      </w:pPr>
    </w:p>
    <w:p>
      <w:pPr>
        <w:ind w:left="660" w:hanging="328"/>
        <w:spacing w:after="0" w:line="217"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our Environmental, Social and Governance (ESG) programs;</w:t>
      </w:r>
    </w:p>
    <w:p>
      <w:pPr>
        <w:spacing w:after="0" w:line="10" w:lineRule="exact"/>
        <w:rPr>
          <w:rFonts w:ascii="Arial" w:cs="Arial" w:eastAsia="Arial" w:hAnsi="Arial"/>
          <w:sz w:val="22"/>
          <w:szCs w:val="22"/>
          <w:color w:val="auto"/>
        </w:rPr>
      </w:pPr>
    </w:p>
    <w:p>
      <w:pPr>
        <w:ind w:left="660" w:hanging="328"/>
        <w:spacing w:after="0" w:line="221" w:lineRule="auto"/>
        <w:tabs>
          <w:tab w:leader="none" w:pos="660"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severe financial hardship or bankruptcy of one or more of our major customers; and</w:t>
      </w:r>
    </w:p>
    <w:p>
      <w:pPr>
        <w:spacing w:after="0" w:line="12" w:lineRule="exact"/>
        <w:rPr>
          <w:rFonts w:ascii="Arial" w:cs="Arial" w:eastAsia="Arial" w:hAnsi="Arial"/>
          <w:sz w:val="22"/>
          <w:szCs w:val="22"/>
          <w:color w:val="auto"/>
        </w:rPr>
      </w:pPr>
    </w:p>
    <w:p>
      <w:pPr>
        <w:ind w:left="660" w:right="100" w:hanging="328"/>
        <w:spacing w:after="0" w:line="218" w:lineRule="auto"/>
        <w:tabs>
          <w:tab w:leader="none" w:pos="655" w:val="left"/>
        </w:tabs>
        <w:numPr>
          <w:ilvl w:val="0"/>
          <w:numId w:val="8"/>
        </w:numPr>
        <w:rPr>
          <w:rFonts w:ascii="Arial" w:cs="Arial" w:eastAsia="Arial" w:hAnsi="Arial"/>
          <w:sz w:val="22"/>
          <w:szCs w:val="22"/>
          <w:color w:val="auto"/>
        </w:rPr>
      </w:pPr>
      <w:r>
        <w:rPr>
          <w:rFonts w:ascii="Arial" w:cs="Arial" w:eastAsia="Arial" w:hAnsi="Arial"/>
          <w:sz w:val="18"/>
          <w:szCs w:val="18"/>
          <w:color w:val="auto"/>
        </w:rPr>
        <w:t>risks related to failures of our customers to agree to pay for NRE (non-recurring engineering) costs or failure to pay enough to cover the costs we incur in connection with NREs.</w:t>
      </w:r>
    </w:p>
    <w:p>
      <w:pPr>
        <w:spacing w:after="0" w:line="82"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amongst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35" w:lineRule="exact"/>
        <w:rPr>
          <w:sz w:val="20"/>
          <w:szCs w:val="20"/>
          <w:color w:val="auto"/>
        </w:rPr>
      </w:pPr>
    </w:p>
    <w:p>
      <w:pPr>
        <w:ind w:right="46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currently has, and may continue in the future to, significantly disrupt and adversely impact our manufacturing, research and development, operations, sales and financial results.</w:t>
      </w:r>
    </w:p>
    <w:p>
      <w:pPr>
        <w:spacing w:after="0" w:line="58" w:lineRule="exact"/>
        <w:rPr>
          <w:sz w:val="20"/>
          <w:szCs w:val="20"/>
          <w:color w:val="auto"/>
        </w:rPr>
      </w:pPr>
    </w:p>
    <w:p>
      <w:pPr>
        <w:ind w:right="320" w:firstLine="405"/>
        <w:spacing w:after="0" w:line="257" w:lineRule="auto"/>
        <w:rPr>
          <w:sz w:val="20"/>
          <w:szCs w:val="20"/>
          <w:color w:val="auto"/>
        </w:rPr>
      </w:pPr>
      <w:r>
        <w:rPr>
          <w:rFonts w:ascii="Arial" w:cs="Arial" w:eastAsia="Arial" w:hAnsi="Arial"/>
          <w:sz w:val="18"/>
          <w:szCs w:val="18"/>
          <w:color w:val="auto"/>
        </w:rPr>
        <w:t>Although restrictions have eased in many places, the ongoing pandemic, including large outbreaks, resurgences of COVID-19 in various regions (such as the United States, Singapore, China and various other countries throughout Asia and India) and appearances of new variants of the virus, has resulted, and may continue to result, in their full or partial reinstitution. In addition, although many countries have vaccinated large segments of their population, COVID-19 continues to disrupt business activities, trade, and supply chains in many countries. We expect these impacts to continue for the foreseeable future.</w:t>
      </w:r>
    </w:p>
    <w:p>
      <w:pPr>
        <w:spacing w:after="0" w:line="80"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Our business has been, and will continue to be, adversely impacted by the effects of the COVID-19 pandemic. In addition to global macroeconomic effects, the COVID-19 pandemic and related adverse public health measures have caused disruption to our global operations and sales. Our third-party manufacturers, suppliers, third-party distributors, sub-contractors and customers have been, and are expected to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and testing activities or the operations of our suppliers, third-party distributors, sub-contractors and customers, our supply chain, manufacturing and product shipments will be delayed, which could adversely affect our business, operations and customer relationships. For example, we were impacted by COVID outbreaks in Asia during the first quarter of fiscal 2023 that resulted in closed factories, clogged ports and a shortage of workers as officials imposed lockdowns and mass testing requirements.</w:t>
      </w:r>
    </w:p>
    <w:p>
      <w:pPr>
        <w:spacing w:after="0" w:line="200" w:lineRule="exact"/>
        <w:rPr>
          <w:sz w:val="20"/>
          <w:szCs w:val="20"/>
          <w:color w:val="auto"/>
        </w:rPr>
      </w:pPr>
    </w:p>
    <w:p>
      <w:pPr>
        <w:spacing w:after="0" w:line="3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0" w:name="page41"/>
    <w:bookmarkEnd w:id="4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will be offset by increased sales in subsequent periods.</w:t>
      </w:r>
    </w:p>
    <w:p>
      <w:pPr>
        <w:spacing w:after="0" w:line="79" w:lineRule="exact"/>
        <w:rPr>
          <w:sz w:val="20"/>
          <w:szCs w:val="20"/>
          <w:color w:val="auto"/>
        </w:rPr>
      </w:pPr>
    </w:p>
    <w:p>
      <w:pPr>
        <w:jc w:val="both"/>
        <w:ind w:right="200" w:firstLine="405"/>
        <w:spacing w:after="0" w:line="271" w:lineRule="auto"/>
        <w:rPr>
          <w:sz w:val="20"/>
          <w:szCs w:val="20"/>
          <w:color w:val="auto"/>
        </w:rPr>
      </w:pPr>
      <w:r>
        <w:rPr>
          <w:rFonts w:ascii="Arial" w:cs="Arial" w:eastAsia="Arial" w:hAnsi="Arial"/>
          <w:sz w:val="16"/>
          <w:szCs w:val="16"/>
          <w:color w:val="auto"/>
        </w:rPr>
        <w:t>We have experienced and expect to continue to experience disruptions to our business operations resulting from work from home, quarantines, self-isolations, or other movement and restrictions on the ability of our employees to perform their jobs, innovate, work together in teams and collaborate and such disruptions could impact our ability to develop and design our products in a timely manner or meet required milestones or customer commitments.</w:t>
      </w:r>
    </w:p>
    <w:p>
      <w:pPr>
        <w:spacing w:after="0" w:line="268" w:lineRule="auto"/>
        <w:rPr>
          <w:sz w:val="20"/>
          <w:szCs w:val="20"/>
          <w:color w:val="auto"/>
        </w:rPr>
      </w:pPr>
      <w:r>
        <w:rPr>
          <w:rFonts w:ascii="Arial" w:cs="Arial" w:eastAsia="Arial" w:hAnsi="Arial"/>
          <w:sz w:val="16"/>
          <w:szCs w:val="16"/>
          <w:color w:val="auto"/>
        </w:rPr>
        <w:t>See the Risk Factor entitled “</w:t>
      </w:r>
      <w:r>
        <w:rPr>
          <w:rFonts w:ascii="Arial" w:cs="Arial" w:eastAsia="Arial" w:hAnsi="Arial"/>
          <w:sz w:val="16"/>
          <w:szCs w:val="16"/>
          <w:i w:val="1"/>
          <w:iCs w:val="1"/>
          <w:color w:val="auto"/>
        </w:rPr>
        <w:t>If we are unable to develop and introduce new and enhanced products that achieve market acceptance in a timely and cost-effective manner, our results of operations and competitive position will be harmed</w:t>
      </w:r>
      <w:r>
        <w:rPr>
          <w:rFonts w:ascii="Arial" w:cs="Arial" w:eastAsia="Arial" w:hAnsi="Arial"/>
          <w:sz w:val="16"/>
          <w:szCs w:val="16"/>
          <w:color w:val="auto"/>
        </w:rPr>
        <w:t>.” These disruptions may also impact our ability to win in time sensitive</w:t>
      </w:r>
      <w:r>
        <w:rPr>
          <w:rFonts w:ascii="Arial" w:cs="Arial" w:eastAsia="Arial" w:hAnsi="Arial"/>
          <w:sz w:val="16"/>
          <w:szCs w:val="16"/>
          <w:i w:val="1"/>
          <w:iCs w:val="1"/>
          <w:color w:val="auto"/>
        </w:rPr>
        <w:t xml:space="preserve"> </w:t>
      </w:r>
      <w:r>
        <w:rPr>
          <w:rFonts w:ascii="Arial" w:cs="Arial" w:eastAsia="Arial" w:hAnsi="Arial"/>
          <w:sz w:val="16"/>
          <w:szCs w:val="16"/>
          <w:color w:val="auto"/>
        </w:rPr>
        <w:t>competitive bidding selection processes. See the Risk Factor entitled “</w:t>
      </w:r>
      <w:r>
        <w:rPr>
          <w:rFonts w:ascii="Arial" w:cs="Arial" w:eastAsia="Arial" w:hAnsi="Arial"/>
          <w:sz w:val="16"/>
          <w:szCs w:val="16"/>
          <w:i w:val="1"/>
          <w:iCs w:val="1"/>
          <w:color w:val="auto"/>
        </w:rPr>
        <w:t>We rely on our customers to design our products into their systems, and the nature of</w:t>
      </w:r>
      <w:r>
        <w:rPr>
          <w:rFonts w:ascii="Arial" w:cs="Arial" w:eastAsia="Arial" w:hAnsi="Arial"/>
          <w:sz w:val="16"/>
          <w:szCs w:val="16"/>
          <w:color w:val="auto"/>
        </w:rPr>
        <w:t xml:space="preserve"> </w:t>
      </w:r>
      <w:r>
        <w:rPr>
          <w:rFonts w:ascii="Arial" w:cs="Arial" w:eastAsia="Arial" w:hAnsi="Arial"/>
          <w:sz w:val="16"/>
          <w:szCs w:val="16"/>
          <w:i w:val="1"/>
          <w:iCs w:val="1"/>
          <w:color w:val="auto"/>
        </w:rPr>
        <w:t>the design process requires us to incur expenses prior to customer commitments to use our products or recognizing revenues associated with those expenses which may adversely affect our financial results.</w:t>
      </w:r>
      <w:r>
        <w:rPr>
          <w:rFonts w:ascii="Arial" w:cs="Arial" w:eastAsia="Arial" w:hAnsi="Arial"/>
          <w:sz w:val="16"/>
          <w:szCs w:val="16"/>
          <w:color w:val="auto"/>
        </w:rPr>
        <w:t>” In addition, work from home, quarantines, self-isolations, home schooling, continuing macroeconomic</w:t>
      </w:r>
      <w:r>
        <w:rPr>
          <w:rFonts w:ascii="Arial" w:cs="Arial" w:eastAsia="Arial" w:hAnsi="Arial"/>
          <w:sz w:val="16"/>
          <w:szCs w:val="16"/>
          <w:i w:val="1"/>
          <w:iCs w:val="1"/>
          <w:color w:val="auto"/>
        </w:rPr>
        <w:t xml:space="preserve"> </w:t>
      </w:r>
      <w:r>
        <w:rPr>
          <w:rFonts w:ascii="Arial" w:cs="Arial" w:eastAsia="Arial" w:hAnsi="Arial"/>
          <w:sz w:val="16"/>
          <w:szCs w:val="16"/>
          <w:color w:val="auto"/>
        </w:rPr>
        <w:t>related uncertainty or caring for family members may result in heavy psychological, emotional or financial burdens for some of our employees, which may impact their productivity and morale and may lead to higher employee absences and higher attrition rates. See the Risk Factor entitled “</w:t>
      </w:r>
      <w:r>
        <w:rPr>
          <w:rFonts w:ascii="Arial" w:cs="Arial" w:eastAsia="Arial" w:hAnsi="Arial"/>
          <w:sz w:val="16"/>
          <w:szCs w:val="16"/>
          <w:i w:val="1"/>
          <w:iCs w:val="1"/>
          <w:color w:val="auto"/>
        </w:rPr>
        <w:t>We depend on</w:t>
      </w:r>
      <w:r>
        <w:rPr>
          <w:rFonts w:ascii="Arial" w:cs="Arial" w:eastAsia="Arial" w:hAnsi="Arial"/>
          <w:sz w:val="16"/>
          <w:szCs w:val="16"/>
          <w:color w:val="auto"/>
        </w:rPr>
        <w:t xml:space="preserve"> </w:t>
      </w:r>
      <w:r>
        <w:rPr>
          <w:rFonts w:ascii="Arial" w:cs="Arial" w:eastAsia="Arial" w:hAnsi="Arial"/>
          <w:sz w:val="16"/>
          <w:szCs w:val="16"/>
          <w:i w:val="1"/>
          <w:iCs w:val="1"/>
          <w:color w:val="auto"/>
        </w:rPr>
        <w:t>highly skilled personnel to support our business operations. If we are unable to retain and motivate our current personnel or attract additional qualified personnel, our ability to develop and successfully market our products could be harmed</w:t>
      </w:r>
      <w:r>
        <w:rPr>
          <w:rFonts w:ascii="Arial" w:cs="Arial" w:eastAsia="Arial" w:hAnsi="Arial"/>
          <w:sz w:val="16"/>
          <w:szCs w:val="16"/>
          <w:color w:val="auto"/>
        </w:rPr>
        <w:t>.” We may become subject to claims or lawsuits by employees,</w:t>
      </w:r>
      <w:r>
        <w:rPr>
          <w:rFonts w:ascii="Arial" w:cs="Arial" w:eastAsia="Arial" w:hAnsi="Arial"/>
          <w:sz w:val="16"/>
          <w:szCs w:val="16"/>
          <w:i w:val="1"/>
          <w:iCs w:val="1"/>
          <w:color w:val="auto"/>
        </w:rPr>
        <w:t xml:space="preserve"> </w:t>
      </w:r>
      <w:r>
        <w:rPr>
          <w:rFonts w:ascii="Arial" w:cs="Arial" w:eastAsia="Arial" w:hAnsi="Arial"/>
          <w:sz w:val="16"/>
          <w:szCs w:val="16"/>
          <w:color w:val="auto"/>
        </w:rPr>
        <w:t>customers, suppliers or other parties regarding actions we take in our operations in response to the COVID-19 pandemic including our vaccination policies.</w:t>
      </w:r>
    </w:p>
    <w:p>
      <w:pPr>
        <w:spacing w:after="0" w:line="62" w:lineRule="exact"/>
        <w:rPr>
          <w:sz w:val="20"/>
          <w:szCs w:val="20"/>
          <w:color w:val="auto"/>
        </w:rPr>
      </w:pPr>
    </w:p>
    <w:p>
      <w:pPr>
        <w:ind w:right="80" w:firstLine="405"/>
        <w:spacing w:after="0" w:line="273" w:lineRule="auto"/>
        <w:rPr>
          <w:sz w:val="20"/>
          <w:szCs w:val="20"/>
          <w:color w:val="auto"/>
        </w:rPr>
      </w:pPr>
      <w:r>
        <w:rPr>
          <w:rFonts w:ascii="Arial" w:cs="Arial" w:eastAsia="Arial" w:hAnsi="Arial"/>
          <w:sz w:val="17"/>
          <w:szCs w:val="17"/>
          <w:color w:val="auto"/>
        </w:rPr>
        <w:t>Our efforts to manage these impacts may be unsuccessful, and the ultimate impact of the COVID-19 pandemic also depends on factors beyond our knowledge or control, including the duration, severity and geographic scope of the COVID-19 pandemic, the availability, widespread distribution, and use of safe and effective vaccines and the actions taken to contain its spread and mitigate its public health and economic effects. Due to the uncertainty regarding the severity and duration of the COVID-19 pandemic and related public health measures and macroeconomic impacts, at this time we are unable to predict the full impact of the COVID-19 pandemic on our business, financial condition, operating results and cash flows. In addition, the impacts of the COVID-19 pandemic will be exacerbated the longer the pandemic continues.</w:t>
      </w:r>
    </w:p>
    <w:p>
      <w:pPr>
        <w:spacing w:after="0" w:line="7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impact of the COVID-19 pandemic can also exacerbate other risks discussed below in this Item 1A “Risk Factors” section.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50"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63" w:lineRule="exact"/>
        <w:rPr>
          <w:sz w:val="20"/>
          <w:szCs w:val="20"/>
          <w:color w:val="auto"/>
        </w:rPr>
      </w:pPr>
    </w:p>
    <w:p>
      <w:pPr>
        <w:ind w:right="180" w:firstLine="441"/>
        <w:spacing w:after="0" w:line="271" w:lineRule="auto"/>
        <w:rPr>
          <w:sz w:val="20"/>
          <w:szCs w:val="20"/>
          <w:color w:val="auto"/>
        </w:rPr>
      </w:pPr>
      <w:r>
        <w:rPr>
          <w:rFonts w:ascii="Arial" w:cs="Arial" w:eastAsia="Arial" w:hAnsi="Arial"/>
          <w:sz w:val="17"/>
          <w:szCs w:val="17"/>
          <w:color w:val="auto"/>
        </w:rPr>
        <w:t>Over the last few years, the Company has rapidly increased in size. As a result, we have to appropriately scale our business, internal systems and organization, including our ability to attract and retain personnel, and continue to improve our operational, financial and management controls, reporting systems and procedures, to serve our growing customer base. Any failure of, or delay in, these efforts could negatively impact our performance and financial results.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These efforts may adversely affect our financial results.</w:t>
      </w:r>
    </w:p>
    <w:p>
      <w:pPr>
        <w:spacing w:after="0" w:line="205"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63" w:lineRule="exact"/>
        <w:rPr>
          <w:sz w:val="20"/>
          <w:szCs w:val="20"/>
          <w:color w:val="auto"/>
        </w:rPr>
      </w:pPr>
    </w:p>
    <w:p>
      <w:pPr>
        <w:jc w:val="both"/>
        <w:ind w:right="140" w:firstLine="405"/>
        <w:spacing w:after="0" w:line="286" w:lineRule="auto"/>
        <w:rPr>
          <w:sz w:val="20"/>
          <w:szCs w:val="20"/>
          <w:color w:val="auto"/>
        </w:rPr>
      </w:pPr>
      <w:r>
        <w:rPr>
          <w:rFonts w:ascii="Arial" w:cs="Arial" w:eastAsia="Arial" w:hAnsi="Arial"/>
          <w:sz w:val="17"/>
          <w:szCs w:val="17"/>
          <w:color w:val="auto"/>
        </w:rPr>
        <w:t>Our long-term strategy has included in the past, as discussed below, and may continue to include in the future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5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example:</w:t>
      </w:r>
    </w:p>
    <w:p>
      <w:pPr>
        <w:spacing w:after="0" w:line="135" w:lineRule="exact"/>
        <w:rPr>
          <w:sz w:val="20"/>
          <w:szCs w:val="20"/>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April 20, 2021, we completed the acquisition of Inphi; and</w:t>
      </w:r>
    </w:p>
    <w:p>
      <w:pPr>
        <w:spacing w:after="0" w:line="111" w:lineRule="exact"/>
        <w:rPr>
          <w:rFonts w:ascii="Arial" w:cs="Arial" w:eastAsia="Arial" w:hAnsi="Arial"/>
          <w:sz w:val="22"/>
          <w:szCs w:val="22"/>
          <w:color w:val="auto"/>
        </w:rPr>
      </w:pPr>
    </w:p>
    <w:p>
      <w:pPr>
        <w:ind w:left="660" w:hanging="328"/>
        <w:spacing w:after="0"/>
        <w:tabs>
          <w:tab w:leader="none" w:pos="660" w:val="left"/>
        </w:tabs>
        <w:numPr>
          <w:ilvl w:val="0"/>
          <w:numId w:val="9"/>
        </w:numPr>
        <w:rPr>
          <w:rFonts w:ascii="Arial" w:cs="Arial" w:eastAsia="Arial" w:hAnsi="Arial"/>
          <w:sz w:val="22"/>
          <w:szCs w:val="22"/>
          <w:color w:val="auto"/>
        </w:rPr>
      </w:pPr>
      <w:r>
        <w:rPr>
          <w:rFonts w:ascii="Arial" w:cs="Arial" w:eastAsia="Arial" w:hAnsi="Arial"/>
          <w:sz w:val="18"/>
          <w:szCs w:val="18"/>
          <w:color w:val="auto"/>
        </w:rPr>
        <w:t>On October 5, 2021, we completed the acquisition of Innovium</w:t>
      </w:r>
    </w:p>
    <w:p>
      <w:pPr>
        <w:spacing w:after="0" w:line="94" w:lineRule="exact"/>
        <w:rPr>
          <w:sz w:val="20"/>
          <w:szCs w:val="20"/>
          <w:color w:val="auto"/>
        </w:rPr>
      </w:pPr>
    </w:p>
    <w:p>
      <w:pPr>
        <w:ind w:right="260" w:firstLine="405"/>
        <w:spacing w:after="0" w:line="263" w:lineRule="auto"/>
        <w:rPr>
          <w:sz w:val="20"/>
          <w:szCs w:val="20"/>
          <w:color w:val="auto"/>
        </w:rPr>
      </w:pPr>
      <w:r>
        <w:rPr>
          <w:rFonts w:ascii="Arial" w:cs="Arial" w:eastAsia="Arial" w:hAnsi="Arial"/>
          <w:sz w:val="18"/>
          <w:szCs w:val="18"/>
          <w:color w:val="auto"/>
        </w:rPr>
        <w:t>Mergers, acquisitions and divestitures include a number of risks and present financial, managerial and operational challenges.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76" w:lineRule="exact"/>
        <w:rPr>
          <w:sz w:val="20"/>
          <w:szCs w:val="20"/>
          <w:color w:val="auto"/>
        </w:rPr>
      </w:pPr>
    </w:p>
    <w:p>
      <w:pPr>
        <w:ind w:right="60" w:firstLine="405"/>
        <w:spacing w:after="0" w:line="293"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such as our acquisition of Innovium, will result in an increase in the number of outstanding stock and will reduce the ownership percentage of each of our outstanding stockholders.</w:t>
      </w:r>
    </w:p>
    <w:p>
      <w:pPr>
        <w:spacing w:after="0" w:line="56" w:lineRule="exact"/>
        <w:rPr>
          <w:sz w:val="20"/>
          <w:szCs w:val="20"/>
          <w:color w:val="auto"/>
        </w:rPr>
      </w:pPr>
    </w:p>
    <w:p>
      <w:pPr>
        <w:ind w:right="60" w:firstLine="405"/>
        <w:spacing w:after="0" w:line="263"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76" w:lineRule="exact"/>
        <w:rPr>
          <w:sz w:val="20"/>
          <w:szCs w:val="20"/>
          <w:color w:val="auto"/>
        </w:rPr>
      </w:pPr>
    </w:p>
    <w:p>
      <w:pPr>
        <w:jc w:val="both"/>
        <w:ind w:right="220" w:firstLine="405"/>
        <w:spacing w:after="0" w:line="263"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w:t>
      </w:r>
    </w:p>
    <w:p>
      <w:pPr>
        <w:spacing w:after="0" w:line="76"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w:t>
      </w:r>
    </w:p>
    <w:p>
      <w:pPr>
        <w:spacing w:after="0" w:line="62"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2" w:name="page43"/>
    <w:bookmarkEnd w:id="4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ind w:right="60"/>
        <w:spacing w:after="0" w:line="261" w:lineRule="auto"/>
        <w:rPr>
          <w:sz w:val="20"/>
          <w:szCs w:val="20"/>
          <w:color w:val="auto"/>
        </w:rPr>
      </w:pPr>
      <w:r>
        <w:rPr>
          <w:rFonts w:ascii="Arial" w:cs="Arial" w:eastAsia="Arial" w:hAnsi="Arial"/>
          <w:sz w:val="18"/>
          <w:szCs w:val="18"/>
          <w:b w:val="1"/>
          <w:bCs w:val="1"/>
          <w:i w:val="1"/>
          <w:iCs w:val="1"/>
          <w:color w:val="auto"/>
        </w:rPr>
        <w:t>Recent or potential future acquisitions involve a number of risks, including, among others, those associated with our use of a significant portion of our cash and other financial risks.</w:t>
      </w:r>
    </w:p>
    <w:p>
      <w:pPr>
        <w:spacing w:after="0" w:line="63" w:lineRule="exact"/>
        <w:rPr>
          <w:sz w:val="20"/>
          <w:szCs w:val="20"/>
          <w:color w:val="auto"/>
        </w:rPr>
      </w:pPr>
    </w:p>
    <w:p>
      <w:pPr>
        <w:ind w:right="80" w:firstLine="405"/>
        <w:spacing w:after="0" w:line="269" w:lineRule="auto"/>
        <w:rPr>
          <w:sz w:val="20"/>
          <w:szCs w:val="20"/>
          <w:color w:val="auto"/>
        </w:rPr>
      </w:pPr>
      <w:r>
        <w:rPr>
          <w:rFonts w:ascii="Arial" w:cs="Arial" w:eastAsia="Arial" w:hAnsi="Arial"/>
          <w:sz w:val="17"/>
          <w:szCs w:val="17"/>
          <w:color w:val="auto"/>
        </w:rPr>
        <w:t>We used a significant portion of our cash and incurred substantial indebtedness in connection with the financing of our acquisition of Inphi, which was completed in fiscal 2022. Our use of cash to fund our current and future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rFonts w:ascii="Arial" w:cs="Arial" w:eastAsia="Arial" w:hAnsi="Arial"/>
          <w:sz w:val="17"/>
          <w:szCs w:val="17"/>
          <w:i w:val="1"/>
          <w:iCs w:val="1"/>
          <w:color w:val="auto"/>
        </w:rPr>
        <w:t>We are subject to risks related to our debt obligations</w:t>
      </w:r>
      <w:r>
        <w:rPr>
          <w:rFonts w:ascii="Arial" w:cs="Arial" w:eastAsia="Arial" w:hAnsi="Arial"/>
          <w:sz w:val="17"/>
          <w:szCs w:val="17"/>
          <w:color w:val="auto"/>
        </w:rPr>
        <w:t>.”</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400"/>
        <w:spacing w:after="0" w:line="250" w:lineRule="auto"/>
        <w:rPr>
          <w:sz w:val="20"/>
          <w:szCs w:val="20"/>
          <w:color w:val="auto"/>
        </w:rPr>
      </w:pPr>
      <w:r>
        <w:rPr>
          <w:rFonts w:ascii="Arial" w:cs="Arial" w:eastAsia="Arial" w:hAnsi="Arial"/>
          <w:sz w:val="18"/>
          <w:szCs w:val="18"/>
          <w:b w:val="1"/>
          <w:bCs w:val="1"/>
          <w:color w:val="auto"/>
        </w:rPr>
        <w:t>We rely on our manufacturing partners for the manufacture, assembly and testing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73" w:lineRule="exact"/>
        <w:rPr>
          <w:sz w:val="20"/>
          <w:szCs w:val="20"/>
          <w:color w:val="auto"/>
        </w:rPr>
      </w:pPr>
    </w:p>
    <w:p>
      <w:pPr>
        <w:ind w:right="40" w:firstLine="405"/>
        <w:spacing w:after="0" w:line="263"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manufacturing partners to produce our products. We also currently rely on several third-party assembly and test subcontractors to assemble, package and test our products. This exposes us to a variety of risks, including the following:</w:t>
      </w:r>
    </w:p>
    <w:p>
      <w:pPr>
        <w:spacing w:after="0" w:line="76"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117"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Most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Taiwan and Canada. Because of the geographic concentration of these third-party foundries, as well as our assembly and test subcontractors, we are exposed to the risk that their operations may be disrupted by regional disasters including, for example, droughts, earthquakes (particularly in Taiwan and elsewhere in the Pacific Rim close to fault lines), tsunamis or typhoons, or by actual or threatened public health emergencies such as the COVID-19 pandemic, or by political, social or economic instability. For example, we were impacted by COVID outbreaks in Asia in the first quarter of fiscal 2023 that</w:t>
      </w:r>
    </w:p>
    <w:p>
      <w:pPr>
        <w:spacing w:after="0" w:line="2" w:lineRule="exact"/>
        <w:rPr>
          <w:sz w:val="20"/>
          <w:szCs w:val="20"/>
          <w:color w:val="auto"/>
        </w:rPr>
      </w:pPr>
    </w:p>
    <w:p>
      <w:pPr>
        <w:ind w:right="100"/>
        <w:spacing w:after="0" w:line="301" w:lineRule="auto"/>
        <w:rPr>
          <w:sz w:val="20"/>
          <w:szCs w:val="20"/>
          <w:color w:val="auto"/>
        </w:rPr>
      </w:pPr>
      <w:r>
        <w:rPr>
          <w:rFonts w:ascii="Arial" w:cs="Arial" w:eastAsia="Arial" w:hAnsi="Arial"/>
          <w:sz w:val="16"/>
          <w:szCs w:val="16"/>
          <w:color w:val="auto"/>
        </w:rPr>
        <w:t>resulted in closed factories, clogged ports and a shortage of workers as officials imposed lockdowns and mass testing requirements. In the case of such an event, our revenue, cost of goods sold and results of operations may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49"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117"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The ability of each of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w:t>
      </w:r>
    </w:p>
    <w:p>
      <w:pPr>
        <w:spacing w:after="0" w:line="3" w:lineRule="exact"/>
        <w:rPr>
          <w:sz w:val="20"/>
          <w:szCs w:val="20"/>
          <w:color w:val="auto"/>
        </w:rPr>
      </w:pPr>
    </w:p>
    <w:p>
      <w:pPr>
        <w:ind w:right="100"/>
        <w:spacing w:after="0" w:line="296" w:lineRule="auto"/>
        <w:rPr>
          <w:sz w:val="20"/>
          <w:szCs w:val="20"/>
          <w:color w:val="auto"/>
        </w:rPr>
      </w:pPr>
      <w:r>
        <w:rPr>
          <w:rFonts w:ascii="Arial" w:cs="Arial" w:eastAsia="Arial" w:hAnsi="Arial"/>
          <w:sz w:val="16"/>
          <w:szCs w:val="16"/>
          <w:color w:val="auto"/>
        </w:rPr>
        <w:t>reallocate capacity to those customers. Most of our manufacturing partners may reallocate capacity to their customers offering them a better margin or rate of return than provided by the Company.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200" w:lineRule="exact"/>
        <w:rPr>
          <w:sz w:val="20"/>
          <w:szCs w:val="20"/>
          <w:color w:val="auto"/>
        </w:rPr>
      </w:pP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3" w:name="page44"/>
    <w:bookmarkEnd w:id="4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firstLine="405"/>
        <w:spacing w:after="0" w:line="284" w:lineRule="auto"/>
        <w:rPr>
          <w:sz w:val="20"/>
          <w:szCs w:val="20"/>
          <w:color w:val="auto"/>
        </w:rPr>
      </w:pPr>
      <w:r>
        <w:rPr>
          <w:rFonts w:ascii="Arial" w:cs="Arial" w:eastAsia="Arial" w:hAnsi="Arial"/>
          <w:sz w:val="16"/>
          <w:szCs w:val="16"/>
          <w:color w:val="auto"/>
        </w:rPr>
        <w:t>There are a limited number of foundries and consolidation of the foundries that provide services to us or to the semiconductor industry due to bankruptcy or through business combinations, including mergers, asset acquisitions and strategic partnerships which may adversely impact us. A foundry or supplier could become unavailable to us if it is acquired by a competitor or a large company that may change the scope of the offerings. For example, Intel Corporation announced in February 2022 of its intent to acquire Tower Semiconductor.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w:t>
      </w:r>
    </w:p>
    <w:p>
      <w:pPr>
        <w:spacing w:after="0" w:line="4" w:lineRule="exact"/>
        <w:rPr>
          <w:sz w:val="20"/>
          <w:szCs w:val="20"/>
          <w:color w:val="auto"/>
        </w:rPr>
      </w:pPr>
    </w:p>
    <w:p>
      <w:pPr>
        <w:ind w:right="200"/>
        <w:spacing w:after="0" w:line="281" w:lineRule="auto"/>
        <w:rPr>
          <w:sz w:val="20"/>
          <w:szCs w:val="20"/>
          <w:color w:val="auto"/>
        </w:rPr>
      </w:pPr>
      <w:r>
        <w:rPr>
          <w:rFonts w:ascii="Arial" w:cs="Arial" w:eastAsia="Arial" w:hAnsi="Arial"/>
          <w:sz w:val="16"/>
          <w:szCs w:val="16"/>
          <w:color w:val="auto"/>
        </w:rPr>
        <w:t>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w:t>
      </w:r>
      <w:r>
        <w:rPr>
          <w:rFonts w:ascii="Arial" w:cs="Arial" w:eastAsia="Arial" w:hAnsi="Arial"/>
          <w:sz w:val="16"/>
          <w:szCs w:val="16"/>
          <w:color w:val="auto"/>
        </w:rPr>
        <w:t xml:space="preserve"> </w:t>
      </w:r>
      <w:r>
        <w:rPr>
          <w:rFonts w:ascii="Arial" w:cs="Arial" w:eastAsia="Arial" w:hAnsi="Arial"/>
          <w:sz w:val="16"/>
          <w:szCs w:val="16"/>
          <w:i w:val="1"/>
          <w:iCs w:val="1"/>
          <w:color w:val="auto"/>
        </w:rPr>
        <w:t>integration, which may result in reduced manufacturing yields, delays in product deliveries and increased expenses.</w:t>
      </w:r>
      <w:r>
        <w:rPr>
          <w:rFonts w:ascii="Arial" w:cs="Arial" w:eastAsia="Arial" w:hAnsi="Arial"/>
          <w:sz w:val="16"/>
          <w:szCs w:val="16"/>
          <w:color w:val="auto"/>
        </w:rPr>
        <w:t>” In addition, a foundry may become</w:t>
      </w:r>
    </w:p>
    <w:p>
      <w:pPr>
        <w:spacing w:after="0" w:line="1" w:lineRule="exact"/>
        <w:rPr>
          <w:sz w:val="20"/>
          <w:szCs w:val="20"/>
          <w:color w:val="auto"/>
        </w:rPr>
      </w:pPr>
    </w:p>
    <w:p>
      <w:pPr>
        <w:ind w:right="120"/>
        <w:spacing w:after="0" w:line="260" w:lineRule="auto"/>
        <w:rPr>
          <w:sz w:val="20"/>
          <w:szCs w:val="20"/>
          <w:color w:val="auto"/>
        </w:rPr>
      </w:pPr>
      <w:r>
        <w:rPr>
          <w:rFonts w:ascii="Arial" w:cs="Arial" w:eastAsia="Arial" w:hAnsi="Arial"/>
          <w:sz w:val="18"/>
          <w:szCs w:val="18"/>
          <w:color w:val="auto"/>
        </w:rPr>
        <w:t>unavailable to us as a result of economic or political instability. Any disruption to our manufacturing or foundry partners could result in a material decline in our revenue, net income and cash flow.</w:t>
      </w:r>
    </w:p>
    <w:p>
      <w:pPr>
        <w:spacing w:after="0" w:line="77"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For example, in response to increased demand from customers for our products, our operations team is continuing to ramp production with our global supply chain partners. However, we have in the past,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the increase in demand for some of our products.</w:t>
      </w:r>
    </w:p>
    <w:p>
      <w:pPr>
        <w:spacing w:after="0" w:line="80"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manufacturing or foundry partners could result in a material decline in our revenue, net income and cash flow. In addition, our testing and assembly partners may be single sourced and it may be difficult for us to transition to other partners for these services.</w:t>
      </w:r>
    </w:p>
    <w:p>
      <w:pPr>
        <w:spacing w:after="0" w:line="84"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56" w:lineRule="exact"/>
        <w:rPr>
          <w:sz w:val="20"/>
          <w:szCs w:val="20"/>
          <w:color w:val="auto"/>
        </w:rPr>
      </w:pPr>
    </w:p>
    <w:p>
      <w:pPr>
        <w:ind w:right="40" w:firstLine="414"/>
        <w:spacing w:after="0" w:line="238" w:lineRule="auto"/>
        <w:rPr>
          <w:sz w:val="20"/>
          <w:szCs w:val="20"/>
          <w:color w:val="auto"/>
        </w:rPr>
      </w:pPr>
      <w:r>
        <w:rPr>
          <w:rFonts w:ascii="Arial" w:cs="Arial" w:eastAsia="Arial" w:hAnsi="Arial"/>
          <w:sz w:val="17"/>
          <w:szCs w:val="17"/>
          <w:color w:val="auto"/>
        </w:rPr>
        <w:t>Supply shortages in the semiconductor industry of multi-layer complex substrates, IC packaging capacity and specific wafer process node constraints have resulted in increased lead times, inability to meet demand, and increased costs since calendar 2020, and these supply constraints are currently expected to continue throughout calendar 2022. Of these shortages, ABF substrates and specific wafer process nodes are the most constrained at this time and most of these suppliers are located in Japan and Taiwan. Because of the geographic concentration of these suppliers, we are exposed to the risk that their operations may be disrupted by regional disasters including, for example, earthquakes (particularly in Taiwan and elsewhere in the Pacific Rim close to fault lines), tsunamis or typhoons, or by actual or threatened public health emergencies such as the COVID-19 pandemic, or by political, social or economic instability. In addition, while we don’t expect Russia’s invasion of Ukraine to materially impact us directly, we are unable at this time to predict the impact this conflict will have on the supply chain, global economy and stock markets.</w:t>
      </w:r>
    </w:p>
    <w:p>
      <w:pPr>
        <w:spacing w:after="0" w:line="200" w:lineRule="exact"/>
        <w:rPr>
          <w:sz w:val="20"/>
          <w:szCs w:val="20"/>
          <w:color w:val="auto"/>
        </w:rPr>
      </w:pPr>
    </w:p>
    <w:p>
      <w:pPr>
        <w:spacing w:after="0" w:line="32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4" w:name="page45"/>
    <w:bookmarkEnd w:id="4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117" w:lineRule="exact"/>
        <w:rPr>
          <w:sz w:val="20"/>
          <w:szCs w:val="20"/>
          <w:color w:val="auto"/>
        </w:rPr>
      </w:pPr>
    </w:p>
    <w:p>
      <w:pPr>
        <w:ind w:right="120" w:firstLine="405"/>
        <w:spacing w:after="0" w:line="269" w:lineRule="auto"/>
        <w:rPr>
          <w:sz w:val="20"/>
          <w:szCs w:val="20"/>
          <w:color w:val="auto"/>
        </w:rPr>
      </w:pPr>
      <w:r>
        <w:rPr>
          <w:rFonts w:ascii="Arial" w:cs="Arial" w:eastAsia="Arial" w:hAnsi="Arial"/>
          <w:sz w:val="17"/>
          <w:szCs w:val="17"/>
          <w:color w:val="auto"/>
        </w:rPr>
        <w:t>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r>
        <w:rPr>
          <w:rFonts w:ascii="Arial" w:cs="Arial" w:eastAsia="Arial" w:hAnsi="Arial"/>
          <w:sz w:val="17"/>
          <w:szCs w:val="17"/>
          <w:color w:val="auto"/>
        </w:rPr>
        <w:t>”</w:t>
      </w:r>
    </w:p>
    <w:p>
      <w:pPr>
        <w:spacing w:after="0" w:line="77" w:lineRule="exact"/>
        <w:rPr>
          <w:sz w:val="20"/>
          <w:szCs w:val="20"/>
          <w:color w:val="auto"/>
        </w:rPr>
      </w:pPr>
    </w:p>
    <w:p>
      <w:pPr>
        <w:ind w:right="700" w:firstLine="405"/>
        <w:spacing w:after="0" w:line="308" w:lineRule="auto"/>
        <w:rPr>
          <w:sz w:val="20"/>
          <w:szCs w:val="20"/>
          <w:color w:val="auto"/>
        </w:rPr>
      </w:pPr>
      <w:r>
        <w:rPr>
          <w:rFonts w:ascii="Arial" w:cs="Arial" w:eastAsia="Arial" w:hAnsi="Arial"/>
          <w:sz w:val="17"/>
          <w:szCs w:val="17"/>
          <w:color w:val="auto"/>
        </w:rPr>
        <w:t>Because we rely on outside manufacturing partners, we may have a reduced ability to directly control product delivery schedules and quality assurance, which could result in product shortages or quality assurance problems that could delay shipments or increase costs.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117" w:lineRule="exact"/>
        <w:rPr>
          <w:sz w:val="20"/>
          <w:szCs w:val="20"/>
          <w:color w:val="auto"/>
        </w:rPr>
      </w:pPr>
    </w:p>
    <w:p>
      <w:pPr>
        <w:ind w:firstLine="405"/>
        <w:spacing w:after="0" w:line="286" w:lineRule="auto"/>
        <w:rPr>
          <w:sz w:val="20"/>
          <w:szCs w:val="20"/>
          <w:color w:val="auto"/>
        </w:rPr>
      </w:pPr>
      <w:r>
        <w:rPr>
          <w:rFonts w:ascii="Arial" w:cs="Arial" w:eastAsia="Arial" w:hAnsi="Arial"/>
          <w:sz w:val="17"/>
          <w:szCs w:val="17"/>
          <w:color w:val="auto"/>
        </w:rPr>
        <w:t>We are also subject to risk from increasing or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 (such as inflation or supply chain constraints).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108"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84" w:lineRule="exact"/>
        <w:rPr>
          <w:sz w:val="20"/>
          <w:szCs w:val="20"/>
          <w:color w:val="auto"/>
        </w:rPr>
      </w:pPr>
    </w:p>
    <w:p>
      <w:pPr>
        <w:jc w:val="both"/>
        <w:ind w:right="260" w:firstLine="405"/>
        <w:spacing w:after="0" w:line="301" w:lineRule="auto"/>
        <w:rPr>
          <w:sz w:val="20"/>
          <w:szCs w:val="20"/>
          <w:color w:val="auto"/>
        </w:rPr>
      </w:pPr>
      <w:r>
        <w:rPr>
          <w:rFonts w:ascii="Arial" w:cs="Arial" w:eastAsia="Arial" w:hAnsi="Arial"/>
          <w:sz w:val="16"/>
          <w:szCs w:val="16"/>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49" w:lineRule="exact"/>
        <w:rPr>
          <w:sz w:val="20"/>
          <w:szCs w:val="20"/>
          <w:color w:val="auto"/>
        </w:rPr>
      </w:pPr>
    </w:p>
    <w:p>
      <w:pPr>
        <w:jc w:val="both"/>
        <w:ind w:right="300" w:firstLine="405"/>
        <w:spacing w:after="0" w:line="301"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5" w:name="page46"/>
    <w:bookmarkEnd w:id="4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20"/>
        <w:spacing w:after="0" w:line="250"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73"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57"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42" w:lineRule="exact"/>
        <w:rPr>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0"/>
        </w:numPr>
        <w:rPr>
          <w:rFonts w:ascii="Arial" w:cs="Arial" w:eastAsia="Arial" w:hAnsi="Arial"/>
          <w:sz w:val="20"/>
          <w:szCs w:val="20"/>
          <w:color w:val="auto"/>
        </w:rPr>
      </w:pPr>
      <w:r>
        <w:rPr>
          <w:rFonts w:ascii="Arial" w:cs="Arial" w:eastAsia="Arial" w:hAnsi="Arial"/>
          <w:sz w:val="18"/>
          <w:szCs w:val="18"/>
          <w:color w:val="auto"/>
        </w:rPr>
        <w:t>our customers may experience changed market conditions or product development issues.</w:t>
      </w:r>
    </w:p>
    <w:p>
      <w:pPr>
        <w:spacing w:after="0" w:line="107" w:lineRule="exact"/>
        <w:rPr>
          <w:rFonts w:ascii="Arial" w:cs="Arial" w:eastAsia="Arial" w:hAnsi="Arial"/>
          <w:sz w:val="20"/>
          <w:szCs w:val="20"/>
          <w:color w:val="auto"/>
        </w:rPr>
      </w:pPr>
    </w:p>
    <w:p>
      <w:pPr>
        <w:ind w:left="660" w:right="40" w:hanging="328"/>
        <w:spacing w:after="0" w:line="250" w:lineRule="auto"/>
        <w:tabs>
          <w:tab w:leader="none" w:pos="648" w:val="left"/>
        </w:tabs>
        <w:numPr>
          <w:ilvl w:val="0"/>
          <w:numId w:val="10"/>
        </w:numPr>
        <w:rPr>
          <w:rFonts w:ascii="Arial" w:cs="Arial" w:eastAsia="Arial" w:hAnsi="Arial"/>
          <w:sz w:val="20"/>
          <w:szCs w:val="20"/>
          <w:color w:val="auto"/>
        </w:rPr>
      </w:pPr>
      <w:r>
        <w:rPr>
          <w:rFonts w:ascii="Arial" w:cs="Arial" w:eastAsia="Arial" w:hAnsi="Arial"/>
          <w:sz w:val="18"/>
          <w:szCs w:val="18"/>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86" w:lineRule="exact"/>
        <w:rPr>
          <w:sz w:val="20"/>
          <w:szCs w:val="20"/>
          <w:color w:val="auto"/>
        </w:rPr>
      </w:pPr>
    </w:p>
    <w:p>
      <w:pPr>
        <w:jc w:val="both"/>
        <w:ind w:right="100" w:firstLine="405"/>
        <w:spacing w:after="0" w:line="263"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6"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57" w:lineRule="exact"/>
        <w:rPr>
          <w:sz w:val="20"/>
          <w:szCs w:val="20"/>
          <w:color w:val="auto"/>
        </w:rPr>
      </w:pPr>
    </w:p>
    <w:p>
      <w:pPr>
        <w:ind w:right="120" w:firstLine="405"/>
        <w:spacing w:after="0" w:line="308" w:lineRule="auto"/>
        <w:rPr>
          <w:sz w:val="20"/>
          <w:szCs w:val="20"/>
          <w:color w:val="auto"/>
        </w:rPr>
      </w:pPr>
      <w:r>
        <w:rPr>
          <w:rFonts w:ascii="Arial" w:cs="Arial" w:eastAsia="Arial" w:hAnsi="Arial"/>
          <w:sz w:val="17"/>
          <w:szCs w:val="17"/>
          <w:color w:val="auto"/>
        </w:rPr>
        <w:t>Additionally, failure of our customers to agree to pay for NRE (non-recurring engineering) costs or failure to pay enough to cover the costs we incur in connection with NREs may harm our financial results. See also, “Research and Development” under Results of Operations.</w:t>
      </w:r>
    </w:p>
    <w:p>
      <w:pPr>
        <w:spacing w:after="0" w:line="200" w:lineRule="exact"/>
        <w:rPr>
          <w:sz w:val="20"/>
          <w:szCs w:val="20"/>
          <w:color w:val="auto"/>
        </w:rPr>
      </w:pPr>
    </w:p>
    <w:p>
      <w:pPr>
        <w:spacing w:after="0" w:line="28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6" w:name="page47"/>
    <w:bookmarkEnd w:id="4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58" w:lineRule="exact"/>
        <w:rPr>
          <w:sz w:val="20"/>
          <w:szCs w:val="20"/>
          <w:color w:val="auto"/>
        </w:rPr>
      </w:pPr>
    </w:p>
    <w:p>
      <w:pPr>
        <w:ind w:firstLine="405"/>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semiconductor solutions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r>
        <w:rPr>
          <w:rFonts w:ascii="Arial" w:cs="Arial" w:eastAsia="Arial" w:hAnsi="Arial"/>
          <w:sz w:val="16"/>
          <w:szCs w:val="16"/>
          <w:color w:val="auto"/>
        </w:rPr>
        <w:t>”</w:t>
      </w:r>
    </w:p>
    <w:p>
      <w:pPr>
        <w:spacing w:after="0" w:line="58" w:lineRule="exact"/>
        <w:rPr>
          <w:sz w:val="20"/>
          <w:szCs w:val="20"/>
          <w:color w:val="auto"/>
        </w:rPr>
      </w:pPr>
    </w:p>
    <w:p>
      <w:pPr>
        <w:ind w:right="60" w:firstLine="405"/>
        <w:spacing w:after="0" w:line="275"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9" w:lineRule="exact"/>
        <w:rPr>
          <w:sz w:val="20"/>
          <w:szCs w:val="20"/>
          <w:color w:val="auto"/>
        </w:rPr>
      </w:pPr>
    </w:p>
    <w:p>
      <w:pPr>
        <w:jc w:val="both"/>
        <w:ind w:right="60"/>
        <w:spacing w:after="0" w:line="250" w:lineRule="auto"/>
        <w:rPr>
          <w:sz w:val="20"/>
          <w:szCs w:val="20"/>
          <w:color w:val="auto"/>
        </w:rPr>
      </w:pPr>
      <w:r>
        <w:rPr>
          <w:rFonts w:ascii="Arial" w:cs="Arial" w:eastAsia="Arial" w:hAnsi="Arial"/>
          <w:sz w:val="18"/>
          <w:szCs w:val="18"/>
          <w:b w:val="1"/>
          <w:bCs w:val="1"/>
          <w:color w:val="333333"/>
        </w:rPr>
        <w:t>Some of our customers require our products and our third -party contractors to undergo a lengthy and expensive qualification process which does not assure product sales. If we are unsuccessful or delayed in qualifying these products with a customer, our business and operating results would suffer.</w:t>
      </w:r>
    </w:p>
    <w:p>
      <w:pPr>
        <w:spacing w:after="0" w:line="73" w:lineRule="exact"/>
        <w:rPr>
          <w:sz w:val="20"/>
          <w:szCs w:val="20"/>
          <w:color w:val="auto"/>
        </w:rPr>
      </w:pPr>
    </w:p>
    <w:p>
      <w:pPr>
        <w:ind w:firstLine="405"/>
        <w:spacing w:after="0" w:line="289"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contractors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 party contractors’ manufacturing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108" w:lineRule="exact"/>
        <w:rPr>
          <w:sz w:val="20"/>
          <w:szCs w:val="20"/>
          <w:color w:val="auto"/>
        </w:rPr>
      </w:pPr>
    </w:p>
    <w:p>
      <w:pPr>
        <w:ind w:right="100" w:firstLine="405"/>
        <w:spacing w:after="0" w:line="269" w:lineRule="auto"/>
        <w:rPr>
          <w:sz w:val="20"/>
          <w:szCs w:val="20"/>
          <w:color w:val="auto"/>
        </w:rPr>
      </w:pPr>
      <w:r>
        <w:rPr>
          <w:rFonts w:ascii="Arial" w:cs="Arial" w:eastAsia="Arial" w:hAnsi="Arial"/>
          <w:sz w:val="17"/>
          <w:szCs w:val="17"/>
          <w:color w:val="auto"/>
        </w:rPr>
        <w:t>We make highly complex semiconductor solutions and, accordingly, there is a risk of defects in any of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77" w:lineRule="exact"/>
        <w:rPr>
          <w:sz w:val="20"/>
          <w:szCs w:val="20"/>
          <w:color w:val="auto"/>
        </w:rPr>
      </w:pPr>
    </w:p>
    <w:p>
      <w:pPr>
        <w:ind w:right="620" w:firstLine="405"/>
        <w:spacing w:after="0" w:line="277"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76" w:lineRule="exact"/>
        <w:rPr>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loss of or delay in market acceptance of our products;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material recall and replacement costs;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delay in revenue recognition or loss of revenue;</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1"/>
        </w:numPr>
        <w:rPr>
          <w:rFonts w:ascii="Arial" w:cs="Arial" w:eastAsia="Arial" w:hAnsi="Arial"/>
          <w:sz w:val="20"/>
          <w:szCs w:val="20"/>
          <w:color w:val="auto"/>
        </w:rPr>
      </w:pPr>
      <w:r>
        <w:rPr>
          <w:rFonts w:ascii="Arial" w:cs="Arial" w:eastAsia="Arial" w:hAnsi="Arial"/>
          <w:sz w:val="18"/>
          <w:szCs w:val="18"/>
          <w:color w:val="auto"/>
        </w:rPr>
        <w:t>writing down the inventory of defective products;</w:t>
      </w:r>
    </w:p>
    <w:p>
      <w:pPr>
        <w:spacing w:after="0" w:line="200" w:lineRule="exact"/>
        <w:rPr>
          <w:sz w:val="20"/>
          <w:szCs w:val="20"/>
          <w:color w:val="auto"/>
        </w:rPr>
      </w:pPr>
    </w:p>
    <w:p>
      <w:pPr>
        <w:spacing w:after="0" w:line="3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the diversion of the attention of our engineering personnel from product development efforts;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2"/>
        </w:numPr>
        <w:rPr>
          <w:rFonts w:ascii="Arial" w:cs="Arial" w:eastAsia="Arial" w:hAnsi="Arial"/>
          <w:sz w:val="20"/>
          <w:szCs w:val="20"/>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94"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120" w:firstLine="405"/>
        <w:spacing w:after="0" w:line="279" w:lineRule="auto"/>
        <w:rPr>
          <w:sz w:val="20"/>
          <w:szCs w:val="20"/>
          <w:color w:val="auto"/>
        </w:rPr>
      </w:pPr>
      <w:r>
        <w:rPr>
          <w:rFonts w:ascii="Arial" w:cs="Arial" w:eastAsia="Arial" w:hAnsi="Arial"/>
          <w:sz w:val="17"/>
          <w:szCs w:val="17"/>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w:t>
      </w:r>
    </w:p>
    <w:p>
      <w:pPr>
        <w:spacing w:after="0" w:line="194"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58" w:lineRule="exact"/>
        <w:rPr>
          <w:sz w:val="20"/>
          <w:szCs w:val="20"/>
          <w:color w:val="auto"/>
        </w:rPr>
      </w:pPr>
    </w:p>
    <w:p>
      <w:pPr>
        <w:ind w:right="160" w:firstLine="405"/>
        <w:spacing w:after="0" w:line="273"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40"/>
        <w:spacing w:after="0" w:line="266"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58" w:lineRule="exact"/>
        <w:rPr>
          <w:sz w:val="20"/>
          <w:szCs w:val="20"/>
          <w:color w:val="auto"/>
        </w:rPr>
      </w:pPr>
    </w:p>
    <w:p>
      <w:pPr>
        <w:ind w:right="40" w:firstLine="405"/>
        <w:spacing w:after="0" w:line="285"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Due to the U.S. government restricting sales to certain customers in China, sales to some of our customers require licenses in order for us to export our products; however, in the past some of these licenses have been denied and there can be no assurances that requests for future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adopted a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may also be impacted by export restrictions. In addition, any customers in China that are subject to trade restrictions or tariffs, may develop their own products or solutions instead of purchasing from us or they may acquire products or solutions from our competitors or other third-party sources that are not subject to the U.S. tariffs and trade restrictions. In calendar year 2021, new restrictions were implemented which may further impact our business. If export restrictions related to Chinese customers are sustained for a long period of time, or increased, or if other export restrictions are imposed, it will have an adverse impact on our revenues and results of operations.</w:t>
      </w:r>
    </w:p>
    <w:p>
      <w:pPr>
        <w:spacing w:after="0" w:line="68" w:lineRule="exact"/>
        <w:rPr>
          <w:sz w:val="20"/>
          <w:szCs w:val="20"/>
          <w:color w:val="auto"/>
        </w:rPr>
      </w:pPr>
    </w:p>
    <w:p>
      <w:pPr>
        <w:ind w:firstLine="405"/>
        <w:spacing w:after="0" w:line="296"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 and trade restrictions are in effect. See also, the Risk Factor entitled “</w:t>
      </w:r>
      <w:r>
        <w:rPr>
          <w:rFonts w:ascii="Arial" w:cs="Arial" w:eastAsia="Arial" w:hAnsi="Arial"/>
          <w:sz w:val="16"/>
          <w:szCs w:val="16"/>
          <w:i w:val="1"/>
          <w:iCs w:val="1"/>
          <w:color w:val="auto"/>
        </w:rPr>
        <w:t>We are subject to order and shipment uncertainties. If we are unable to accurately</w:t>
      </w:r>
      <w:r>
        <w:rPr>
          <w:rFonts w:ascii="Arial" w:cs="Arial" w:eastAsia="Arial" w:hAnsi="Arial"/>
          <w:sz w:val="16"/>
          <w:szCs w:val="16"/>
          <w:color w:val="auto"/>
        </w:rPr>
        <w:t xml:space="preserve"> </w:t>
      </w:r>
      <w:r>
        <w:rPr>
          <w:rFonts w:ascii="Arial" w:cs="Arial" w:eastAsia="Arial" w:hAnsi="Arial"/>
          <w:sz w:val="16"/>
          <w:szCs w:val="16"/>
          <w:i w:val="1"/>
          <w:iCs w:val="1"/>
          <w:color w:val="auto"/>
        </w:rPr>
        <w:t>predict customer demand, we may hold 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6"/>
          <w:szCs w:val="16"/>
          <w:color w:val="auto"/>
        </w:rPr>
        <w:t>”</w:t>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8" w:name="page49"/>
    <w:bookmarkEnd w:id="4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58" w:lineRule="exact"/>
        <w:rPr>
          <w:sz w:val="20"/>
          <w:szCs w:val="20"/>
          <w:color w:val="auto"/>
        </w:rPr>
      </w:pPr>
    </w:p>
    <w:p>
      <w:pPr>
        <w:ind w:firstLine="405"/>
        <w:spacing w:after="0" w:line="294"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we don’t expect Russia’s invasion of Ukraine or the related current or future export and other business sanctions on Russia to materially impact us directly due to our limited sales to Russia, we are unable at this time to predict the impact</w:t>
      </w:r>
    </w:p>
    <w:p>
      <w:pPr>
        <w:spacing w:after="0" w:line="3" w:lineRule="exact"/>
        <w:rPr>
          <w:sz w:val="20"/>
          <w:szCs w:val="20"/>
          <w:color w:val="auto"/>
        </w:rPr>
      </w:pPr>
    </w:p>
    <w:p>
      <w:pPr>
        <w:ind w:right="60"/>
        <w:spacing w:after="0" w:line="286" w:lineRule="auto"/>
        <w:rPr>
          <w:sz w:val="20"/>
          <w:szCs w:val="20"/>
          <w:color w:val="auto"/>
        </w:rPr>
      </w:pPr>
      <w:r>
        <w:rPr>
          <w:rFonts w:ascii="Arial" w:cs="Arial" w:eastAsia="Arial" w:hAnsi="Arial"/>
          <w:sz w:val="16"/>
          <w:szCs w:val="16"/>
          <w:color w:val="auto"/>
        </w:rPr>
        <w:t>this conflict will have on the Company, the global economy or the stock markets. The prior U.S. presidential administration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 The prior U.S. presidential administration also focused on policy reforms that discouraged corporations from outsourcing manufacturing and production activities to foreign jurisdictions, including through tariffs or penalties on goods manufactured outside the U.S., which required us to change the way we conduct business. The current U.S. presidential administration has continued certain import tariffs and export restrictions against certain foreign manufacturers initiated by the prior administration.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 the political and economic policies of the U.S. government in</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connection with trade with China have reduced the demand for our 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rules or practices may adversely affect our financial results</w:t>
      </w:r>
      <w:r>
        <w:rPr>
          <w:rFonts w:ascii="Arial" w:cs="Arial" w:eastAsia="Arial" w:hAnsi="Arial"/>
          <w:sz w:val="16"/>
          <w:szCs w:val="16"/>
          <w:color w:val="auto"/>
        </w:rPr>
        <w:t>.”</w:t>
      </w:r>
    </w:p>
    <w:p>
      <w:pPr>
        <w:spacing w:after="0" w:line="194" w:lineRule="exact"/>
        <w:rPr>
          <w:sz w:val="20"/>
          <w:szCs w:val="20"/>
          <w:color w:val="auto"/>
        </w:rPr>
      </w:pPr>
    </w:p>
    <w:p>
      <w:pPr>
        <w:ind w:right="50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right="20" w:firstLine="405"/>
        <w:spacing w:after="0" w:line="299"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and test subcontractors are located in the Pacific Rim</w:t>
      </w:r>
    </w:p>
    <w:p>
      <w:pPr>
        <w:spacing w:after="0" w:line="1"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region. For example, a substantial amount of our revenue is derived from products manufactured in Taiwan and as a result, disruptions to business in Taiwan, whether political, military or natural disasters will adversely impact our business. In addition, many of our customers are located outside of the United States, primarily in Asia, which further exposes us to foreign risks. Sales shipped to customers with operations in Asia represented approximately 75% and 80% of our net revenue in the three months ended April 30, 2022 and May 1, 2021, respectively.</w:t>
      </w:r>
    </w:p>
    <w:p>
      <w:pPr>
        <w:spacing w:after="0" w:line="63" w:lineRule="exact"/>
        <w:rPr>
          <w:sz w:val="20"/>
          <w:szCs w:val="20"/>
          <w:color w:val="auto"/>
        </w:rPr>
      </w:pPr>
    </w:p>
    <w:p>
      <w:pPr>
        <w:ind w:right="400" w:firstLine="405"/>
        <w:spacing w:after="0" w:line="277" w:lineRule="auto"/>
        <w:rPr>
          <w:sz w:val="20"/>
          <w:szCs w:val="20"/>
          <w:color w:val="auto"/>
        </w:rPr>
      </w:pPr>
      <w:r>
        <w:rPr>
          <w:rFonts w:ascii="Arial" w:cs="Arial" w:eastAsia="Arial" w:hAnsi="Arial"/>
          <w:sz w:val="18"/>
          <w:szCs w:val="18"/>
          <w:color w:val="auto"/>
        </w:rPr>
        <w:t>We also have substantial operations outside of the United States. We anticipate that our manufacturing, assembly, testing and sales outside of the United States will continue to account for a substantial portion of our operations and revenue in future periods.</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31" w:lineRule="exact"/>
        <w:rPr>
          <w:sz w:val="20"/>
          <w:szCs w:val="20"/>
          <w:color w:val="auto"/>
        </w:rPr>
      </w:pPr>
    </w:p>
    <w:p>
      <w:pPr>
        <w:ind w:left="640" w:hanging="308"/>
        <w:spacing w:after="0"/>
        <w:tabs>
          <w:tab w:leader="none" w:pos="640" w:val="left"/>
        </w:tabs>
        <w:numPr>
          <w:ilvl w:val="0"/>
          <w:numId w:val="13"/>
        </w:numPr>
        <w:rPr>
          <w:rFonts w:ascii="Arial" w:cs="Arial" w:eastAsia="Arial" w:hAnsi="Arial"/>
          <w:sz w:val="19"/>
          <w:szCs w:val="19"/>
          <w:color w:val="auto"/>
        </w:rPr>
      </w:pPr>
      <w:r>
        <w:rPr>
          <w:rFonts w:ascii="Arial" w:cs="Arial" w:eastAsia="Arial" w:hAnsi="Arial"/>
          <w:sz w:val="17"/>
          <w:szCs w:val="17"/>
          <w:color w:val="auto"/>
        </w:rPr>
        <w:t>actual or threatened public health emergencies such as the COVID-19 pandemic on our operations, employees, customers and suppliers;</w:t>
      </w:r>
    </w:p>
    <w:p>
      <w:pPr>
        <w:spacing w:after="0" w:line="119" w:lineRule="exact"/>
        <w:rPr>
          <w:rFonts w:ascii="Arial" w:cs="Arial" w:eastAsia="Arial" w:hAnsi="Arial"/>
          <w:sz w:val="19"/>
          <w:szCs w:val="19"/>
          <w:color w:val="auto"/>
        </w:rPr>
      </w:pPr>
    </w:p>
    <w:p>
      <w:pPr>
        <w:ind w:left="660" w:right="260" w:hanging="328"/>
        <w:spacing w:after="0" w:line="25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political, social and economic instability, military hostilities including invasions, wars, terrorism, political unrest, boycotts, curtailment of trade and other business restrictions;</w:t>
      </w:r>
    </w:p>
    <w:p>
      <w:pPr>
        <w:spacing w:after="0" w:line="98" w:lineRule="exact"/>
        <w:rPr>
          <w:rFonts w:ascii="Arial" w:cs="Arial" w:eastAsia="Arial" w:hAnsi="Arial"/>
          <w:sz w:val="20"/>
          <w:szCs w:val="20"/>
          <w:color w:val="auto"/>
        </w:rPr>
      </w:pPr>
    </w:p>
    <w:p>
      <w:pPr>
        <w:ind w:left="660" w:right="160" w:hanging="328"/>
        <w:spacing w:after="0" w:line="25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volatile global economic conditions, including downturns or recessions in which some competitors may become more aggressive in their pricing practices, which would adversely impact our gross margin;</w:t>
      </w:r>
    </w:p>
    <w:p>
      <w:pPr>
        <w:spacing w:after="0" w:line="98" w:lineRule="exact"/>
        <w:rPr>
          <w:rFonts w:ascii="Arial" w:cs="Arial" w:eastAsia="Arial" w:hAnsi="Arial"/>
          <w:sz w:val="20"/>
          <w:szCs w:val="20"/>
          <w:color w:val="auto"/>
        </w:rPr>
      </w:pPr>
    </w:p>
    <w:p>
      <w:pPr>
        <w:ind w:left="660" w:right="700" w:hanging="328"/>
        <w:spacing w:after="0" w:line="25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98" w:lineRule="exact"/>
        <w:rPr>
          <w:rFonts w:ascii="Arial" w:cs="Arial" w:eastAsia="Arial" w:hAnsi="Arial"/>
          <w:sz w:val="20"/>
          <w:szCs w:val="20"/>
          <w:color w:val="auto"/>
        </w:rPr>
      </w:pPr>
    </w:p>
    <w:p>
      <w:pPr>
        <w:ind w:left="660" w:right="40" w:hanging="328"/>
        <w:spacing w:after="0" w:line="250" w:lineRule="auto"/>
        <w:tabs>
          <w:tab w:leader="none" w:pos="648" w:val="left"/>
        </w:tabs>
        <w:numPr>
          <w:ilvl w:val="0"/>
          <w:numId w:val="13"/>
        </w:numPr>
        <w:rPr>
          <w:rFonts w:ascii="Arial" w:cs="Arial" w:eastAsia="Arial" w:hAnsi="Arial"/>
          <w:sz w:val="20"/>
          <w:szCs w:val="20"/>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00" w:lineRule="exact"/>
        <w:rPr>
          <w:sz w:val="20"/>
          <w:szCs w:val="20"/>
          <w:color w:val="auto"/>
        </w:rPr>
      </w:pPr>
    </w:p>
    <w:p>
      <w:pPr>
        <w:spacing w:after="0" w:line="3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difficulties in staffing and managing foreign operations;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natural disasters, including earthquakes, fires, tsunamis and floods;</w:t>
      </w:r>
    </w:p>
    <w:p>
      <w:pPr>
        <w:spacing w:after="0" w:line="107" w:lineRule="exact"/>
        <w:rPr>
          <w:rFonts w:ascii="Arial" w:cs="Arial" w:eastAsia="Arial" w:hAnsi="Arial"/>
          <w:sz w:val="20"/>
          <w:szCs w:val="20"/>
          <w:color w:val="auto"/>
        </w:rPr>
      </w:pPr>
    </w:p>
    <w:p>
      <w:pPr>
        <w:ind w:left="660" w:right="20" w:hanging="328"/>
        <w:spacing w:after="0" w:line="250" w:lineRule="auto"/>
        <w:tabs>
          <w:tab w:leader="none" w:pos="648" w:val="left"/>
        </w:tabs>
        <w:numPr>
          <w:ilvl w:val="0"/>
          <w:numId w:val="14"/>
        </w:numPr>
        <w:rPr>
          <w:rFonts w:ascii="Arial" w:cs="Arial" w:eastAsia="Arial" w:hAnsi="Arial"/>
          <w:sz w:val="20"/>
          <w:szCs w:val="20"/>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transportation and port-related delays;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difficulties of managing foreign distributors;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inadequate local infrastructure; and</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4"/>
        </w:numPr>
        <w:rPr>
          <w:rFonts w:ascii="Arial" w:cs="Arial" w:eastAsia="Arial" w:hAnsi="Arial"/>
          <w:sz w:val="20"/>
          <w:szCs w:val="20"/>
          <w:color w:val="auto"/>
        </w:rPr>
      </w:pPr>
      <w:r>
        <w:rPr>
          <w:rFonts w:ascii="Arial" w:cs="Arial" w:eastAsia="Arial" w:hAnsi="Arial"/>
          <w:sz w:val="18"/>
          <w:szCs w:val="18"/>
          <w:color w:val="auto"/>
        </w:rPr>
        <w:t>exposure to local banking, currency control and other financial-related risks.</w:t>
      </w:r>
    </w:p>
    <w:p>
      <w:pPr>
        <w:spacing w:after="0" w:line="94" w:lineRule="exact"/>
        <w:rPr>
          <w:sz w:val="20"/>
          <w:szCs w:val="20"/>
          <w:color w:val="auto"/>
        </w:rPr>
      </w:pPr>
    </w:p>
    <w:p>
      <w:pPr>
        <w:ind w:right="320" w:firstLine="405"/>
        <w:spacing w:after="0" w:line="308"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w:t>
      </w:r>
    </w:p>
    <w:p>
      <w:pPr>
        <w:jc w:val="both"/>
        <w:ind w:right="500"/>
        <w:spacing w:after="0" w:line="263" w:lineRule="auto"/>
        <w:rPr>
          <w:sz w:val="20"/>
          <w:szCs w:val="20"/>
          <w:color w:val="auto"/>
        </w:rPr>
      </w:pPr>
      <w:r>
        <w:rPr>
          <w:rFonts w:ascii="Arial" w:cs="Arial" w:eastAsia="Arial" w:hAnsi="Arial"/>
          <w:sz w:val="18"/>
          <w:szCs w:val="18"/>
          <w:color w:val="auto"/>
        </w:rPr>
        <w:t>efficiently deliver our products. See also, “</w:t>
      </w:r>
      <w:r>
        <w:rPr>
          <w:rFonts w:ascii="Arial" w:cs="Arial" w:eastAsia="Arial" w:hAnsi="Arial"/>
          <w:sz w:val="18"/>
          <w:szCs w:val="18"/>
          <w:i w:val="1"/>
          <w:iCs w:val="1"/>
          <w:color w:val="auto"/>
        </w:rPr>
        <w:t>We rely on our manufacturing partners for the manufacture, assembly and testing of our products, and the</w:t>
      </w:r>
      <w:r>
        <w:rPr>
          <w:rFonts w:ascii="Arial" w:cs="Arial" w:eastAsia="Arial" w:hAnsi="Arial"/>
          <w:sz w:val="18"/>
          <w:szCs w:val="18"/>
          <w:color w:val="auto"/>
        </w:rPr>
        <w:t xml:space="preserve"> </w:t>
      </w:r>
      <w:r>
        <w:rPr>
          <w:rFonts w:ascii="Arial" w:cs="Arial" w:eastAsia="Arial" w:hAnsi="Arial"/>
          <w:sz w:val="18"/>
          <w:szCs w:val="18"/>
          <w:i w:val="1"/>
          <w:iCs w:val="1"/>
          <w:color w:val="auto"/>
        </w:rPr>
        <w:t>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76" w:lineRule="exact"/>
        <w:rPr>
          <w:sz w:val="20"/>
          <w:szCs w:val="20"/>
          <w:color w:val="auto"/>
        </w:rPr>
      </w:pPr>
    </w:p>
    <w:p>
      <w:pPr>
        <w:ind w:right="300" w:firstLine="405"/>
        <w:spacing w:after="0" w:line="263" w:lineRule="auto"/>
        <w:rPr>
          <w:sz w:val="20"/>
          <w:szCs w:val="20"/>
          <w:color w:val="auto"/>
        </w:rPr>
      </w:pPr>
      <w:r>
        <w:rPr>
          <w:rFonts w:ascii="Arial" w:cs="Arial" w:eastAsia="Arial" w:hAnsi="Arial"/>
          <w:sz w:val="18"/>
          <w:szCs w:val="18"/>
          <w:color w:val="auto"/>
        </w:rPr>
        <w:t>Moreover, the international nature of our business subjects us to risks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119" w:lineRule="exact"/>
        <w:rPr>
          <w:sz w:val="20"/>
          <w:szCs w:val="20"/>
          <w:color w:val="auto"/>
        </w:rPr>
      </w:pPr>
    </w:p>
    <w:p>
      <w:pPr>
        <w:ind w:firstLine="405"/>
        <w:spacing w:after="0" w:line="286" w:lineRule="auto"/>
        <w:rPr>
          <w:sz w:val="20"/>
          <w:szCs w:val="20"/>
          <w:color w:val="auto"/>
        </w:rPr>
      </w:pPr>
      <w:r>
        <w:rPr>
          <w:rFonts w:ascii="Arial" w:cs="Arial" w:eastAsia="Arial" w:hAnsi="Arial"/>
          <w:sz w:val="16"/>
          <w:szCs w:val="16"/>
          <w:color w:val="auto"/>
        </w:rPr>
        <w:t>Markets for our 5G and Cloud products may not develop in the manner or in the time periods we anticipate. If domestic and global economic conditions worsen,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w:t>
      </w:r>
      <w:r>
        <w:rPr>
          <w:rFonts w:ascii="Arial" w:cs="Arial" w:eastAsia="Arial" w:hAnsi="Arial"/>
          <w:sz w:val="16"/>
          <w:szCs w:val="16"/>
          <w:color w:val="333333"/>
        </w:rPr>
        <w:t>s a result of the fact that the markets for 5G and Cloud are not yet fully developed,</w:t>
      </w:r>
      <w:r>
        <w:rPr>
          <w:rFonts w:ascii="Arial" w:cs="Arial" w:eastAsia="Arial" w:hAnsi="Arial"/>
          <w:sz w:val="16"/>
          <w:szCs w:val="16"/>
          <w:color w:val="auto"/>
        </w:rPr>
        <w:t xml:space="preserve"> </w:t>
      </w:r>
      <w:r>
        <w:rPr>
          <w:rFonts w:ascii="Arial" w:cs="Arial" w:eastAsia="Arial" w:hAnsi="Arial"/>
          <w:sz w:val="16"/>
          <w:szCs w:val="16"/>
          <w:color w:val="333333"/>
        </w:rPr>
        <w:t xml:space="preserve">demand for these products may be unpredictable and may vary significantly from one period to another. </w:t>
      </w:r>
      <w:r>
        <w:rPr>
          <w:rFonts w:ascii="Arial" w:cs="Arial" w:eastAsia="Arial" w:hAnsi="Arial"/>
          <w:sz w:val="16"/>
          <w:szCs w:val="16"/>
          <w:color w:val="000000"/>
        </w:rPr>
        <w:t>See also, “</w:t>
      </w:r>
      <w:r>
        <w:rPr>
          <w:rFonts w:ascii="Arial" w:cs="Arial" w:eastAsia="Arial" w:hAnsi="Arial"/>
          <w:sz w:val="16"/>
          <w:szCs w:val="16"/>
          <w:i w:val="1"/>
          <w:iCs w:val="1"/>
          <w:color w:val="000000"/>
        </w:rPr>
        <w:t>Our sales are concentrated in a few</w:t>
      </w:r>
      <w:r>
        <w:rPr>
          <w:rFonts w:ascii="Arial" w:cs="Arial" w:eastAsia="Arial" w:hAnsi="Arial"/>
          <w:sz w:val="16"/>
          <w:szCs w:val="16"/>
          <w:color w:val="333333"/>
        </w:rPr>
        <w:t xml:space="preserve"> </w:t>
      </w:r>
      <w:r>
        <w:rPr>
          <w:rFonts w:ascii="Arial" w:cs="Arial" w:eastAsia="Arial" w:hAnsi="Arial"/>
          <w:sz w:val="16"/>
          <w:szCs w:val="16"/>
          <w:i w:val="1"/>
          <w:iCs w:val="1"/>
          <w:color w:val="000000"/>
        </w:rPr>
        <w:t>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rFonts w:ascii="Arial" w:cs="Arial" w:eastAsia="Arial" w:hAnsi="Arial"/>
          <w:sz w:val="16"/>
          <w:szCs w:val="16"/>
          <w:color w:val="000000"/>
        </w:rPr>
        <w:t>” See also, “</w:t>
      </w:r>
      <w:r>
        <w:rPr>
          <w:rFonts w:ascii="Arial" w:cs="Arial" w:eastAsia="Arial" w:hAnsi="Arial"/>
          <w:sz w:val="16"/>
          <w:szCs w:val="16"/>
          <w:i w:val="1"/>
          <w:iCs w:val="1"/>
          <w:color w:val="000000"/>
        </w:rPr>
        <w:t xml:space="preserve">Adverse changes in the political and economic policies of the U.S. government in connection with trade with China have reduced the demand for our products and damaged our business” </w:t>
      </w:r>
      <w:r>
        <w:rPr>
          <w:rFonts w:ascii="Arial" w:cs="Arial" w:eastAsia="Arial" w:hAnsi="Arial"/>
          <w:sz w:val="16"/>
          <w:szCs w:val="16"/>
          <w:color w:val="000000"/>
        </w:rPr>
        <w:t>for additional risks related to export restrictions</w:t>
      </w:r>
      <w:r>
        <w:rPr>
          <w:rFonts w:ascii="Arial" w:cs="Arial" w:eastAsia="Arial" w:hAnsi="Arial"/>
          <w:sz w:val="16"/>
          <w:szCs w:val="16"/>
          <w:i w:val="1"/>
          <w:iCs w:val="1"/>
          <w:color w:val="000000"/>
        </w:rPr>
        <w:t xml:space="preserve"> </w:t>
      </w:r>
      <w:r>
        <w:rPr>
          <w:rFonts w:ascii="Arial" w:cs="Arial" w:eastAsia="Arial" w:hAnsi="Arial"/>
          <w:sz w:val="16"/>
          <w:szCs w:val="16"/>
          <w:color w:val="000000"/>
        </w:rPr>
        <w:t>that may impact certain customers in the 5G and Cloud markets.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0" w:name="page51"/>
    <w:bookmarkEnd w:id="5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39" w:lineRule="exact"/>
        <w:rPr>
          <w:sz w:val="20"/>
          <w:szCs w:val="20"/>
          <w:color w:val="auto"/>
        </w:rPr>
      </w:pPr>
    </w:p>
    <w:p>
      <w:pPr>
        <w:ind w:right="140" w:firstLine="405"/>
        <w:spacing w:after="0" w:line="253" w:lineRule="auto"/>
        <w:rPr>
          <w:sz w:val="20"/>
          <w:szCs w:val="20"/>
          <w:color w:val="auto"/>
        </w:rPr>
      </w:pPr>
      <w:r>
        <w:rPr>
          <w:rFonts w:ascii="Arial" w:cs="Arial" w:eastAsia="Arial" w:hAnsi="Arial"/>
          <w:sz w:val="18"/>
          <w:szCs w:val="18"/>
          <w:color w:val="auto"/>
        </w:rPr>
        <w:t>We receive a significant amount of our revenue from a limited number of customers. For example, during fiscal 2022, there was one distributor, whose revenue as a percentage of our net revenue was 10% or greater of total net revenues. In addition, net revenue from our ten (10) largest customers, including this distributor, represented 56% of our net revenue for the fiscal year ended January 29, 2022.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88"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92" w:lineRule="exact"/>
        <w:rPr>
          <w:sz w:val="20"/>
          <w:szCs w:val="20"/>
          <w:color w:val="auto"/>
        </w:rPr>
      </w:pPr>
    </w:p>
    <w:p>
      <w:pPr>
        <w:ind w:left="660" w:right="400" w:hanging="328"/>
        <w:spacing w:after="0" w:line="25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may purchase similar products from our competitors;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07" w:lineRule="exact"/>
        <w:rPr>
          <w:rFonts w:ascii="Arial" w:cs="Arial" w:eastAsia="Arial" w:hAnsi="Arial"/>
          <w:sz w:val="20"/>
          <w:szCs w:val="20"/>
          <w:color w:val="auto"/>
        </w:rPr>
      </w:pPr>
    </w:p>
    <w:p>
      <w:pPr>
        <w:ind w:left="660" w:right="40" w:hanging="328"/>
        <w:spacing w:after="0" w:line="250" w:lineRule="auto"/>
        <w:tabs>
          <w:tab w:leader="none" w:pos="648" w:val="left"/>
        </w:tabs>
        <w:numPr>
          <w:ilvl w:val="0"/>
          <w:numId w:val="15"/>
        </w:numPr>
        <w:rPr>
          <w:rFonts w:ascii="Arial" w:cs="Arial" w:eastAsia="Arial" w:hAnsi="Arial"/>
          <w:sz w:val="20"/>
          <w:szCs w:val="20"/>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98" w:lineRule="exact"/>
        <w:rPr>
          <w:rFonts w:ascii="Arial" w:cs="Arial" w:eastAsia="Arial" w:hAnsi="Arial"/>
          <w:sz w:val="20"/>
          <w:szCs w:val="20"/>
          <w:color w:val="auto"/>
        </w:rPr>
      </w:pPr>
    </w:p>
    <w:p>
      <w:pPr>
        <w:ind w:left="660" w:right="280" w:hanging="328"/>
        <w:spacing w:after="0" w:line="312" w:lineRule="auto"/>
        <w:tabs>
          <w:tab w:leader="none" w:pos="648" w:val="left"/>
        </w:tabs>
        <w:numPr>
          <w:ilvl w:val="0"/>
          <w:numId w:val="15"/>
        </w:numPr>
        <w:rPr>
          <w:rFonts w:ascii="Arial" w:cs="Arial" w:eastAsia="Arial" w:hAnsi="Arial"/>
          <w:sz w:val="18"/>
          <w:szCs w:val="18"/>
          <w:color w:val="auto"/>
        </w:rPr>
      </w:pPr>
      <w:r>
        <w:rPr>
          <w:rFonts w:ascii="Arial" w:cs="Arial" w:eastAsia="Arial" w:hAnsi="Arial"/>
          <w:sz w:val="16"/>
          <w:szCs w:val="16"/>
          <w:color w:val="auto"/>
        </w:rPr>
        <w:t>customers may be subject to severe business disruptions, including, but not limited to, those driven by recessions, financial instability, actual or threatened public health emergencies, such as the COVID-19 pandemic, or other global or regional macroeconomic developments.</w:t>
      </w:r>
    </w:p>
    <w:p>
      <w:pPr>
        <w:spacing w:after="0" w:line="32" w:lineRule="exact"/>
        <w:rPr>
          <w:sz w:val="20"/>
          <w:szCs w:val="20"/>
          <w:color w:val="auto"/>
        </w:rPr>
      </w:pPr>
    </w:p>
    <w:p>
      <w:pPr>
        <w:ind w:right="20" w:firstLine="405"/>
        <w:spacing w:after="0" w:line="296" w:lineRule="auto"/>
        <w:rPr>
          <w:sz w:val="20"/>
          <w:szCs w:val="20"/>
          <w:color w:val="auto"/>
        </w:rPr>
      </w:pPr>
      <w:r>
        <w:rPr>
          <w:rFonts w:ascii="Arial" w:cs="Arial" w:eastAsia="Arial" w:hAnsi="Arial"/>
          <w:sz w:val="16"/>
          <w:szCs w:val="16"/>
          <w:color w:val="auto"/>
        </w:rPr>
        <w:t>In addition, there has been a trend toward customer consolidation in the semiconductor industry through business combinations, including mergers, asset acquisitions and strategic partnerships (for example, Western Digital acquired SanDisk in 2017, and Toshiba Corporation sold control of a portion of its semiconductor business in 2018).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53" w:lineRule="exact"/>
        <w:rPr>
          <w:sz w:val="20"/>
          <w:szCs w:val="20"/>
          <w:color w:val="auto"/>
        </w:rPr>
      </w:pPr>
    </w:p>
    <w:p>
      <w:pPr>
        <w:ind w:right="1020" w:firstLine="405"/>
        <w:spacing w:after="0" w:line="342" w:lineRule="auto"/>
        <w:rPr>
          <w:sz w:val="20"/>
          <w:szCs w:val="20"/>
          <w:color w:val="auto"/>
        </w:rPr>
      </w:pPr>
      <w:r>
        <w:rPr>
          <w:rFonts w:ascii="Arial" w:cs="Arial" w:eastAsia="Arial" w:hAnsi="Arial"/>
          <w:sz w:val="16"/>
          <w:szCs w:val="16"/>
          <w:color w:val="auto"/>
        </w:rPr>
        <w:t>In addition, we may be less likely to negotiate as favorable terms with larger customers whether those customers resulted from customer consolidation, merger integrations or other reasons, and any such less favorable terms could harm our business and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ind w:right="200"/>
        <w:spacing w:after="0" w:line="245"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77"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typically sell products pursuant to purchase orders rather than long-term purchase commitments. Some of our customers may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semiconductor solutions are being incorporated into consumer products, we anticipate greater fluctuations in demand for our products, which makes it more difficult to forecast customer demand.</w:t>
      </w:r>
    </w:p>
    <w:p>
      <w:pPr>
        <w:spacing w:after="0" w:line="87"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88" w:lineRule="exact"/>
        <w:rPr>
          <w:sz w:val="20"/>
          <w:szCs w:val="20"/>
          <w:color w:val="auto"/>
        </w:rPr>
      </w:pPr>
    </w:p>
    <w:p>
      <w:pPr>
        <w:ind w:right="120" w:firstLine="405"/>
        <w:spacing w:after="0" w:line="239" w:lineRule="auto"/>
        <w:rPr>
          <w:sz w:val="20"/>
          <w:szCs w:val="20"/>
          <w:color w:val="auto"/>
        </w:rPr>
      </w:pPr>
      <w:r>
        <w:rPr>
          <w:rFonts w:ascii="Arial" w:cs="Arial" w:eastAsia="Arial" w:hAnsi="Arial"/>
          <w:sz w:val="18"/>
          <w:szCs w:val="18"/>
          <w:color w:val="auto"/>
        </w:rPr>
        <w:t>Our products are incorporated into complex devices and systems, which creates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 See also, “</w:t>
      </w:r>
      <w:r>
        <w:rPr>
          <w:rFonts w:ascii="Arial" w:cs="Arial" w:eastAsia="Arial" w:hAnsi="Arial"/>
          <w:sz w:val="18"/>
          <w:szCs w:val="18"/>
          <w:i w:val="1"/>
          <w:iCs w:val="1"/>
          <w:color w:val="auto"/>
        </w:rPr>
        <w:t>We rely on our manufacturing partners for the manufacture, assembly and</w:t>
      </w:r>
      <w:r>
        <w:rPr>
          <w:rFonts w:ascii="Arial" w:cs="Arial" w:eastAsia="Arial" w:hAnsi="Arial"/>
          <w:sz w:val="18"/>
          <w:szCs w:val="18"/>
          <w:color w:val="auto"/>
        </w:rPr>
        <w:t xml:space="preserve"> </w:t>
      </w:r>
      <w:r>
        <w:rPr>
          <w:rFonts w:ascii="Arial" w:cs="Arial" w:eastAsia="Arial" w:hAnsi="Arial"/>
          <w:sz w:val="18"/>
          <w:szCs w:val="18"/>
          <w:i w:val="1"/>
          <w:iCs w:val="1"/>
          <w:color w:val="auto"/>
        </w:rPr>
        <w:t>testing of our products, and the failure of any of these third-party vendors to deliver products or otherwise perform as requested could damage our relationships with our customers, decrease our sales and limit our ability to grow our business</w:t>
      </w:r>
      <w:r>
        <w:rPr>
          <w:rFonts w:ascii="Arial" w:cs="Arial" w:eastAsia="Arial" w:hAnsi="Arial"/>
          <w:sz w:val="18"/>
          <w:szCs w:val="18"/>
          <w:color w:val="auto"/>
        </w:rPr>
        <w:t>” for additional information on the impacts of supply chain</w:t>
      </w:r>
      <w:r>
        <w:rPr>
          <w:rFonts w:ascii="Arial" w:cs="Arial" w:eastAsia="Arial" w:hAnsi="Arial"/>
          <w:sz w:val="18"/>
          <w:szCs w:val="18"/>
          <w:i w:val="1"/>
          <w:iCs w:val="1"/>
          <w:color w:val="auto"/>
        </w:rPr>
        <w:t xml:space="preserve"> </w:t>
      </w:r>
      <w:r>
        <w:rPr>
          <w:rFonts w:ascii="Arial" w:cs="Arial" w:eastAsia="Arial" w:hAnsi="Arial"/>
          <w:sz w:val="18"/>
          <w:szCs w:val="18"/>
          <w:color w:val="auto"/>
        </w:rPr>
        <w:t>cross-dependencies on our business.</w:t>
      </w:r>
    </w:p>
    <w:p>
      <w:pPr>
        <w:spacing w:after="0" w:line="83" w:lineRule="exact"/>
        <w:rPr>
          <w:sz w:val="20"/>
          <w:szCs w:val="20"/>
          <w:color w:val="auto"/>
        </w:rPr>
      </w:pPr>
    </w:p>
    <w:p>
      <w:pPr>
        <w:ind w:right="200" w:firstLine="405"/>
        <w:spacing w:after="0" w:line="273" w:lineRule="auto"/>
        <w:rPr>
          <w:sz w:val="20"/>
          <w:szCs w:val="20"/>
          <w:color w:val="auto"/>
        </w:rPr>
      </w:pPr>
      <w:r>
        <w:rPr>
          <w:rFonts w:ascii="Arial" w:cs="Arial" w:eastAsia="Arial" w:hAnsi="Arial"/>
          <w:sz w:val="17"/>
          <w:szCs w:val="17"/>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108"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jc w:val="both"/>
        <w:ind w:right="240" w:firstLine="405"/>
        <w:spacing w:after="0" w:line="286"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57" w:lineRule="exact"/>
        <w:rPr>
          <w:sz w:val="20"/>
          <w:szCs w:val="20"/>
          <w:color w:val="auto"/>
        </w:rPr>
      </w:pPr>
    </w:p>
    <w:p>
      <w:pPr>
        <w:jc w:val="both"/>
        <w:ind w:right="220" w:firstLine="405"/>
        <w:spacing w:after="0" w:line="263"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76" w:lineRule="exact"/>
        <w:rPr>
          <w:sz w:val="20"/>
          <w:szCs w:val="20"/>
          <w:color w:val="auto"/>
        </w:rPr>
      </w:pPr>
    </w:p>
    <w:p>
      <w:pPr>
        <w:ind w:right="780" w:firstLine="405"/>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200" w:lineRule="exact"/>
        <w:rPr>
          <w:sz w:val="20"/>
          <w:szCs w:val="20"/>
          <w:color w:val="auto"/>
        </w:rPr>
      </w:pPr>
    </w:p>
    <w:p>
      <w:pPr>
        <w:spacing w:after="0" w:line="3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2" w:name="page53"/>
    <w:bookmarkEnd w:id="5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80" w:firstLine="405"/>
        <w:spacing w:after="0" w:line="225"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NVIDIA Corporation acquired Mellanox Technologies in April 2020, Infineon acquired Cypress Semiconductors in April 2020, Analog Devices Inc. acquired Maxim Integrated Products Inc. in August 2021, Renesas Electronics Corporation acquired Dialog Semiconductor in August 2021, and in February 2022 AMD acquired Xilinx, Inc. We license technology from Arm Limited that is included in a majority of our products and would be adversely impacted if the pricing for, or availability of, the relevant technology is changed in an adverse manner as a result of similar future transactions. Consolidation among our competitors has led, and in the future could lead, to a changing competitive landscape, capabilities and market share, which could put us at a competitive disadvantage and harm our results of operations.</w:t>
      </w:r>
    </w:p>
    <w:p>
      <w:pPr>
        <w:spacing w:after="0" w:line="204" w:lineRule="exact"/>
        <w:rPr>
          <w:sz w:val="20"/>
          <w:szCs w:val="20"/>
          <w:color w:val="auto"/>
        </w:rPr>
      </w:pPr>
    </w:p>
    <w:p>
      <w:pPr>
        <w:ind w:right="160"/>
        <w:spacing w:after="0" w:line="236"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average selling prices of products over time and shifts in our product mix as well as the price increase of certain components due to inflation, supply chain constraints, or for other reasons and testing and assembly.</w:t>
      </w:r>
    </w:p>
    <w:p>
      <w:pPr>
        <w:spacing w:after="0" w:line="82" w:lineRule="exact"/>
        <w:rPr>
          <w:sz w:val="20"/>
          <w:szCs w:val="20"/>
          <w:color w:val="auto"/>
        </w:rPr>
      </w:pPr>
    </w:p>
    <w:p>
      <w:pPr>
        <w:ind w:firstLine="405"/>
        <w:spacing w:after="0" w:line="296" w:lineRule="auto"/>
        <w:rPr>
          <w:sz w:val="20"/>
          <w:szCs w:val="20"/>
          <w:color w:val="auto"/>
        </w:rPr>
      </w:pPr>
      <w:r>
        <w:rPr>
          <w:rFonts w:ascii="Arial" w:cs="Arial" w:eastAsia="Arial" w:hAnsi="Arial"/>
          <w:sz w:val="16"/>
          <w:szCs w:val="16"/>
          <w:color w:val="auto"/>
        </w:rPr>
        <w:t>The products we develop and sell are primarily used for high-volume applications. While prices of our products have increased recently, the prices of our products have historically decreased rapidly.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53"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3" w:lineRule="exact"/>
        <w:rPr>
          <w:sz w:val="20"/>
          <w:szCs w:val="20"/>
          <w:color w:val="auto"/>
        </w:rPr>
      </w:pPr>
    </w:p>
    <w:p>
      <w:pPr>
        <w:ind w:right="240" w:firstLine="405"/>
        <w:spacing w:after="0" w:line="291"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Our gross margin could also be</w:t>
      </w:r>
    </w:p>
    <w:p>
      <w:pPr>
        <w:ind w:right="20"/>
        <w:spacing w:after="0" w:line="269" w:lineRule="auto"/>
        <w:rPr>
          <w:sz w:val="20"/>
          <w:szCs w:val="20"/>
          <w:color w:val="auto"/>
        </w:rPr>
      </w:pPr>
      <w:r>
        <w:rPr>
          <w:rFonts w:ascii="Arial" w:cs="Arial" w:eastAsia="Arial" w:hAnsi="Arial"/>
          <w:sz w:val="17"/>
          <w:szCs w:val="17"/>
          <w:color w:val="auto"/>
        </w:rPr>
        <w:t>impacted by increased cost (including those caused by tariffs</w:t>
      </w:r>
      <w:r>
        <w:rPr>
          <w:rFonts w:ascii="Arial" w:cs="Arial" w:eastAsia="Arial" w:hAnsi="Arial"/>
          <w:sz w:val="20"/>
          <w:szCs w:val="20"/>
          <w:color w:val="auto"/>
        </w:rPr>
        <w:t>,</w:t>
      </w:r>
      <w:r>
        <w:rPr>
          <w:rFonts w:ascii="Arial" w:cs="Arial" w:eastAsia="Arial" w:hAnsi="Arial"/>
          <w:sz w:val="17"/>
          <w:szCs w:val="17"/>
          <w:color w:val="auto"/>
        </w:rPr>
        <w:t xml:space="preserve"> inflation or supply chain constraints), loss of cost savings or dilution of savings due to changes in charges incurred due to inventory holding periods if parts ordering does not correctly anticipate product demand or if the financial health of either contract manufacturers or suppliers deteriorates as well as excess inventory and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may affect pricing of such commodities. For example, supply shortages in the semiconductor industry of multi-layer complex substrates, IC packaging capacity and fab constraints have resulted in increased lead times, inability to meet demand, and increased costs. Any increase in the price of components used in our products will adversely affect our gross margins.</w:t>
      </w:r>
    </w:p>
    <w:p>
      <w:pPr>
        <w:spacing w:after="0" w:line="71" w:lineRule="exact"/>
        <w:rPr>
          <w:sz w:val="20"/>
          <w:szCs w:val="20"/>
          <w:color w:val="auto"/>
        </w:rPr>
      </w:pPr>
    </w:p>
    <w:p>
      <w:pPr>
        <w:ind w:right="20" w:firstLine="405"/>
        <w:spacing w:after="0" w:line="289"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 In addition, the ASIC business model requires us to use third-party intellectual property and we may lose business or experience reputational harm if third parties,</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including customers, lose confidence in our ability to protect their intellectual property rights.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3" w:name="page54"/>
    <w:bookmarkEnd w:id="5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tax rules or tax practices may adversely affect our financial results.</w:t>
      </w:r>
    </w:p>
    <w:p>
      <w:pPr>
        <w:spacing w:after="0" w:line="108" w:lineRule="exact"/>
        <w:rPr>
          <w:sz w:val="20"/>
          <w:szCs w:val="20"/>
          <w:color w:val="auto"/>
        </w:rPr>
      </w:pPr>
    </w:p>
    <w:p>
      <w:pPr>
        <w:jc w:val="center"/>
        <w:ind w:right="380"/>
        <w:spacing w:after="0"/>
        <w:rPr>
          <w:sz w:val="20"/>
          <w:szCs w:val="20"/>
          <w:color w:val="auto"/>
        </w:rPr>
      </w:pPr>
      <w:r>
        <w:rPr>
          <w:rFonts w:ascii="Arial" w:cs="Arial" w:eastAsia="Arial" w:hAnsi="Arial"/>
          <w:sz w:val="17"/>
          <w:szCs w:val="17"/>
          <w:color w:val="auto"/>
        </w:rPr>
        <w:t>As a result of the closing of our transaction with Inphi in fiscal 2022, the Company is now domiciled in the United States and not Bermuda.</w:t>
      </w:r>
    </w:p>
    <w:p>
      <w:pPr>
        <w:spacing w:after="0" w:line="35" w:lineRule="exact"/>
        <w:rPr>
          <w:sz w:val="20"/>
          <w:szCs w:val="20"/>
          <w:color w:val="auto"/>
        </w:rPr>
      </w:pPr>
    </w:p>
    <w:p>
      <w:pPr>
        <w:jc w:val="center"/>
        <w:ind w:right="340"/>
        <w:spacing w:after="0"/>
        <w:rPr>
          <w:sz w:val="20"/>
          <w:szCs w:val="20"/>
          <w:color w:val="auto"/>
        </w:rPr>
      </w:pPr>
      <w:r>
        <w:rPr>
          <w:rFonts w:ascii="Arial" w:cs="Arial" w:eastAsia="Arial" w:hAnsi="Arial"/>
          <w:sz w:val="16"/>
          <w:szCs w:val="16"/>
          <w:color w:val="auto"/>
        </w:rPr>
        <w:t>Therefore, the income from all foreign subsidiaries is now subject to the U.S. provisions applicable to Global Intangible Low Taxed Income (“GILTI”),</w:t>
      </w:r>
    </w:p>
    <w:p>
      <w:pPr>
        <w:spacing w:after="0" w:line="58" w:lineRule="exact"/>
        <w:rPr>
          <w:sz w:val="20"/>
          <w:szCs w:val="20"/>
          <w:color w:val="auto"/>
        </w:rPr>
      </w:pPr>
    </w:p>
    <w:p>
      <w:pPr>
        <w:ind w:right="260"/>
        <w:spacing w:after="0" w:line="257" w:lineRule="auto"/>
        <w:rPr>
          <w:sz w:val="20"/>
          <w:szCs w:val="20"/>
          <w:color w:val="auto"/>
        </w:rPr>
      </w:pPr>
      <w:r>
        <w:rPr>
          <w:rFonts w:ascii="Arial" w:cs="Arial" w:eastAsia="Arial" w:hAnsi="Arial"/>
          <w:sz w:val="18"/>
          <w:szCs w:val="18"/>
          <w:color w:val="auto"/>
        </w:rPr>
        <w:t>which generally requires GILTI income to be included in the taxable income of U.S. entities. The U.S. currently has a federal corporate tax rate of 21%. The Biden Administration has made several corporate income tax proposals, including significant increases to the federal corporate income tax rate, changes to the GILTI regime, and an excise tax on corporate stock repurchases. These proposals have not passed the Senate. However, if they are passed and signed into law, these proposals, could cause our overall effective tax rate to increase and could materially affect our financial results, including our earnings and cash flow.</w:t>
      </w:r>
    </w:p>
    <w:p>
      <w:pPr>
        <w:spacing w:after="0" w:line="80" w:lineRule="exact"/>
        <w:rPr>
          <w:sz w:val="20"/>
          <w:szCs w:val="20"/>
          <w:color w:val="auto"/>
        </w:rPr>
      </w:pPr>
    </w:p>
    <w:p>
      <w:pPr>
        <w:ind w:right="80" w:firstLine="405"/>
        <w:spacing w:after="0" w:line="294"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w:t>
      </w:r>
    </w:p>
    <w:p>
      <w:pPr>
        <w:spacing w:after="0" w:line="3" w:lineRule="exact"/>
        <w:rPr>
          <w:sz w:val="20"/>
          <w:szCs w:val="20"/>
          <w:color w:val="auto"/>
        </w:rPr>
      </w:pPr>
    </w:p>
    <w:p>
      <w:pPr>
        <w:spacing w:after="0"/>
        <w:rPr>
          <w:sz w:val="20"/>
          <w:szCs w:val="20"/>
          <w:color w:val="auto"/>
        </w:rPr>
      </w:pPr>
      <w:r>
        <w:rPr>
          <w:rFonts w:ascii="Arial" w:cs="Arial" w:eastAsia="Arial" w:hAnsi="Arial"/>
          <w:sz w:val="16"/>
          <w:szCs w:val="16"/>
          <w:color w:val="auto"/>
        </w:rPr>
        <w:t>of at least 15%. Such proposed changes have not generally been enacted into law in the primary jurisdictions in which we operate. We calculate our income</w:t>
      </w:r>
    </w:p>
    <w:p>
      <w:pPr>
        <w:spacing w:after="0" w:line="73"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spacing w:after="0" w:line="57" w:lineRule="exact"/>
        <w:rPr>
          <w:sz w:val="20"/>
          <w:szCs w:val="20"/>
          <w:color w:val="auto"/>
        </w:rPr>
      </w:pPr>
    </w:p>
    <w:p>
      <w:pPr>
        <w:ind w:right="40" w:firstLine="405"/>
        <w:spacing w:after="0" w:line="284" w:lineRule="auto"/>
        <w:rPr>
          <w:sz w:val="20"/>
          <w:szCs w:val="20"/>
          <w:color w:val="auto"/>
        </w:rPr>
      </w:pPr>
      <w:r>
        <w:rPr>
          <w:rFonts w:ascii="Arial" w:cs="Arial" w:eastAsia="Arial" w:hAnsi="Arial"/>
          <w:sz w:val="16"/>
          <w:szCs w:val="16"/>
          <w:color w:val="auto"/>
        </w:rPr>
        <w:t>In addition, in prior years, we entered into incentive agreements in certain foreign jurisdictions that provide for reduced tax rates in such jurisdictions if certain criteria are met. During the three months ended April 30, 2022, the Singapore Economic Development Board (“EDB”) agreed to extend the Company’s Development and Expansion Incentive (“DEI”)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w:t>
      </w:r>
    </w:p>
    <w:p>
      <w:pPr>
        <w:spacing w:after="0" w:line="4"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jurisdictions as well as changes in foreign law</w:t>
      </w:r>
      <w:r>
        <w:rPr>
          <w:rFonts w:ascii="Arial" w:cs="Arial" w:eastAsia="Arial" w:hAnsi="Arial"/>
          <w:sz w:val="21"/>
          <w:szCs w:val="21"/>
          <w:color w:val="auto"/>
        </w:rPr>
        <w:t>s.</w:t>
      </w:r>
      <w:r>
        <w:rPr>
          <w:rFonts w:ascii="Arial" w:cs="Arial" w:eastAsia="Arial" w:hAnsi="Arial"/>
          <w:sz w:val="18"/>
          <w:szCs w:val="18"/>
          <w:color w:val="auto"/>
        </w:rPr>
        <w:t xml:space="preserve">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121"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addition, in prior periods, the Company transferred certain intellectual property to a related entity in Singapore. The impact to the Company was based on our determination of the fair value of this property, which required management to make significant estimates and to apply complex tax regulations in multiple jurisdictions. In future periods, local tax authorities may challenge the Company’s valuations of these assets, which could reduce our expected tax benefits from these transactions.</w:t>
      </w:r>
    </w:p>
    <w:p>
      <w:pPr>
        <w:spacing w:after="0" w:line="79" w:lineRule="exact"/>
        <w:rPr>
          <w:sz w:val="20"/>
          <w:szCs w:val="20"/>
          <w:color w:val="auto"/>
        </w:rPr>
      </w:pPr>
    </w:p>
    <w:p>
      <w:pPr>
        <w:ind w:right="440" w:firstLine="405"/>
        <w:spacing w:after="0" w:line="299" w:lineRule="auto"/>
        <w:rPr>
          <w:sz w:val="20"/>
          <w:szCs w:val="20"/>
          <w:color w:val="auto"/>
        </w:rPr>
      </w:pPr>
      <w:r>
        <w:rPr>
          <w:rFonts w:ascii="Arial" w:cs="Arial" w:eastAsia="Arial" w:hAnsi="Arial"/>
          <w:sz w:val="16"/>
          <w:szCs w:val="16"/>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w:t>
      </w:r>
    </w:p>
    <w:p>
      <w:pPr>
        <w:spacing w:after="0" w:line="1" w:lineRule="exact"/>
        <w:rPr>
          <w:sz w:val="20"/>
          <w:szCs w:val="20"/>
          <w:color w:val="auto"/>
        </w:rPr>
      </w:pPr>
    </w:p>
    <w:p>
      <w:pPr>
        <w:ind w:right="320"/>
        <w:spacing w:after="0" w:line="308" w:lineRule="auto"/>
        <w:rPr>
          <w:sz w:val="20"/>
          <w:szCs w:val="20"/>
          <w:color w:val="auto"/>
        </w:rPr>
      </w:pPr>
      <w:r>
        <w:rPr>
          <w:rFonts w:ascii="Arial" w:cs="Arial" w:eastAsia="Arial" w:hAnsi="Arial"/>
          <w:sz w:val="16"/>
          <w:szCs w:val="16"/>
          <w:color w:val="auto"/>
        </w:rPr>
        <w:t>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w:t>
      </w:r>
    </w:p>
    <w:p>
      <w:pPr>
        <w:ind w:right="100"/>
        <w:spacing w:after="0" w:line="263" w:lineRule="auto"/>
        <w:rPr>
          <w:sz w:val="20"/>
          <w:szCs w:val="20"/>
          <w:color w:val="auto"/>
        </w:rPr>
      </w:pPr>
      <w:r>
        <w:rPr>
          <w:rFonts w:ascii="Arial" w:cs="Arial" w:eastAsia="Arial" w:hAnsi="Arial"/>
          <w:sz w:val="18"/>
          <w:szCs w:val="18"/>
          <w:color w:val="auto"/>
        </w:rPr>
        <w:t>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4" w:name="page55"/>
    <w:bookmarkEnd w:id="5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108"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We had approximately $11.5 billion of goodwill and $5.9 billion of acquired intangible assets on our unaudited condensed consolidated balance sheet as of April 30, 2022.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87"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79"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w:t>
      </w:r>
    </w:p>
    <w:p>
      <w:pPr>
        <w:spacing w:after="0" w:line="84" w:lineRule="exact"/>
        <w:rPr>
          <w:sz w:val="20"/>
          <w:szCs w:val="20"/>
          <w:color w:val="auto"/>
        </w:rPr>
      </w:pPr>
    </w:p>
    <w:p>
      <w:pPr>
        <w:ind w:right="40" w:firstLine="405"/>
        <w:spacing w:after="0" w:line="254" w:lineRule="auto"/>
        <w:rPr>
          <w:sz w:val="20"/>
          <w:szCs w:val="20"/>
          <w:color w:val="auto"/>
        </w:rPr>
      </w:pPr>
      <w:r>
        <w:rPr>
          <w:rFonts w:ascii="Arial" w:cs="Arial" w:eastAsia="Arial" w:hAnsi="Arial"/>
          <w:sz w:val="18"/>
          <w:szCs w:val="18"/>
          <w:color w:val="auto"/>
        </w:rPr>
        <w:t>For example, during the second quarter of fiscal 2021 ended August 1, 2020, we made changes to the scope of our server processor product line in response to changes in the associated market. We are transitioning our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we determined the carrying amount of certain impacted assets are not recoverable, which resulted in recognition of $119.0 million of restructuring related charges associated with the server processor product line during the second quarter of fiscal 2021. See “Note 9 – Restructuring” in the Notes to the Unaudited Condensed Consolidated Financial Statements for further information.</w:t>
      </w:r>
    </w:p>
    <w:p>
      <w:pPr>
        <w:spacing w:after="0" w:line="8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70"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5" w:name="page56"/>
    <w:bookmarkEnd w:id="5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10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154" w:lineRule="exact"/>
        <w:rPr>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107" w:lineRule="exact"/>
        <w:rPr>
          <w:rFonts w:ascii="Arial" w:cs="Arial" w:eastAsia="Arial" w:hAnsi="Arial"/>
          <w:sz w:val="20"/>
          <w:szCs w:val="20"/>
          <w:color w:val="auto"/>
        </w:rPr>
      </w:pPr>
    </w:p>
    <w:p>
      <w:pPr>
        <w:ind w:left="660" w:hanging="328"/>
        <w:spacing w:after="0" w:line="25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19"/>
          <w:szCs w:val="19"/>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119" w:lineRule="exact"/>
        <w:rPr>
          <w:rFonts w:ascii="Arial" w:cs="Arial" w:eastAsia="Arial" w:hAnsi="Arial"/>
          <w:sz w:val="19"/>
          <w:szCs w:val="19"/>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increased cash commitments for improvements to the buildings or the property, or both;</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increased operating expenses for the buildings or the property, or both;</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possible disputes with third parties related to the buildings or the property, or both;</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6"/>
        </w:numPr>
        <w:rPr>
          <w:rFonts w:ascii="Arial" w:cs="Arial" w:eastAsia="Arial" w:hAnsi="Arial"/>
          <w:sz w:val="20"/>
          <w:szCs w:val="20"/>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107" w:lineRule="exact"/>
        <w:rPr>
          <w:rFonts w:ascii="Arial" w:cs="Arial" w:eastAsia="Arial" w:hAnsi="Arial"/>
          <w:sz w:val="20"/>
          <w:szCs w:val="20"/>
          <w:color w:val="auto"/>
        </w:rPr>
      </w:pPr>
    </w:p>
    <w:p>
      <w:pPr>
        <w:ind w:left="660" w:right="300" w:hanging="328"/>
        <w:spacing w:after="0" w:line="250" w:lineRule="auto"/>
        <w:tabs>
          <w:tab w:leader="none" w:pos="648" w:val="left"/>
        </w:tabs>
        <w:numPr>
          <w:ilvl w:val="0"/>
          <w:numId w:val="16"/>
        </w:numPr>
        <w:rPr>
          <w:rFonts w:ascii="Arial" w:cs="Arial" w:eastAsia="Arial" w:hAnsi="Arial"/>
          <w:sz w:val="20"/>
          <w:szCs w:val="20"/>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108"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40" w:firstLine="405"/>
        <w:spacing w:after="0" w:line="296"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3"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200" w:lineRule="exact"/>
        <w:rPr>
          <w:sz w:val="20"/>
          <w:szCs w:val="20"/>
          <w:color w:val="auto"/>
        </w:rPr>
      </w:pPr>
    </w:p>
    <w:p>
      <w:pPr>
        <w:spacing w:after="0" w:line="3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6" w:name="page57"/>
    <w:bookmarkEnd w:id="5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1" w:lineRule="exact"/>
        <w:rPr>
          <w:sz w:val="20"/>
          <w:szCs w:val="20"/>
          <w:color w:val="auto"/>
        </w:rPr>
      </w:pPr>
    </w:p>
    <w:p>
      <w:pPr>
        <w:ind w:right="30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58" w:lineRule="exact"/>
        <w:rPr>
          <w:sz w:val="20"/>
          <w:szCs w:val="20"/>
          <w:color w:val="auto"/>
        </w:rPr>
      </w:pPr>
    </w:p>
    <w:p>
      <w:pPr>
        <w:ind w:right="20" w:firstLine="405"/>
        <w:spacing w:after="0" w:line="287"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0" w:lineRule="exact"/>
        <w:rPr>
          <w:sz w:val="20"/>
          <w:szCs w:val="20"/>
          <w:color w:val="auto"/>
        </w:rPr>
      </w:pPr>
    </w:p>
    <w:p>
      <w:pPr>
        <w:ind w:right="60" w:firstLine="405"/>
        <w:spacing w:after="0" w:line="296"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94" w:lineRule="exact"/>
        <w:rPr>
          <w:sz w:val="20"/>
          <w:szCs w:val="20"/>
          <w:color w:val="auto"/>
        </w:rPr>
      </w:pPr>
    </w:p>
    <w:p>
      <w:pPr>
        <w:ind w:right="60" w:firstLine="405"/>
        <w:spacing w:after="0" w:line="288" w:lineRule="auto"/>
        <w:rPr>
          <w:sz w:val="20"/>
          <w:szCs w:val="20"/>
          <w:color w:val="auto"/>
        </w:rPr>
      </w:pPr>
      <w:r>
        <w:rPr>
          <w:rFonts w:ascii="Arial" w:cs="Arial" w:eastAsia="Arial" w:hAnsi="Arial"/>
          <w:sz w:val="16"/>
          <w:szCs w:val="16"/>
          <w:color w:val="auto"/>
        </w:rPr>
        <w:t>Increasingly regulators (including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and reporting can impact our ability to hire and retain employees, increase our customer base,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including on our reputation and stock price. Inadequate processes to collect and review this information prior to disclosure could be subject to potential liability related to such information.</w:t>
      </w:r>
    </w:p>
    <w:p>
      <w:pPr>
        <w:spacing w:after="0" w:line="200" w:lineRule="exact"/>
        <w:rPr>
          <w:sz w:val="20"/>
          <w:szCs w:val="20"/>
          <w:color w:val="auto"/>
        </w:rPr>
      </w:pP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7" w:name="page58"/>
    <w:bookmarkEnd w:id="57"/>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the acquisition, we entered into agreements with the U.S. Department of Defense with respect to FOCI mitigation arrangements that relate to our operation of the portion of the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84"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are a party to certain contracts with the U.S. government or its subcontractors. Our contracts with government entities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governmental entities could adversely impact our future sales and operating results.</w:t>
      </w:r>
    </w:p>
    <w:p>
      <w:pPr>
        <w:spacing w:after="0" w:line="201" w:lineRule="exact"/>
        <w:rPr>
          <w:sz w:val="20"/>
          <w:szCs w:val="20"/>
          <w:color w:val="auto"/>
        </w:rPr>
      </w:pPr>
    </w:p>
    <w:p>
      <w:pPr>
        <w:ind w:right="140"/>
        <w:spacing w:after="0" w:line="250"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ones in the future. Please see “Note 5 – Commitments and Contingencies” of our Notes to the Unaudited Condensed Consolidated Financial Statements set forth in Part I, Item 1 of this Quarterly Report on Form 10-Q for a more detailed description of material litigation matters in which we may be currently engaged.</w:t>
      </w:r>
    </w:p>
    <w:p>
      <w:pPr>
        <w:spacing w:after="0" w:line="79"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7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92" w:lineRule="exact"/>
        <w:rPr>
          <w:sz w:val="20"/>
          <w:szCs w:val="20"/>
          <w:color w:val="auto"/>
        </w:rPr>
      </w:pPr>
    </w:p>
    <w:p>
      <w:pPr>
        <w:ind w:left="660" w:right="280" w:hanging="328"/>
        <w:spacing w:after="0" w:line="25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limit or restrict the type of work that employees involved in such litigation may perform for us;</w:t>
      </w:r>
    </w:p>
    <w:p>
      <w:pPr>
        <w:spacing w:after="0" w:line="107" w:lineRule="exact"/>
        <w:rPr>
          <w:rFonts w:ascii="Arial" w:cs="Arial" w:eastAsia="Arial" w:hAnsi="Arial"/>
          <w:sz w:val="20"/>
          <w:szCs w:val="20"/>
          <w:color w:val="auto"/>
        </w:rPr>
      </w:pPr>
    </w:p>
    <w:p>
      <w:pPr>
        <w:ind w:left="660" w:right="380" w:hanging="328"/>
        <w:spacing w:after="0" w:line="250" w:lineRule="auto"/>
        <w:tabs>
          <w:tab w:leader="none" w:pos="648" w:val="left"/>
        </w:tabs>
        <w:numPr>
          <w:ilvl w:val="0"/>
          <w:numId w:val="17"/>
        </w:numPr>
        <w:rPr>
          <w:rFonts w:ascii="Arial" w:cs="Arial" w:eastAsia="Arial" w:hAnsi="Arial"/>
          <w:sz w:val="20"/>
          <w:szCs w:val="20"/>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7"/>
        </w:numPr>
        <w:rPr>
          <w:rFonts w:ascii="Arial" w:cs="Arial" w:eastAsia="Arial" w:hAnsi="Arial"/>
          <w:sz w:val="18"/>
          <w:szCs w:val="18"/>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30" w:lineRule="exact"/>
        <w:rPr>
          <w:rFonts w:ascii="Arial" w:cs="Arial" w:eastAsia="Arial" w:hAnsi="Arial"/>
          <w:sz w:val="18"/>
          <w:szCs w:val="18"/>
          <w:color w:val="auto"/>
        </w:rPr>
      </w:pPr>
    </w:p>
    <w:p>
      <w:pPr>
        <w:ind w:left="640" w:hanging="308"/>
        <w:spacing w:after="0"/>
        <w:tabs>
          <w:tab w:leader="none" w:pos="640" w:val="left"/>
        </w:tabs>
        <w:numPr>
          <w:ilvl w:val="0"/>
          <w:numId w:val="17"/>
        </w:numPr>
        <w:rPr>
          <w:rFonts w:ascii="Arial" w:cs="Arial" w:eastAsia="Arial" w:hAnsi="Arial"/>
          <w:sz w:val="20"/>
          <w:szCs w:val="20"/>
          <w:color w:val="auto"/>
        </w:rPr>
      </w:pPr>
      <w:r>
        <w:rPr>
          <w:rFonts w:ascii="Arial" w:cs="Arial" w:eastAsia="Arial" w:hAnsi="Arial"/>
          <w:sz w:val="18"/>
          <w:szCs w:val="18"/>
          <w:color w:val="auto"/>
        </w:rPr>
        <w:t>attempt to redesign those products that contain the allegedly infringing intellectual property.</w:t>
      </w:r>
    </w:p>
    <w:p>
      <w:pPr>
        <w:spacing w:after="0" w:line="94" w:lineRule="exact"/>
        <w:rPr>
          <w:sz w:val="20"/>
          <w:szCs w:val="20"/>
          <w:color w:val="auto"/>
        </w:rPr>
      </w:pPr>
    </w:p>
    <w:p>
      <w:pPr>
        <w:ind w:firstLine="405"/>
        <w:spacing w:after="0" w:line="30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See also, “</w:t>
      </w:r>
      <w:r>
        <w:rPr>
          <w:rFonts w:ascii="Arial" w:cs="Arial" w:eastAsia="Arial" w:hAnsi="Arial"/>
          <w:sz w:val="16"/>
          <w:szCs w:val="16"/>
          <w:i w:val="1"/>
          <w:iCs w:val="1"/>
          <w:color w:val="auto"/>
        </w:rPr>
        <w:t>Our indemnification obligations and limitations of our director and officer liability insurance may have a material adverse effect on</w:t>
      </w:r>
    </w:p>
    <w:p>
      <w:pPr>
        <w:jc w:val="both"/>
        <w:ind w:right="280"/>
        <w:spacing w:after="0" w:line="311" w:lineRule="auto"/>
        <w:rPr>
          <w:sz w:val="20"/>
          <w:szCs w:val="20"/>
          <w:color w:val="auto"/>
        </w:rPr>
      </w:pPr>
      <w:r>
        <w:rPr>
          <w:rFonts w:ascii="Arial" w:cs="Arial" w:eastAsia="Arial" w:hAnsi="Arial"/>
          <w:sz w:val="16"/>
          <w:szCs w:val="16"/>
          <w:i w:val="1"/>
          <w:iCs w:val="1"/>
          <w:color w:val="auto"/>
        </w:rPr>
        <w:t>our financial condition, results of operations and cash flows.</w:t>
      </w:r>
      <w:r>
        <w:rPr>
          <w:rFonts w:ascii="Arial" w:cs="Arial" w:eastAsia="Arial" w:hAnsi="Arial"/>
          <w:sz w:val="16"/>
          <w:szCs w:val="16"/>
          <w:color w:val="auto"/>
        </w:rPr>
        <w:t>” Additionally, from time to time, we have agreed to indemnify select customers for claims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200" w:lineRule="exact"/>
        <w:rPr>
          <w:sz w:val="20"/>
          <w:szCs w:val="20"/>
          <w:color w:val="auto"/>
        </w:rPr>
      </w:pPr>
    </w:p>
    <w:p>
      <w:pPr>
        <w:spacing w:after="0" w:line="2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48"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58"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“2020 Term Loans”). The 2020 Term Loans are evidenced by a credit agreement, dated December 7, 2020 (the “2020 Term Loan Agreement”) with JPMorgan Chase Bank, N.A., as administrative agent and a lender, and the other lenders from time to time party thereto. As of April 30, 2022, the Company had a balance of $1.6 billion on the term loan facility. In addition to the 2020 Term Loan Agreement, on December 7, 2020, we entered into a revolving credit agreement with JPMorgan Chase Bank, N.A., as administrative agent and a lender, and the other lenders from time to time party thereto (“2020 Revolving Credit Facility” and together with the 2020 Term Loan Agreement, the “Credit Agreements”), which provides for a $750 million revolving credit facility. As of April 30, 2022, the revolving credit facility was undrawn. Subsequent to quarter end, on May 3, 2022, the Company drew down $150.0 million on the 2020 Revolving Credit Facility.</w:t>
      </w:r>
    </w:p>
    <w:p>
      <w:pPr>
        <w:spacing w:after="0" w:line="84" w:lineRule="exact"/>
        <w:rPr>
          <w:sz w:val="20"/>
          <w:szCs w:val="20"/>
          <w:color w:val="auto"/>
        </w:rPr>
      </w:pPr>
    </w:p>
    <w:p>
      <w:pPr>
        <w:ind w:right="120" w:firstLine="405"/>
        <w:spacing w:after="0" w:line="269" w:lineRule="auto"/>
        <w:rPr>
          <w:sz w:val="20"/>
          <w:szCs w:val="20"/>
          <w:color w:val="auto"/>
        </w:rPr>
      </w:pPr>
      <w:r>
        <w:rPr>
          <w:rFonts w:ascii="Arial" w:cs="Arial" w:eastAsia="Arial" w:hAnsi="Arial"/>
          <w:sz w:val="17"/>
          <w:szCs w:val="17"/>
          <w:color w:val="auto"/>
        </w:rPr>
        <w:t>On April 12, 2021, the Company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the Company completed a private exchange offer where we exchanged notes issued by Marvell Technology Group Ltd. (collectively, the “MTG Senior Notes”) for $433.9 million aggregate principal amount of 2023 Senior Notes and $479.5 million aggregate principal amount of 2028 Senior Notes issued by the Company (the “MTI Senior Notes”) (together with the Senior Notes, the “Notes”). As of April 30, 2022, the Company had $2.0 billion aggregate principal amount of Senior Notes outstanding and $913.2 million in aggregate principal amount of the MTI Senior Notes outstanding and $86.7 million aggregate principal amount of the MTG Senior Notes outstanding. On October 8, 2021 and December 16, 2021, the Company completed registered exchange offers for each series of Notes. The terms of the new notes issued in the exchange offers are substantially identical to the Notes, except that the new notes are registered under the Securities Act of 1933 and the transfer restrictions and registration rights applicable to the Notes do not apply to the new notes.</w:t>
      </w:r>
    </w:p>
    <w:p>
      <w:pPr>
        <w:spacing w:after="0" w:line="7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131" w:lineRule="exact"/>
        <w:rPr>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increasing our vulnerability to adverse general economic and industry conditions;</w:t>
      </w:r>
    </w:p>
    <w:p>
      <w:pPr>
        <w:spacing w:after="0" w:line="107" w:lineRule="exact"/>
        <w:rPr>
          <w:rFonts w:ascii="Arial" w:cs="Arial" w:eastAsia="Arial" w:hAnsi="Arial"/>
          <w:sz w:val="20"/>
          <w:szCs w:val="20"/>
          <w:color w:val="auto"/>
        </w:rPr>
      </w:pPr>
    </w:p>
    <w:p>
      <w:pPr>
        <w:jc w:val="both"/>
        <w:ind w:left="660" w:hanging="328"/>
        <w:spacing w:after="0" w:line="25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98"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20"/>
          <w:szCs w:val="20"/>
          <w:color w:val="auto"/>
        </w:rPr>
      </w:pPr>
      <w:r>
        <w:rPr>
          <w:rFonts w:ascii="Arial" w:cs="Arial" w:eastAsia="Arial" w:hAnsi="Arial"/>
          <w:sz w:val="18"/>
          <w:szCs w:val="18"/>
          <w:color w:val="auto"/>
        </w:rPr>
        <w:t>placing us at a competitive disadvantage compared to our competitors with less indebtedness;</w:t>
      </w:r>
    </w:p>
    <w:p>
      <w:pPr>
        <w:spacing w:after="0" w:line="107" w:lineRule="exact"/>
        <w:rPr>
          <w:rFonts w:ascii="Arial" w:cs="Arial" w:eastAsia="Arial" w:hAnsi="Arial"/>
          <w:sz w:val="20"/>
          <w:szCs w:val="20"/>
          <w:color w:val="auto"/>
        </w:rPr>
      </w:pPr>
    </w:p>
    <w:p>
      <w:pPr>
        <w:ind w:left="640" w:hanging="308"/>
        <w:spacing w:after="0"/>
        <w:tabs>
          <w:tab w:leader="none" w:pos="640" w:val="left"/>
        </w:tabs>
        <w:numPr>
          <w:ilvl w:val="0"/>
          <w:numId w:val="18"/>
        </w:numPr>
        <w:rPr>
          <w:rFonts w:ascii="Arial" w:cs="Arial" w:eastAsia="Arial" w:hAnsi="Arial"/>
          <w:sz w:val="18"/>
          <w:szCs w:val="18"/>
          <w:color w:val="auto"/>
        </w:rPr>
      </w:pPr>
      <w:r>
        <w:rPr>
          <w:rFonts w:ascii="Arial" w:cs="Arial" w:eastAsia="Arial" w:hAnsi="Arial"/>
          <w:sz w:val="16"/>
          <w:szCs w:val="16"/>
          <w:color w:val="auto"/>
        </w:rPr>
        <w:t>exposing us to interest rate risk to the extent of our variable rate indebtedness, particularly in the current environment of rising interest rates; and</w:t>
      </w:r>
    </w:p>
    <w:p>
      <w:pPr>
        <w:spacing w:after="0" w:line="130" w:lineRule="exact"/>
        <w:rPr>
          <w:rFonts w:ascii="Arial" w:cs="Arial" w:eastAsia="Arial" w:hAnsi="Arial"/>
          <w:sz w:val="18"/>
          <w:szCs w:val="18"/>
          <w:color w:val="auto"/>
        </w:rPr>
      </w:pPr>
    </w:p>
    <w:p>
      <w:pPr>
        <w:ind w:left="660" w:right="460" w:hanging="328"/>
        <w:spacing w:after="0" w:line="250" w:lineRule="auto"/>
        <w:tabs>
          <w:tab w:leader="none" w:pos="648" w:val="left"/>
        </w:tabs>
        <w:numPr>
          <w:ilvl w:val="0"/>
          <w:numId w:val="18"/>
        </w:numPr>
        <w:rPr>
          <w:rFonts w:ascii="Arial" w:cs="Arial" w:eastAsia="Arial" w:hAnsi="Arial"/>
          <w:sz w:val="20"/>
          <w:szCs w:val="20"/>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85"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0" w:lineRule="exact"/>
        <w:rPr>
          <w:sz w:val="20"/>
          <w:szCs w:val="20"/>
          <w:color w:val="auto"/>
        </w:rPr>
      </w:pPr>
    </w:p>
    <w:p>
      <w:pPr>
        <w:spacing w:after="0" w:line="3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121"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senior unsecured long-term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Notes Indentures impose restrictions on our business.</w:t>
      </w:r>
    </w:p>
    <w:p>
      <w:pPr>
        <w:spacing w:after="0" w:line="121"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governing the Senior Notes. Our ability to meet the leverage ratio set forth in the Credit Agreements may be affected by events beyond our control.</w:t>
      </w:r>
    </w:p>
    <w:p>
      <w:pPr>
        <w:spacing w:after="0" w:line="70" w:lineRule="exact"/>
        <w:rPr>
          <w:sz w:val="20"/>
          <w:szCs w:val="20"/>
          <w:color w:val="auto"/>
        </w:rPr>
      </w:pPr>
    </w:p>
    <w:p>
      <w:pPr>
        <w:ind w:right="140" w:firstLine="405"/>
        <w:spacing w:after="0" w:line="263"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121" w:lineRule="exact"/>
        <w:rPr>
          <w:sz w:val="20"/>
          <w:szCs w:val="20"/>
          <w:color w:val="auto"/>
        </w:rPr>
      </w:pPr>
    </w:p>
    <w:p>
      <w:pPr>
        <w:ind w:firstLine="405"/>
        <w:spacing w:after="0" w:line="288"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Notes at the option of the holder.</w:t>
      </w:r>
    </w:p>
    <w:p>
      <w:pPr>
        <w:spacing w:after="0" w:line="121"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Senior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0" w:name="page61"/>
    <w:bookmarkEnd w:id="60"/>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Cybersecurity risks could adversely affect our business and disrupt our operations.</w:t>
      </w:r>
    </w:p>
    <w:p>
      <w:pPr>
        <w:spacing w:after="0" w:line="108"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ransomware attacks, and denial-of-service attacks. In addition, we have in the past and may in the future be the target of email phishing attacks that attempt to acquire personal information or company assets.</w:t>
      </w:r>
    </w:p>
    <w:p>
      <w:pPr>
        <w:spacing w:after="0" w:line="56" w:lineRule="exact"/>
        <w:rPr>
          <w:sz w:val="20"/>
          <w:szCs w:val="20"/>
          <w:color w:val="auto"/>
        </w:rPr>
      </w:pPr>
    </w:p>
    <w:p>
      <w:pPr>
        <w:ind w:right="180" w:firstLine="405"/>
        <w:spacing w:after="0" w:line="299" w:lineRule="auto"/>
        <w:rPr>
          <w:sz w:val="20"/>
          <w:szCs w:val="20"/>
          <w:color w:val="auto"/>
        </w:rPr>
      </w:pPr>
      <w:r>
        <w:rPr>
          <w:rFonts w:ascii="Arial" w:cs="Arial" w:eastAsia="Arial" w:hAnsi="Arial"/>
          <w:sz w:val="16"/>
          <w:szCs w:val="16"/>
          <w:color w:val="auto"/>
        </w:rPr>
        <w:t>We have implemented processes for systems under our control intended to mitigate risks; however, we can provide no guarantee that those risk mitigation measures will be effective. The Company has not experienced a material information security breach in the last three years, and as a result, we have not incurred any net expenses from such a breach. We have not been penalized or paid any amount under an information security breach settlement</w:t>
      </w:r>
    </w:p>
    <w:p>
      <w:pPr>
        <w:spacing w:after="0" w:line="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over the last three years. Further, the Company annually assesses its insurance policy and has determined not to purchase cyber related insurance.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6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Company’s business also requires it to share confidential information with suppliers and other third parties. Although the Company takes steps to</w:t>
      </w:r>
    </w:p>
    <w:p>
      <w:pPr>
        <w:spacing w:after="0" w:line="73" w:lineRule="exact"/>
        <w:rPr>
          <w:sz w:val="20"/>
          <w:szCs w:val="20"/>
          <w:color w:val="auto"/>
        </w:rPr>
      </w:pPr>
    </w:p>
    <w:p>
      <w:pPr>
        <w:ind w:right="460"/>
        <w:spacing w:after="0" w:line="308" w:lineRule="auto"/>
        <w:rPr>
          <w:sz w:val="20"/>
          <w:szCs w:val="20"/>
          <w:color w:val="auto"/>
        </w:rPr>
      </w:pPr>
      <w:r>
        <w:rPr>
          <w:rFonts w:ascii="Arial" w:cs="Arial" w:eastAsia="Arial" w:hAnsi="Arial"/>
          <w:sz w:val="16"/>
          <w:szCs w:val="16"/>
          <w:color w:val="auto"/>
        </w:rPr>
        <w:t>secure confidential information that is provided to third parties, such measures may not always be effective. Immaterial data breaches, losses or other unauthorized access to or releases of confidential information have in the past occurred with third parties and material data breaches, losses or other</w:t>
      </w:r>
    </w:p>
    <w:p>
      <w:pPr>
        <w:ind w:right="40"/>
        <w:spacing w:after="0" w:line="308" w:lineRule="auto"/>
        <w:rPr>
          <w:sz w:val="20"/>
          <w:szCs w:val="20"/>
          <w:color w:val="auto"/>
        </w:rPr>
      </w:pPr>
      <w:r>
        <w:rPr>
          <w:rFonts w:ascii="Arial" w:cs="Arial" w:eastAsia="Arial" w:hAnsi="Arial"/>
          <w:sz w:val="17"/>
          <w:szCs w:val="17"/>
          <w:color w:val="auto"/>
        </w:rPr>
        <w:t>unauthorized access to or releases of confidential information may in the future occur in connection with third parties and could materially adversely affect the Company’s reputation, financial condition and operating results and could result in liability or penalties under data privacy laws.</w:t>
      </w:r>
    </w:p>
    <w:p>
      <w:pPr>
        <w:spacing w:after="0" w:line="38" w:lineRule="exact"/>
        <w:rPr>
          <w:sz w:val="20"/>
          <w:szCs w:val="20"/>
          <w:color w:val="auto"/>
        </w:rPr>
      </w:pPr>
    </w:p>
    <w:p>
      <w:pPr>
        <w:jc w:val="both"/>
        <w:ind w:right="160" w:firstLine="405"/>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61" w:name="page62"/>
    <w:bookmarkEnd w:id="61"/>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6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35" w:lineRule="exact"/>
        <w:rPr>
          <w:sz w:val="20"/>
          <w:szCs w:val="20"/>
          <w:color w:val="auto"/>
        </w:rPr>
      </w:pPr>
    </w:p>
    <w:p>
      <w:pPr>
        <w:ind w:firstLine="405"/>
        <w:spacing w:after="0" w:line="285"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engineering, managerial, sales and marketing personnel. We typically do not enter into employment agreements with any of our key technical personnel and the loss of such personnel could harm our business, as their knowledge of our business and industry would be extremely difficult to replace. The competition for qualified technical personnel with significant experience in the design, development, manufacturing, marketing and sales of semiconductor solutions is intense, both in the Silicon Valley where our U.S. operations are based and in global markets in which we operate. Our inability to attract and retain qualified personnel, including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Competitors for technical talent increasingly seek to hire our employees, and the increased availability of work-from-home arrangements has both intensified and expanded competition. We have intensified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68"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Changes to U.S. immigration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 In addition, as a result of our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80" w:lineRule="exact"/>
        <w:rPr>
          <w:sz w:val="20"/>
          <w:szCs w:val="20"/>
          <w:color w:val="auto"/>
        </w:rPr>
      </w:pPr>
    </w:p>
    <w:p>
      <w:pPr>
        <w:ind w:right="180" w:firstLine="405"/>
        <w:spacing w:after="0" w:line="308" w:lineRule="auto"/>
        <w:rPr>
          <w:sz w:val="20"/>
          <w:szCs w:val="20"/>
          <w:color w:val="auto"/>
        </w:rPr>
      </w:pPr>
      <w:r>
        <w:rPr>
          <w:rFonts w:ascii="Arial" w:cs="Arial" w:eastAsia="Arial" w:hAnsi="Arial"/>
          <w:sz w:val="16"/>
          <w:szCs w:val="16"/>
          <w:color w:val="auto"/>
        </w:rPr>
        <w:t>In response to the COVID-19 pandemic, we modified our workplace practices globally, which resulted in many of our employees working remotely for extended periods of time. As a result, many of our employees expressed a preference to continue to work from home two to three days a week post-</w:t>
      </w:r>
    </w:p>
    <w:p>
      <w:pPr>
        <w:ind w:right="80"/>
        <w:spacing w:after="0" w:line="254" w:lineRule="auto"/>
        <w:rPr>
          <w:sz w:val="20"/>
          <w:szCs w:val="20"/>
          <w:color w:val="auto"/>
        </w:rPr>
      </w:pPr>
      <w:r>
        <w:rPr>
          <w:rFonts w:ascii="Arial" w:cs="Arial" w:eastAsia="Arial" w:hAnsi="Arial"/>
          <w:sz w:val="18"/>
          <w:szCs w:val="18"/>
          <w:color w:val="auto"/>
        </w:rPr>
        <w:t>pandemic. In response, we adopted a hybrid work policy for our employees, where employees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the pandemic and our recent move to a hybrid work environment, we expect to face challenges in retention of personnel who prefer to only work from home.</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face risks related to recession, inflation, stagflation and other economic conditions</w:t>
      </w:r>
    </w:p>
    <w:p>
      <w:pPr>
        <w:spacing w:after="0" w:line="105"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Customer demand for our products may be impacted by weak economic conditions, inflation, stagflation</w:t>
      </w:r>
      <w:r>
        <w:rPr>
          <w:rFonts w:ascii="Arial" w:cs="Arial" w:eastAsia="Arial" w:hAnsi="Arial"/>
          <w:sz w:val="18"/>
          <w:szCs w:val="18"/>
          <w:color w:val="auto"/>
        </w:rPr>
        <w:t>,</w:t>
      </w:r>
      <w:r>
        <w:rPr>
          <w:rFonts w:ascii="Arial" w:cs="Arial" w:eastAsia="Arial" w:hAnsi="Arial"/>
          <w:sz w:val="17"/>
          <w:szCs w:val="17"/>
          <w:color w:val="auto"/>
        </w:rPr>
        <w:t xml:space="preserve"> recession, equity market volatility or other negative economic factors in the U.S. or other nations. For example, under these conditions, our customers may delay purchasing decisions or reduce their use of our services. Further, in the event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customers, suppliers and creditors and might cause us to not be able to continue to access preferred sources of liquidity when we would like, and our borrowing costs could increase. Thus, if general macroeconomic conditions deteriorate, our business and financial results could be materially and adversely affected.</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368" w:lineRule="exact"/>
        <w:rPr>
          <w:sz w:val="20"/>
          <w:szCs w:val="20"/>
          <w:color w:val="auto"/>
        </w:rPr>
      </w:pPr>
    </w:p>
    <w:p>
      <w:pPr>
        <w:ind w:right="40" w:firstLine="324"/>
        <w:spacing w:after="0" w:line="231" w:lineRule="auto"/>
        <w:rPr>
          <w:sz w:val="20"/>
          <w:szCs w:val="20"/>
          <w:color w:val="auto"/>
        </w:rPr>
      </w:pPr>
      <w:r>
        <w:rPr>
          <w:rFonts w:ascii="Arial" w:cs="Arial" w:eastAsia="Arial" w:hAnsi="Arial"/>
          <w:sz w:val="18"/>
          <w:szCs w:val="18"/>
          <w:color w:val="auto"/>
        </w:rPr>
        <w:t>In addition, we are also subject to risk from inflation and increasing market prices of certain components, supplies, and commodity raw materials, which are incorporated into our end products or used by our suppliers to manufacture our end products. These components, supplies and commodities may from time to time become restricted, or general market factors and conditions may affect pricing of such components, supplies and commodities (such as inflation or supply chain constraints).</w:t>
      </w:r>
    </w:p>
    <w:p>
      <w:pPr>
        <w:spacing w:after="0" w:line="212" w:lineRule="exact"/>
        <w:rPr>
          <w:sz w:val="20"/>
          <w:szCs w:val="20"/>
          <w:color w:val="auto"/>
        </w:rPr>
      </w:pPr>
    </w:p>
    <w:p>
      <w:pPr>
        <w:ind w:right="460"/>
        <w:spacing w:after="0" w:line="296" w:lineRule="auto"/>
        <w:rPr>
          <w:sz w:val="20"/>
          <w:szCs w:val="20"/>
          <w:color w:val="auto"/>
        </w:rPr>
      </w:pPr>
      <w:r>
        <w:rPr>
          <w:rFonts w:ascii="Arial" w:cs="Arial" w:eastAsia="Arial" w:hAnsi="Arial"/>
          <w:sz w:val="17"/>
          <w:szCs w:val="17"/>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35" w:lineRule="exact"/>
        <w:rPr>
          <w:sz w:val="20"/>
          <w:szCs w:val="20"/>
          <w:color w:val="auto"/>
        </w:rPr>
      </w:pPr>
    </w:p>
    <w:p>
      <w:pPr>
        <w:ind w:right="100" w:firstLine="405"/>
        <w:spacing w:after="0" w:line="270"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$1.0 billion stock repurchase program. An aggregate of $1.2 billion of shares of stock have been repurchased under that program as of April 30, 2022. Future payment of a regular quarterly cash dividend on our common stock and future stock repurchases will be subject to, among other things: the best interests of our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April 30, 2022, there was $549.5 million remaining available for future stock repurchases of the authorization.</w:t>
      </w:r>
    </w:p>
    <w:p>
      <w:pPr>
        <w:spacing w:after="0" w:line="204" w:lineRule="exact"/>
        <w:rPr>
          <w:sz w:val="20"/>
          <w:szCs w:val="20"/>
          <w:color w:val="auto"/>
        </w:rPr>
      </w:pPr>
    </w:p>
    <w:p>
      <w:pPr>
        <w:ind w:right="8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58"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Under Delaware law, our certificate of incorporation and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the directors and officers are ultimately determined not to be entitled to indemnification, we may not be able to recover any amounts we previously advanced to them.</w:t>
      </w:r>
    </w:p>
    <w:p>
      <w:pPr>
        <w:spacing w:after="0" w:line="79" w:lineRule="exact"/>
        <w:rPr>
          <w:sz w:val="20"/>
          <w:szCs w:val="20"/>
          <w:color w:val="auto"/>
        </w:rPr>
      </w:pPr>
    </w:p>
    <w:p>
      <w:pPr>
        <w:ind w:right="140" w:firstLine="405"/>
        <w:spacing w:after="0" w:line="311" w:lineRule="auto"/>
        <w:rPr>
          <w:sz w:val="20"/>
          <w:szCs w:val="20"/>
          <w:color w:val="auto"/>
        </w:rPr>
      </w:pPr>
      <w:r>
        <w:rPr>
          <w:rFonts w:ascii="Arial" w:cs="Arial" w:eastAsia="Arial" w:hAnsi="Arial"/>
          <w:sz w:val="16"/>
          <w:szCs w:val="16"/>
          <w:color w:val="auto"/>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w:t>
      </w:r>
    </w:p>
    <w:p>
      <w:pPr>
        <w:spacing w:after="0" w:line="41"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0"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58" w:lineRule="exact"/>
        <w:rPr>
          <w:sz w:val="20"/>
          <w:szCs w:val="20"/>
          <w:color w:val="auto"/>
        </w:rPr>
      </w:pPr>
    </w:p>
    <w:p>
      <w:pPr>
        <w:ind w:right="20" w:firstLine="405"/>
        <w:spacing w:after="0" w:line="254"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and test subcontractors. In the event of a natural disaster (such as an earthquake or tsunami), political or military turmoil, widespread public health emergencies including pandemics, including the COVID-19 pandemic,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1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131" w:lineRule="exact"/>
        <w:rPr>
          <w:sz w:val="20"/>
          <w:szCs w:val="20"/>
          <w:color w:val="auto"/>
        </w:rPr>
      </w:pPr>
    </w:p>
    <w:p>
      <w:pPr>
        <w:ind w:right="80" w:firstLine="405"/>
        <w:spacing w:after="0" w:line="301"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200" w:lineRule="exact"/>
        <w:rPr>
          <w:sz w:val="20"/>
          <w:szCs w:val="20"/>
          <w:color w:val="auto"/>
        </w:rPr>
      </w:pPr>
    </w:p>
    <w:p>
      <w:pPr>
        <w:spacing w:after="0" w:line="2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3" w:name="page64"/>
    <w:bookmarkEnd w:id="63"/>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April 30, 2022.</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43"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We resumed our stock repurchase program in the first quarter of fiscal 2023, which had been temporarily suspended in fiscal 2021 to preserve cash during the COVID-19 pandemic.</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details of our share repurchases during the three months ended April 30, 2022 (in millions, except per share data):</w:t>
      </w:r>
    </w:p>
    <w:p>
      <w:pPr>
        <w:spacing w:after="0" w:line="260"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3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Total Number of Shares</w:t>
            </w:r>
          </w:p>
        </w:tc>
        <w:tc>
          <w:tcPr>
            <w:tcW w:w="100" w:type="dxa"/>
            <w:vAlign w:val="bottom"/>
          </w:tcPr>
          <w:p>
            <w:pPr>
              <w:spacing w:after="0"/>
              <w:rPr>
                <w:sz w:val="17"/>
                <w:szCs w:val="17"/>
                <w:color w:val="auto"/>
              </w:rPr>
            </w:pPr>
          </w:p>
        </w:tc>
        <w:tc>
          <w:tcPr>
            <w:tcW w:w="2220" w:type="dxa"/>
            <w:vAlign w:val="bottom"/>
            <w:gridSpan w:val="2"/>
          </w:tcPr>
          <w:p>
            <w:pPr>
              <w:jc w:val="center"/>
              <w:spacing w:after="0"/>
              <w:rPr>
                <w:sz w:val="20"/>
                <w:szCs w:val="20"/>
                <w:color w:val="auto"/>
              </w:rPr>
            </w:pPr>
            <w:r>
              <w:rPr>
                <w:rFonts w:ascii="Arial" w:cs="Arial" w:eastAsia="Arial" w:hAnsi="Arial"/>
                <w:sz w:val="18"/>
                <w:szCs w:val="18"/>
                <w:b w:val="1"/>
                <w:bCs w:val="1"/>
                <w:color w:val="auto"/>
                <w:w w:val="92"/>
              </w:rPr>
              <w:t>Approximate Dollar Value</w:t>
            </w:r>
          </w:p>
        </w:tc>
        <w:tc>
          <w:tcPr>
            <w:tcW w:w="0" w:type="dxa"/>
            <w:vAlign w:val="bottom"/>
          </w:tcPr>
          <w:p>
            <w:pPr>
              <w:spacing w:after="0"/>
              <w:rPr>
                <w:sz w:val="1"/>
                <w:szCs w:val="1"/>
                <w:color w:val="auto"/>
              </w:rPr>
            </w:pPr>
          </w:p>
        </w:tc>
      </w:tr>
      <w:tr>
        <w:trPr>
          <w:trHeight w:val="175"/>
        </w:trPr>
        <w:tc>
          <w:tcPr>
            <w:tcW w:w="35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60" w:type="dxa"/>
            <w:vAlign w:val="bottom"/>
            <w:vMerge w:val="restart"/>
          </w:tcPr>
          <w:p>
            <w:pPr>
              <w:ind w:left="100"/>
              <w:spacing w:after="0"/>
              <w:rPr>
                <w:sz w:val="20"/>
                <w:szCs w:val="20"/>
                <w:color w:val="auto"/>
              </w:rPr>
            </w:pPr>
            <w:r>
              <w:rPr>
                <w:rFonts w:ascii="Arial" w:cs="Arial" w:eastAsia="Arial" w:hAnsi="Arial"/>
                <w:sz w:val="18"/>
                <w:szCs w:val="18"/>
                <w:b w:val="1"/>
                <w:bCs w:val="1"/>
                <w:color w:val="auto"/>
                <w:w w:val="97"/>
              </w:rPr>
              <w:t>Total Number of</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00" w:type="dxa"/>
            <w:vAlign w:val="bottom"/>
            <w:gridSpan w:val="2"/>
            <w:vMerge w:val="restart"/>
          </w:tcPr>
          <w:p>
            <w:pPr>
              <w:jc w:val="center"/>
              <w:ind w:right="200"/>
              <w:spacing w:after="0"/>
              <w:rPr>
                <w:sz w:val="20"/>
                <w:szCs w:val="20"/>
                <w:color w:val="auto"/>
              </w:rPr>
            </w:pPr>
            <w:r>
              <w:rPr>
                <w:rFonts w:ascii="Arial" w:cs="Arial" w:eastAsia="Arial" w:hAnsi="Arial"/>
                <w:sz w:val="18"/>
                <w:szCs w:val="18"/>
                <w:b w:val="1"/>
                <w:bCs w:val="1"/>
                <w:color w:val="auto"/>
                <w:w w:val="88"/>
              </w:rPr>
              <w:t>Average Price</w:t>
            </w:r>
          </w:p>
        </w:tc>
        <w:tc>
          <w:tcPr>
            <w:tcW w:w="2360" w:type="dxa"/>
            <w:vAlign w:val="bottom"/>
          </w:tcPr>
          <w:p>
            <w:pPr>
              <w:jc w:val="center"/>
              <w:spacing w:after="0" w:line="176" w:lineRule="exact"/>
              <w:rPr>
                <w:sz w:val="20"/>
                <w:szCs w:val="20"/>
                <w:color w:val="auto"/>
              </w:rPr>
            </w:pPr>
            <w:r>
              <w:rPr>
                <w:rFonts w:ascii="Arial" w:cs="Arial" w:eastAsia="Arial" w:hAnsi="Arial"/>
                <w:sz w:val="18"/>
                <w:szCs w:val="18"/>
                <w:b w:val="1"/>
                <w:bCs w:val="1"/>
                <w:color w:val="auto"/>
                <w:w w:val="89"/>
              </w:rPr>
              <w:t>Purchased as Part of Publicly</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120" w:type="dxa"/>
            <w:vAlign w:val="bottom"/>
          </w:tcPr>
          <w:p>
            <w:pPr>
              <w:jc w:val="center"/>
              <w:ind w:right="10"/>
              <w:spacing w:after="0" w:line="176" w:lineRule="exact"/>
              <w:rPr>
                <w:sz w:val="20"/>
                <w:szCs w:val="20"/>
                <w:color w:val="auto"/>
              </w:rPr>
            </w:pPr>
            <w:r>
              <w:rPr>
                <w:rFonts w:ascii="Arial" w:cs="Arial" w:eastAsia="Arial" w:hAnsi="Arial"/>
                <w:sz w:val="18"/>
                <w:szCs w:val="18"/>
                <w:b w:val="1"/>
                <w:bCs w:val="1"/>
                <w:color w:val="auto"/>
                <w:w w:val="90"/>
              </w:rPr>
              <w:t>of Shares that May Yet be</w:t>
            </w:r>
          </w:p>
        </w:tc>
        <w:tc>
          <w:tcPr>
            <w:tcW w:w="0" w:type="dxa"/>
            <w:vAlign w:val="bottom"/>
          </w:tcPr>
          <w:p>
            <w:pPr>
              <w:spacing w:after="0"/>
              <w:rPr>
                <w:sz w:val="1"/>
                <w:szCs w:val="1"/>
                <w:color w:val="auto"/>
              </w:rPr>
            </w:pPr>
          </w:p>
        </w:tc>
      </w:tr>
      <w:tr>
        <w:trPr>
          <w:trHeight w:val="176"/>
        </w:trPr>
        <w:tc>
          <w:tcPr>
            <w:tcW w:w="3600" w:type="dxa"/>
            <w:vAlign w:val="bottom"/>
            <w:gridSpan w:val="2"/>
            <w:vMerge w:val="restart"/>
          </w:tcPr>
          <w:p>
            <w:pPr>
              <w:ind w:left="20"/>
              <w:spacing w:after="0"/>
              <w:rPr>
                <w:sz w:val="20"/>
                <w:szCs w:val="20"/>
                <w:color w:val="auto"/>
              </w:rPr>
            </w:pPr>
            <w:r>
              <w:rPr>
                <w:rFonts w:ascii="Arial" w:cs="Arial" w:eastAsia="Arial" w:hAnsi="Arial"/>
                <w:sz w:val="18"/>
                <w:szCs w:val="18"/>
                <w:b w:val="1"/>
                <w:bCs w:val="1"/>
                <w:color w:val="auto"/>
              </w:rPr>
              <w:t>Period (1)</w:t>
            </w:r>
          </w:p>
        </w:tc>
        <w:tc>
          <w:tcPr>
            <w:tcW w:w="1460" w:type="dxa"/>
            <w:vAlign w:val="bottom"/>
            <w:vMerge w:val="continue"/>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00" w:type="dxa"/>
            <w:vAlign w:val="bottom"/>
            <w:gridSpan w:val="2"/>
            <w:vMerge w:val="continue"/>
          </w:tcPr>
          <w:p>
            <w:pPr>
              <w:spacing w:after="0"/>
              <w:rPr>
                <w:sz w:val="15"/>
                <w:szCs w:val="15"/>
                <w:color w:val="auto"/>
              </w:rPr>
            </w:pPr>
          </w:p>
        </w:tc>
        <w:tc>
          <w:tcPr>
            <w:tcW w:w="2360" w:type="dxa"/>
            <w:vAlign w:val="bottom"/>
          </w:tcPr>
          <w:p>
            <w:pPr>
              <w:jc w:val="center"/>
              <w:spacing w:after="0" w:line="176" w:lineRule="exact"/>
              <w:rPr>
                <w:sz w:val="20"/>
                <w:szCs w:val="20"/>
                <w:color w:val="auto"/>
              </w:rPr>
            </w:pPr>
            <w:r>
              <w:rPr>
                <w:rFonts w:ascii="Arial" w:cs="Arial" w:eastAsia="Arial" w:hAnsi="Arial"/>
                <w:sz w:val="18"/>
                <w:szCs w:val="18"/>
                <w:b w:val="1"/>
                <w:bCs w:val="1"/>
                <w:color w:val="auto"/>
                <w:w w:val="89"/>
              </w:rPr>
              <w:t>Announced Plans or</w:t>
            </w:r>
          </w:p>
        </w:tc>
        <w:tc>
          <w:tcPr>
            <w:tcW w:w="100" w:type="dxa"/>
            <w:vAlign w:val="bottom"/>
          </w:tcPr>
          <w:p>
            <w:pPr>
              <w:spacing w:after="0"/>
              <w:rPr>
                <w:sz w:val="15"/>
                <w:szCs w:val="15"/>
                <w:color w:val="auto"/>
              </w:rPr>
            </w:pPr>
          </w:p>
        </w:tc>
        <w:tc>
          <w:tcPr>
            <w:tcW w:w="2220" w:type="dxa"/>
            <w:vAlign w:val="bottom"/>
            <w:gridSpan w:val="2"/>
          </w:tcPr>
          <w:p>
            <w:pPr>
              <w:jc w:val="center"/>
              <w:spacing w:after="0" w:line="176" w:lineRule="exact"/>
              <w:rPr>
                <w:sz w:val="20"/>
                <w:szCs w:val="20"/>
                <w:color w:val="auto"/>
              </w:rPr>
            </w:pPr>
            <w:r>
              <w:rPr>
                <w:rFonts w:ascii="Arial" w:cs="Arial" w:eastAsia="Arial" w:hAnsi="Arial"/>
                <w:sz w:val="18"/>
                <w:szCs w:val="18"/>
                <w:b w:val="1"/>
                <w:bCs w:val="1"/>
                <w:color w:val="auto"/>
                <w:w w:val="90"/>
              </w:rPr>
              <w:t>Purchased Under the Plan</w:t>
            </w:r>
          </w:p>
        </w:tc>
        <w:tc>
          <w:tcPr>
            <w:tcW w:w="0" w:type="dxa"/>
            <w:vAlign w:val="bottom"/>
          </w:tcPr>
          <w:p>
            <w:pPr>
              <w:spacing w:after="0"/>
              <w:rPr>
                <w:sz w:val="1"/>
                <w:szCs w:val="1"/>
                <w:color w:val="auto"/>
              </w:rPr>
            </w:pPr>
          </w:p>
        </w:tc>
      </w:tr>
      <w:tr>
        <w:trPr>
          <w:trHeight w:val="229"/>
        </w:trPr>
        <w:tc>
          <w:tcPr>
            <w:tcW w:w="3600" w:type="dxa"/>
            <w:vAlign w:val="bottom"/>
            <w:gridSpan w:val="2"/>
            <w:vMerge w:val="continue"/>
          </w:tcPr>
          <w:p>
            <w:pPr>
              <w:spacing w:after="0"/>
              <w:rPr>
                <w:sz w:val="19"/>
                <w:szCs w:val="19"/>
                <w:color w:val="auto"/>
              </w:rPr>
            </w:pPr>
          </w:p>
        </w:tc>
        <w:tc>
          <w:tcPr>
            <w:tcW w:w="1460" w:type="dxa"/>
            <w:vAlign w:val="bottom"/>
          </w:tcPr>
          <w:p>
            <w:pPr>
              <w:ind w:left="40"/>
              <w:spacing w:after="0"/>
              <w:rPr>
                <w:sz w:val="20"/>
                <w:szCs w:val="20"/>
                <w:color w:val="auto"/>
              </w:rPr>
            </w:pPr>
            <w:r>
              <w:rPr>
                <w:rFonts w:ascii="Arial" w:cs="Arial" w:eastAsia="Arial" w:hAnsi="Arial"/>
                <w:sz w:val="18"/>
                <w:szCs w:val="18"/>
                <w:b w:val="1"/>
                <w:bCs w:val="1"/>
                <w:color w:val="auto"/>
                <w:w w:val="89"/>
              </w:rPr>
              <w:t>Shares Purchased</w:t>
            </w:r>
          </w:p>
        </w:tc>
        <w:tc>
          <w:tcPr>
            <w:tcW w:w="100" w:type="dxa"/>
            <w:vAlign w:val="bottom"/>
          </w:tcPr>
          <w:p>
            <w:pPr>
              <w:spacing w:after="0"/>
              <w:rPr>
                <w:sz w:val="19"/>
                <w:szCs w:val="19"/>
                <w:color w:val="auto"/>
              </w:rPr>
            </w:pPr>
          </w:p>
        </w:tc>
        <w:tc>
          <w:tcPr>
            <w:tcW w:w="1400" w:type="dxa"/>
            <w:vAlign w:val="bottom"/>
            <w:gridSpan w:val="3"/>
          </w:tcPr>
          <w:p>
            <w:pPr>
              <w:jc w:val="center"/>
              <w:ind w:right="100"/>
              <w:spacing w:after="0"/>
              <w:rPr>
                <w:sz w:val="20"/>
                <w:szCs w:val="20"/>
                <w:color w:val="auto"/>
              </w:rPr>
            </w:pPr>
            <w:r>
              <w:rPr>
                <w:rFonts w:ascii="Arial" w:cs="Arial" w:eastAsia="Arial" w:hAnsi="Arial"/>
                <w:sz w:val="18"/>
                <w:szCs w:val="18"/>
                <w:b w:val="1"/>
                <w:bCs w:val="1"/>
                <w:color w:val="auto"/>
                <w:w w:val="90"/>
              </w:rPr>
              <w:t>Paid per Share</w:t>
            </w:r>
          </w:p>
        </w:tc>
        <w:tc>
          <w:tcPr>
            <w:tcW w:w="2360" w:type="dxa"/>
            <w:vAlign w:val="bottom"/>
          </w:tcPr>
          <w:p>
            <w:pPr>
              <w:jc w:val="center"/>
              <w:spacing w:after="0"/>
              <w:rPr>
                <w:sz w:val="20"/>
                <w:szCs w:val="20"/>
                <w:color w:val="auto"/>
              </w:rPr>
            </w:pPr>
            <w:r>
              <w:rPr>
                <w:rFonts w:ascii="Arial" w:cs="Arial" w:eastAsia="Arial" w:hAnsi="Arial"/>
                <w:sz w:val="18"/>
                <w:szCs w:val="18"/>
                <w:b w:val="1"/>
                <w:bCs w:val="1"/>
                <w:color w:val="auto"/>
                <w:w w:val="90"/>
              </w:rPr>
              <w:t>Programs</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120" w:type="dxa"/>
            <w:vAlign w:val="bottom"/>
          </w:tcPr>
          <w:p>
            <w:pPr>
              <w:jc w:val="center"/>
              <w:ind w:right="10"/>
              <w:spacing w:after="0"/>
              <w:rPr>
                <w:sz w:val="20"/>
                <w:szCs w:val="20"/>
                <w:color w:val="auto"/>
              </w:rPr>
            </w:pPr>
            <w:r>
              <w:rPr>
                <w:rFonts w:ascii="Arial" w:cs="Arial" w:eastAsia="Arial" w:hAnsi="Arial"/>
                <w:sz w:val="18"/>
                <w:szCs w:val="18"/>
                <w:b w:val="1"/>
                <w:bCs w:val="1"/>
                <w:color w:val="auto"/>
                <w:w w:val="90"/>
              </w:rPr>
              <w:t>or Programs (2)</w:t>
            </w:r>
          </w:p>
        </w:tc>
        <w:tc>
          <w:tcPr>
            <w:tcW w:w="0" w:type="dxa"/>
            <w:vAlign w:val="bottom"/>
          </w:tcPr>
          <w:p>
            <w:pPr>
              <w:spacing w:after="0"/>
              <w:rPr>
                <w:sz w:val="1"/>
                <w:szCs w:val="1"/>
                <w:color w:val="auto"/>
              </w:rPr>
            </w:pPr>
          </w:p>
        </w:tc>
      </w:tr>
      <w:tr>
        <w:trPr>
          <w:trHeight w:val="223"/>
        </w:trPr>
        <w:tc>
          <w:tcPr>
            <w:tcW w:w="35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January 30, 2022 to February 26, 2022</w:t>
            </w:r>
          </w:p>
        </w:tc>
        <w:tc>
          <w:tcPr>
            <w:tcW w:w="100" w:type="dxa"/>
            <w:vAlign w:val="bottom"/>
            <w:tcBorders>
              <w:top w:val="single" w:sz="8" w:color="CCEEFF"/>
            </w:tcBorders>
            <w:shd w:val="clear" w:color="auto" w:fill="CCEEFF"/>
          </w:tcPr>
          <w:p>
            <w:pPr>
              <w:spacing w:after="0"/>
              <w:rPr>
                <w:sz w:val="19"/>
                <w:szCs w:val="19"/>
                <w:color w:val="auto"/>
              </w:rPr>
            </w:pPr>
          </w:p>
        </w:tc>
        <w:tc>
          <w:tcPr>
            <w:tcW w:w="1460" w:type="dxa"/>
            <w:vAlign w:val="bottom"/>
            <w:tcBorders>
              <w:top w:val="single" w:sz="8" w:color="auto"/>
            </w:tcBorders>
            <w:shd w:val="clear" w:color="auto" w:fill="CCEEFF"/>
          </w:tcPr>
          <w:p>
            <w:pPr>
              <w:ind w:left="120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tcBorders>
              <w:top w:val="single" w:sz="8" w:color="CCEEFF"/>
            </w:tcBorders>
            <w:shd w:val="clear" w:color="auto" w:fill="CCEEFF"/>
          </w:tcPr>
          <w:p>
            <w:pPr>
              <w:spacing w:after="0"/>
              <w:rPr>
                <w:sz w:val="19"/>
                <w:szCs w:val="19"/>
                <w:color w:val="auto"/>
              </w:rPr>
            </w:pPr>
          </w:p>
        </w:tc>
        <w:tc>
          <w:tcPr>
            <w:tcW w:w="2360" w:type="dxa"/>
            <w:vAlign w:val="bottom"/>
            <w:tcBorders>
              <w:top w:val="single" w:sz="8" w:color="auto"/>
            </w:tcBorders>
            <w:shd w:val="clear" w:color="auto" w:fill="CCEEFF"/>
          </w:tcPr>
          <w:p>
            <w:pPr>
              <w:ind w:left="2100"/>
              <w:spacing w:after="0"/>
              <w:rPr>
                <w:sz w:val="20"/>
                <w:szCs w:val="20"/>
                <w:color w:val="auto"/>
              </w:rPr>
            </w:pPr>
            <w:r>
              <w:rPr>
                <w:rFonts w:ascii="Arial" w:cs="Arial" w:eastAsia="Arial" w:hAnsi="Arial"/>
                <w:sz w:val="18"/>
                <w:szCs w:val="18"/>
                <w:color w:val="auto"/>
              </w:rPr>
              <w:t>—</w:t>
            </w:r>
          </w:p>
        </w:tc>
        <w:tc>
          <w:tcPr>
            <w:tcW w:w="10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564.5</w:t>
            </w:r>
          </w:p>
        </w:tc>
        <w:tc>
          <w:tcPr>
            <w:tcW w:w="0" w:type="dxa"/>
            <w:vAlign w:val="bottom"/>
          </w:tcPr>
          <w:p>
            <w:pPr>
              <w:spacing w:after="0"/>
              <w:rPr>
                <w:sz w:val="1"/>
                <w:szCs w:val="1"/>
                <w:color w:val="auto"/>
              </w:rPr>
            </w:pPr>
          </w:p>
        </w:tc>
      </w:tr>
      <w:tr>
        <w:trPr>
          <w:trHeight w:val="229"/>
        </w:trPr>
        <w:tc>
          <w:tcPr>
            <w:tcW w:w="3600" w:type="dxa"/>
            <w:vAlign w:val="bottom"/>
            <w:gridSpan w:val="2"/>
          </w:tcPr>
          <w:p>
            <w:pPr>
              <w:ind w:left="20"/>
              <w:spacing w:after="0"/>
              <w:rPr>
                <w:sz w:val="20"/>
                <w:szCs w:val="20"/>
                <w:color w:val="auto"/>
              </w:rPr>
            </w:pPr>
            <w:r>
              <w:rPr>
                <w:rFonts w:ascii="Arial" w:cs="Arial" w:eastAsia="Arial" w:hAnsi="Arial"/>
                <w:sz w:val="18"/>
                <w:szCs w:val="18"/>
                <w:color w:val="auto"/>
              </w:rPr>
              <w:t>February 27, 2022 to March 26, 2022</w:t>
            </w:r>
          </w:p>
        </w:tc>
        <w:tc>
          <w:tcPr>
            <w:tcW w:w="1460" w:type="dxa"/>
            <w:vAlign w:val="bottom"/>
          </w:tcPr>
          <w:p>
            <w:pPr>
              <w:ind w:left="1200"/>
              <w:spacing w:after="0"/>
              <w:rPr>
                <w:sz w:val="20"/>
                <w:szCs w:val="20"/>
                <w:color w:val="auto"/>
              </w:rPr>
            </w:pPr>
            <w:r>
              <w:rPr>
                <w:rFonts w:ascii="Arial" w:cs="Arial" w:eastAsia="Arial" w:hAnsi="Arial"/>
                <w:sz w:val="18"/>
                <w:szCs w:val="18"/>
                <w:color w:val="auto"/>
              </w:rPr>
              <w:t>—</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360" w:type="dxa"/>
            <w:vAlign w:val="bottom"/>
          </w:tcPr>
          <w:p>
            <w:pPr>
              <w:ind w:left="2100"/>
              <w:spacing w:after="0"/>
              <w:rPr>
                <w:sz w:val="20"/>
                <w:szCs w:val="20"/>
                <w:color w:val="auto"/>
              </w:rPr>
            </w:pPr>
            <w:r>
              <w:rPr>
                <w:rFonts w:ascii="Arial" w:cs="Arial" w:eastAsia="Arial" w:hAnsi="Arial"/>
                <w:sz w:val="18"/>
                <w:szCs w:val="18"/>
                <w:color w:val="auto"/>
              </w:rPr>
              <w:t>—</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120" w:type="dxa"/>
            <w:vAlign w:val="bottom"/>
          </w:tcPr>
          <w:p>
            <w:pPr>
              <w:jc w:val="right"/>
              <w:spacing w:after="0"/>
              <w:rPr>
                <w:sz w:val="20"/>
                <w:szCs w:val="20"/>
                <w:color w:val="auto"/>
              </w:rPr>
            </w:pPr>
            <w:r>
              <w:rPr>
                <w:rFonts w:ascii="Arial" w:cs="Arial" w:eastAsia="Arial" w:hAnsi="Arial"/>
                <w:sz w:val="18"/>
                <w:szCs w:val="18"/>
                <w:color w:val="auto"/>
              </w:rPr>
              <w:t>564.5</w:t>
            </w:r>
          </w:p>
        </w:tc>
        <w:tc>
          <w:tcPr>
            <w:tcW w:w="0" w:type="dxa"/>
            <w:vAlign w:val="bottom"/>
          </w:tcPr>
          <w:p>
            <w:pPr>
              <w:spacing w:after="0"/>
              <w:rPr>
                <w:sz w:val="1"/>
                <w:szCs w:val="1"/>
                <w:color w:val="auto"/>
              </w:rPr>
            </w:pPr>
          </w:p>
        </w:tc>
      </w:tr>
      <w:tr>
        <w:trPr>
          <w:trHeight w:val="230"/>
        </w:trPr>
        <w:tc>
          <w:tcPr>
            <w:tcW w:w="360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March 27, 2022 to April 30, 2022</w:t>
            </w:r>
          </w:p>
        </w:tc>
        <w:tc>
          <w:tcPr>
            <w:tcW w:w="1460" w:type="dxa"/>
            <w:vAlign w:val="bottom"/>
            <w:tcBorders>
              <w:bottom w:val="single" w:sz="8" w:color="auto"/>
            </w:tcBorders>
            <w:shd w:val="clear" w:color="auto" w:fill="CCEEFF"/>
          </w:tcPr>
          <w:p>
            <w:pPr>
              <w:ind w:left="1220"/>
              <w:spacing w:after="0"/>
              <w:rPr>
                <w:sz w:val="20"/>
                <w:szCs w:val="20"/>
                <w:color w:val="auto"/>
              </w:rPr>
            </w:pPr>
            <w:r>
              <w:rPr>
                <w:rFonts w:ascii="Arial" w:cs="Arial" w:eastAsia="Arial" w:hAnsi="Arial"/>
                <w:sz w:val="18"/>
                <w:szCs w:val="18"/>
                <w:color w:val="auto"/>
                <w:w w:val="87"/>
              </w:rPr>
              <w:t>0.3</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61.21</w:t>
            </w:r>
          </w:p>
        </w:tc>
        <w:tc>
          <w:tcPr>
            <w:tcW w:w="80" w:type="dxa"/>
            <w:vAlign w:val="bottom"/>
            <w:shd w:val="clear" w:color="auto" w:fill="CCEEFF"/>
          </w:tcPr>
          <w:p>
            <w:pPr>
              <w:spacing w:after="0"/>
              <w:rPr>
                <w:sz w:val="19"/>
                <w:szCs w:val="19"/>
                <w:color w:val="auto"/>
              </w:rPr>
            </w:pPr>
          </w:p>
        </w:tc>
        <w:tc>
          <w:tcPr>
            <w:tcW w:w="2360" w:type="dxa"/>
            <w:vAlign w:val="bottom"/>
            <w:tcBorders>
              <w:bottom w:val="single" w:sz="8" w:color="auto"/>
            </w:tcBorders>
            <w:shd w:val="clear" w:color="auto" w:fill="CCEEFF"/>
          </w:tcPr>
          <w:p>
            <w:pPr>
              <w:ind w:left="2120"/>
              <w:spacing w:after="0"/>
              <w:rPr>
                <w:sz w:val="20"/>
                <w:szCs w:val="20"/>
                <w:color w:val="auto"/>
              </w:rPr>
            </w:pPr>
            <w:r>
              <w:rPr>
                <w:rFonts w:ascii="Arial" w:cs="Arial" w:eastAsia="Arial" w:hAnsi="Arial"/>
                <w:sz w:val="18"/>
                <w:szCs w:val="18"/>
                <w:color w:val="auto"/>
                <w:w w:val="87"/>
              </w:rPr>
              <w:t>0.3</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549.5</w:t>
            </w:r>
          </w:p>
        </w:tc>
        <w:tc>
          <w:tcPr>
            <w:tcW w:w="0" w:type="dxa"/>
            <w:vAlign w:val="bottom"/>
          </w:tcPr>
          <w:p>
            <w:pPr>
              <w:spacing w:after="0"/>
              <w:rPr>
                <w:sz w:val="1"/>
                <w:szCs w:val="1"/>
                <w:color w:val="auto"/>
              </w:rPr>
            </w:pPr>
          </w:p>
        </w:tc>
      </w:tr>
      <w:tr>
        <w:trPr>
          <w:trHeight w:val="223"/>
        </w:trPr>
        <w:tc>
          <w:tcPr>
            <w:tcW w:w="3600" w:type="dxa"/>
            <w:vAlign w:val="bottom"/>
            <w:gridSpan w:val="2"/>
          </w:tcPr>
          <w:p>
            <w:pPr>
              <w:ind w:left="20"/>
              <w:spacing w:after="0"/>
              <w:rPr>
                <w:sz w:val="20"/>
                <w:szCs w:val="20"/>
                <w:color w:val="auto"/>
              </w:rPr>
            </w:pPr>
            <w:r>
              <w:rPr>
                <w:rFonts w:ascii="Arial" w:cs="Arial" w:eastAsia="Arial" w:hAnsi="Arial"/>
                <w:sz w:val="18"/>
                <w:szCs w:val="18"/>
                <w:color w:val="auto"/>
              </w:rPr>
              <w:t>Total</w:t>
            </w:r>
          </w:p>
        </w:tc>
        <w:tc>
          <w:tcPr>
            <w:tcW w:w="1460" w:type="dxa"/>
            <w:vAlign w:val="bottom"/>
            <w:tcBorders>
              <w:bottom w:val="single" w:sz="8" w:color="auto"/>
            </w:tcBorders>
          </w:tcPr>
          <w:p>
            <w:pPr>
              <w:ind w:left="1220"/>
              <w:spacing w:after="0"/>
              <w:rPr>
                <w:sz w:val="20"/>
                <w:szCs w:val="20"/>
                <w:color w:val="auto"/>
              </w:rPr>
            </w:pPr>
            <w:r>
              <w:rPr>
                <w:rFonts w:ascii="Arial" w:cs="Arial" w:eastAsia="Arial" w:hAnsi="Arial"/>
                <w:sz w:val="18"/>
                <w:szCs w:val="18"/>
                <w:color w:val="auto"/>
                <w:w w:val="87"/>
              </w:rPr>
              <w:t>0.3</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61.21</w:t>
            </w:r>
          </w:p>
        </w:tc>
        <w:tc>
          <w:tcPr>
            <w:tcW w:w="80" w:type="dxa"/>
            <w:vAlign w:val="bottom"/>
          </w:tcPr>
          <w:p>
            <w:pPr>
              <w:spacing w:after="0"/>
              <w:rPr>
                <w:sz w:val="19"/>
                <w:szCs w:val="19"/>
                <w:color w:val="auto"/>
              </w:rPr>
            </w:pPr>
          </w:p>
        </w:tc>
        <w:tc>
          <w:tcPr>
            <w:tcW w:w="236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w w:val="87"/>
              </w:rPr>
              <w:t>0.3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340" w:right="200" w:hanging="332"/>
        <w:spacing w:after="0" w:line="261" w:lineRule="auto"/>
        <w:tabs>
          <w:tab w:leader="none" w:pos="33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April 30, 2022, are based on our fiscal accounting periods which follow a quarterly 4-4-5 week fiscal accounting period.</w:t>
      </w:r>
    </w:p>
    <w:p>
      <w:pPr>
        <w:spacing w:after="0" w:line="197" w:lineRule="exact"/>
        <w:rPr>
          <w:rFonts w:ascii="Arial" w:cs="Arial" w:eastAsia="Arial" w:hAnsi="Arial"/>
          <w:sz w:val="18"/>
          <w:szCs w:val="18"/>
          <w:color w:val="auto"/>
        </w:rPr>
      </w:pPr>
    </w:p>
    <w:p>
      <w:pPr>
        <w:ind w:left="340" w:right="40" w:hanging="332"/>
        <w:spacing w:after="0" w:line="272" w:lineRule="auto"/>
        <w:tabs>
          <w:tab w:leader="none" w:pos="334" w:val="left"/>
        </w:tabs>
        <w:numPr>
          <w:ilvl w:val="0"/>
          <w:numId w:val="19"/>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$1.0 billion share repurchase plan with no fixed expiration. On October 16, 2018, we announced that our Board of Directors authorized a $700.0 million addition to the balance of our existing share repurchase plan. Our existing share repurchase program had approximately $304.0 million of repurchase authority remaining as of October 16, 2018 prior to the approval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4" w:name="page65"/>
    <w:bookmarkEnd w:id="64"/>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0" w:lineRule="exact"/>
        <w:rPr>
          <w:sz w:val="20"/>
          <w:szCs w:val="20"/>
          <w:color w:val="auto"/>
        </w:rPr>
      </w:pP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120" w:type="dxa"/>
            <w:vAlign w:val="bottom"/>
            <w:gridSpan w:val="2"/>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780" w:type="dxa"/>
            <w:vAlign w:val="bottom"/>
            <w:gridSpan w:val="21"/>
          </w:tcPr>
          <w:p>
            <w:pPr>
              <w:ind w:left="100"/>
              <w:spacing w:after="0"/>
              <w:rPr>
                <w:sz w:val="20"/>
                <w:szCs w:val="20"/>
                <w:color w:val="auto"/>
              </w:rPr>
            </w:pPr>
            <w:r>
              <w:rPr>
                <w:rFonts w:ascii="Arial" w:cs="Arial" w:eastAsia="Arial" w:hAnsi="Arial"/>
                <w:sz w:val="14"/>
                <w:szCs w:val="14"/>
                <w:b w:val="1"/>
                <w:bCs w:val="1"/>
                <w:color w:val="auto"/>
              </w:rPr>
              <w:t>Item</w:t>
            </w:r>
          </w:p>
        </w:tc>
      </w:tr>
      <w:tr>
        <w:trPr>
          <w:trHeight w:val="189"/>
        </w:trPr>
        <w:tc>
          <w:tcPr>
            <w:tcW w:w="102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4"/>
          </w:tcPr>
          <w:p>
            <w:pPr>
              <w:spacing w:after="0" w:line="189" w:lineRule="exact"/>
              <w:rPr>
                <w:rFonts w:ascii="Arial" w:cs="Arial" w:eastAsia="Arial" w:hAnsi="Arial"/>
                <w:sz w:val="18"/>
                <w:szCs w:val="18"/>
                <w:color w:val="0000FF"/>
                <w:w w:val="89"/>
              </w:rPr>
            </w:pPr>
            <w:hyperlink r:id="rId81">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4"/>
          </w:tcPr>
          <w:p>
            <w:pPr>
              <w:spacing w:after="0"/>
              <w:rPr>
                <w:sz w:val="16"/>
                <w:szCs w:val="16"/>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7"/>
              </w:rPr>
            </w:pPr>
            <w:hyperlink r:id="rId81">
              <w:r>
                <w:rPr>
                  <w:rFonts w:ascii="Arial" w:cs="Arial" w:eastAsia="Arial" w:hAnsi="Arial"/>
                  <w:sz w:val="18"/>
                  <w:szCs w:val="18"/>
                  <w:color w:val="0000FF"/>
                  <w:w w:val="97"/>
                </w:rPr>
                <w:t>October 29, 2020, by and among Marvell Technology Group Ltd.,</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80" w:type="dxa"/>
            <w:vAlign w:val="bottom"/>
            <w:tcBorders>
              <w:top w:val="single" w:sz="8" w:color="0000FF"/>
              <w:bottom w:val="single" w:sz="8" w:color="0000FF"/>
            </w:tcBorders>
            <w:gridSpan w:val="19"/>
          </w:tcPr>
          <w:p>
            <w:pPr>
              <w:spacing w:after="0" w:line="156" w:lineRule="exact"/>
              <w:rPr>
                <w:rFonts w:ascii="Arial" w:cs="Arial" w:eastAsia="Arial" w:hAnsi="Arial"/>
                <w:sz w:val="18"/>
                <w:szCs w:val="18"/>
                <w:color w:val="0000FF"/>
                <w:w w:val="92"/>
              </w:rPr>
            </w:pPr>
            <w:hyperlink r:id="rId81">
              <w:r>
                <w:rPr>
                  <w:rFonts w:ascii="Arial" w:cs="Arial" w:eastAsia="Arial" w:hAnsi="Arial"/>
                  <w:sz w:val="18"/>
                  <w:szCs w:val="18"/>
                  <w:color w:val="0000FF"/>
                  <w:w w:val="92"/>
                </w:rPr>
                <w:t>Inphi Corporation, Maui HoldCo, Inc., Maui Acquisition Company</w:t>
              </w:r>
            </w:hyperlink>
          </w:p>
        </w:tc>
        <w:tc>
          <w:tcPr>
            <w:tcW w:w="4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8"/>
          </w:tcPr>
          <w:p>
            <w:pPr>
              <w:spacing w:after="0" w:line="156" w:lineRule="exact"/>
              <w:rPr>
                <w:rFonts w:ascii="Arial" w:cs="Arial" w:eastAsia="Arial" w:hAnsi="Arial"/>
                <w:sz w:val="18"/>
                <w:szCs w:val="18"/>
                <w:color w:val="0000FF"/>
                <w:w w:val="94"/>
              </w:rPr>
            </w:pPr>
            <w:hyperlink r:id="rId81">
              <w:r>
                <w:rPr>
                  <w:rFonts w:ascii="Arial" w:cs="Arial" w:eastAsia="Arial" w:hAnsi="Arial"/>
                  <w:sz w:val="18"/>
                  <w:szCs w:val="18"/>
                  <w:color w:val="0000FF"/>
                  <w:w w:val="94"/>
                </w:rPr>
                <w:t>Ltd and Indigo Acquisition Corp.</w:t>
              </w:r>
            </w:hyperlink>
          </w:p>
        </w:tc>
        <w:tc>
          <w:tcPr>
            <w:tcW w:w="2480" w:type="dxa"/>
            <w:vAlign w:val="bottom"/>
            <w:gridSpan w:val="16"/>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40" w:type="dxa"/>
            <w:vAlign w:val="bottom"/>
            <w:tcBorders>
              <w:bottom w:val="single" w:sz="8" w:color="0000FF"/>
            </w:tcBorders>
            <w:gridSpan w:val="21"/>
          </w:tcPr>
          <w:p>
            <w:pPr>
              <w:spacing w:after="0"/>
              <w:rPr>
                <w:rFonts w:ascii="Arial" w:cs="Arial" w:eastAsia="Arial" w:hAnsi="Arial"/>
                <w:sz w:val="18"/>
                <w:szCs w:val="18"/>
                <w:color w:val="0000FF"/>
                <w:w w:val="90"/>
              </w:rPr>
            </w:pPr>
            <w:hyperlink r:id="rId82">
              <w:r>
                <w:rPr>
                  <w:rFonts w:ascii="Arial" w:cs="Arial" w:eastAsia="Arial" w:hAnsi="Arial"/>
                  <w:sz w:val="18"/>
                  <w:szCs w:val="18"/>
                  <w:color w:val="0000FF"/>
                  <w:w w:val="90"/>
                </w:rPr>
                <w:t>Agreement and Plan of Merger by and among the Company, Kauai</w:t>
              </w:r>
            </w:hyperlink>
          </w:p>
        </w:tc>
        <w:tc>
          <w:tcPr>
            <w:tcW w:w="220" w:type="dxa"/>
            <w:vAlign w:val="bottom"/>
            <w:gridSpan w:val="7"/>
          </w:tcPr>
          <w:p>
            <w:pPr>
              <w:spacing w:after="0"/>
              <w:rPr>
                <w:sz w:val="24"/>
                <w:szCs w:val="24"/>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3"/>
              </w:rPr>
            </w:pPr>
            <w:hyperlink r:id="rId82">
              <w:r>
                <w:rPr>
                  <w:rFonts w:ascii="Arial" w:cs="Arial" w:eastAsia="Arial" w:hAnsi="Arial"/>
                  <w:sz w:val="18"/>
                  <w:szCs w:val="18"/>
                  <w:color w:val="0000FF"/>
                  <w:w w:val="93"/>
                </w:rPr>
                <w:t>Acquisition Corp., and Cavium, Inc. dated as of November 19, 2017</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00" w:type="dxa"/>
            <w:vAlign w:val="bottom"/>
            <w:tcBorders>
              <w:lef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1"/>
              </w:rPr>
            </w:pPr>
            <w:hyperlink r:id="rId83">
              <w:r>
                <w:rPr>
                  <w:rFonts w:ascii="Arial" w:cs="Arial" w:eastAsia="Arial" w:hAnsi="Arial"/>
                  <w:sz w:val="18"/>
                  <w:szCs w:val="18"/>
                  <w:color w:val="0000FF"/>
                  <w:w w:val="91"/>
                </w:rPr>
                <w:t>Asset Purchase Agreement between Marvell and NXP dated May 29,</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83">
              <w:r>
                <w:rPr>
                  <w:rFonts w:ascii="Arial" w:cs="Arial" w:eastAsia="Arial" w:hAnsi="Arial"/>
                  <w:sz w:val="18"/>
                  <w:szCs w:val="18"/>
                  <w:color w:val="0000FF"/>
                  <w:w w:val="84"/>
                </w:rPr>
                <w:t>2019</w:t>
              </w:r>
            </w:hyperlink>
          </w:p>
        </w:tc>
        <w:tc>
          <w:tcPr>
            <w:tcW w:w="120" w:type="dxa"/>
            <w:vAlign w:val="bottom"/>
            <w:tcBorders>
              <w:top w:val="single" w:sz="8" w:color="0000FF"/>
            </w:tcBorders>
          </w:tcPr>
          <w:p>
            <w:pPr>
              <w:spacing w:after="0"/>
              <w:rPr>
                <w:sz w:val="13"/>
                <w:szCs w:val="13"/>
                <w:color w:val="auto"/>
              </w:rPr>
            </w:pPr>
          </w:p>
        </w:tc>
        <w:tc>
          <w:tcPr>
            <w:tcW w:w="3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62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60" w:type="dxa"/>
            <w:vAlign w:val="bottom"/>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rPr>
            </w:pPr>
            <w:hyperlink r:id="rId84">
              <w:r>
                <w:rPr>
                  <w:rFonts w:ascii="Arial" w:cs="Arial" w:eastAsia="Arial" w:hAnsi="Arial"/>
                  <w:sz w:val="18"/>
                  <w:szCs w:val="18"/>
                  <w:color w:val="0000FF"/>
                </w:rPr>
                <w:t>Amended and Restated Certificate of Incorporation of Marvell</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50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84">
              <w:r>
                <w:rPr>
                  <w:rFonts w:ascii="Arial" w:cs="Arial" w:eastAsia="Arial" w:hAnsi="Arial"/>
                  <w:sz w:val="18"/>
                  <w:szCs w:val="18"/>
                  <w:color w:val="0000FF"/>
                </w:rPr>
                <w:t>Technology, Inc.</w:t>
              </w:r>
            </w:hyperlink>
          </w:p>
        </w:tc>
        <w:tc>
          <w:tcPr>
            <w:tcW w:w="120" w:type="dxa"/>
            <w:vAlign w:val="bottom"/>
            <w:gridSpan w:val="2"/>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3"/>
          </w:tcPr>
          <w:p>
            <w:pPr>
              <w:spacing w:after="0"/>
              <w:rPr>
                <w:sz w:val="13"/>
                <w:szCs w:val="13"/>
                <w:color w:val="auto"/>
              </w:rPr>
            </w:pPr>
          </w:p>
        </w:tc>
        <w:tc>
          <w:tcPr>
            <w:tcW w:w="100" w:type="dxa"/>
            <w:vAlign w:val="bottom"/>
            <w:gridSpan w:val="2"/>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20" w:type="dxa"/>
            <w:vAlign w:val="bottom"/>
            <w:tcBorders>
              <w:bottom w:val="single" w:sz="8" w:color="0000FF"/>
            </w:tcBorders>
            <w:gridSpan w:val="11"/>
          </w:tcPr>
          <w:p>
            <w:pPr>
              <w:spacing w:after="0"/>
              <w:rPr>
                <w:rFonts w:ascii="Arial" w:cs="Arial" w:eastAsia="Arial" w:hAnsi="Arial"/>
                <w:sz w:val="18"/>
                <w:szCs w:val="18"/>
                <w:color w:val="0000FF"/>
                <w:w w:val="91"/>
              </w:rPr>
            </w:pPr>
            <w:hyperlink r:id="rId85">
              <w:r>
                <w:rPr>
                  <w:rFonts w:ascii="Arial" w:cs="Arial" w:eastAsia="Arial" w:hAnsi="Arial"/>
                  <w:sz w:val="18"/>
                  <w:szCs w:val="18"/>
                  <w:color w:val="0000FF"/>
                  <w:w w:val="91"/>
                </w:rPr>
                <w:t>Amended and Restated Bylaws of Marvell Technology, Inc.</w:t>
              </w:r>
            </w:hyperlink>
          </w:p>
        </w:tc>
        <w:tc>
          <w:tcPr>
            <w:tcW w:w="740" w:type="dxa"/>
            <w:vAlign w:val="bottom"/>
            <w:gridSpan w:val="17"/>
          </w:tcPr>
          <w:p>
            <w:pPr>
              <w:spacing w:after="0"/>
              <w:rPr>
                <w:sz w:val="24"/>
                <w:szCs w:val="24"/>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8"/>
              </w:rPr>
            </w:pPr>
            <w:hyperlink r:id="rId86">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3"/>
              </w:rPr>
            </w:pPr>
            <w:hyperlink r:id="rId86">
              <w:r>
                <w:rPr>
                  <w:rFonts w:ascii="Arial" w:cs="Arial" w:eastAsia="Arial" w:hAnsi="Arial"/>
                  <w:sz w:val="18"/>
                  <w:szCs w:val="18"/>
                  <w:color w:val="0000FF"/>
                  <w:w w:val="93"/>
                </w:rPr>
                <w:t>among Marvell Technology, Inc., Inphi Corporation and Wells Fargo</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90"/>
              </w:rPr>
            </w:pPr>
            <w:hyperlink r:id="rId86">
              <w:r>
                <w:rPr>
                  <w:rFonts w:ascii="Arial" w:cs="Arial" w:eastAsia="Arial" w:hAnsi="Arial"/>
                  <w:sz w:val="18"/>
                  <w:szCs w:val="18"/>
                  <w:color w:val="0000FF"/>
                  <w:w w:val="90"/>
                </w:rPr>
                <w:t>Bank, National Association, as trustee</w:t>
              </w:r>
            </w:hyperlink>
          </w:p>
        </w:tc>
        <w:tc>
          <w:tcPr>
            <w:tcW w:w="2200" w:type="dxa"/>
            <w:vAlign w:val="bottom"/>
            <w:tcBorders>
              <w:top w:val="single" w:sz="8" w:color="0000FF"/>
            </w:tcBorders>
            <w:gridSpan w:val="17"/>
          </w:tcPr>
          <w:p>
            <w:pPr>
              <w:spacing w:after="0"/>
              <w:rPr>
                <w:sz w:val="13"/>
                <w:szCs w:val="13"/>
                <w:color w:val="auto"/>
              </w:rPr>
            </w:pPr>
          </w:p>
        </w:tc>
        <w:tc>
          <w:tcPr>
            <w:tcW w:w="100" w:type="dxa"/>
            <w:vAlign w:val="bottom"/>
            <w:gridSpan w:val="2"/>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8"/>
              </w:rPr>
            </w:pPr>
            <w:hyperlink r:id="rId87">
              <w:r>
                <w:rPr>
                  <w:rFonts w:ascii="Arial" w:cs="Arial" w:eastAsia="Arial" w:hAnsi="Arial"/>
                  <w:sz w:val="18"/>
                  <w:szCs w:val="18"/>
                  <w:color w:val="0000FF"/>
                  <w:w w:val="98"/>
                </w:rPr>
                <w:t>First Supplemental Indenture, dated as of April 20,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6"/>
              </w:rPr>
            </w:pPr>
            <w:hyperlink r:id="rId87">
              <w:r>
                <w:rPr>
                  <w:rFonts w:ascii="Arial" w:cs="Arial" w:eastAsia="Arial" w:hAnsi="Arial"/>
                  <w:sz w:val="18"/>
                  <w:szCs w:val="18"/>
                  <w:color w:val="0000FF"/>
                  <w:w w:val="96"/>
                </w:rPr>
                <w:t>among Marvell Technology, Inc., Inphi Corporation and U.S. Bank</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60" w:type="dxa"/>
            <w:vAlign w:val="bottom"/>
            <w:tcBorders>
              <w:top w:val="single" w:sz="8" w:color="0000FF"/>
            </w:tcBorders>
            <w:gridSpan w:val="22"/>
          </w:tcPr>
          <w:p>
            <w:pPr>
              <w:spacing w:after="0" w:line="156" w:lineRule="exact"/>
              <w:rPr>
                <w:rFonts w:ascii="Arial" w:cs="Arial" w:eastAsia="Arial" w:hAnsi="Arial"/>
                <w:sz w:val="18"/>
                <w:szCs w:val="18"/>
                <w:color w:val="0000FF"/>
              </w:rPr>
            </w:pPr>
            <w:hyperlink r:id="rId87">
              <w:r>
                <w:rPr>
                  <w:rFonts w:ascii="Arial" w:cs="Arial" w:eastAsia="Arial" w:hAnsi="Arial"/>
                  <w:sz w:val="18"/>
                  <w:szCs w:val="18"/>
                  <w:color w:val="0000FF"/>
                </w:rPr>
                <w:t>National Association, as trustee</w:t>
              </w:r>
            </w:hyperlink>
          </w:p>
        </w:tc>
        <w:tc>
          <w:tcPr>
            <w:tcW w:w="20" w:type="dxa"/>
            <w:vAlign w:val="bottom"/>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1100" w:type="dxa"/>
            <w:vAlign w:val="bottom"/>
            <w:gridSpan w:val="3"/>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rPr>
            </w:pPr>
            <w:hyperlink r:id="rId88">
              <w:r>
                <w:rPr>
                  <w:rFonts w:ascii="Arial" w:cs="Arial" w:eastAsia="Arial" w:hAnsi="Arial"/>
                  <w:sz w:val="18"/>
                  <w:szCs w:val="18"/>
                  <w:color w:val="0000FF"/>
                </w:rPr>
                <w:t>Base Indenture, dated as of April 12, 2021, between Marvell</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8"/>
              </w:rPr>
            </w:pPr>
            <w:hyperlink r:id="rId88">
              <w:r>
                <w:rPr>
                  <w:rFonts w:ascii="Arial" w:cs="Arial" w:eastAsia="Arial" w:hAnsi="Arial"/>
                  <w:sz w:val="18"/>
                  <w:szCs w:val="18"/>
                  <w:color w:val="0000FF"/>
                  <w:w w:val="98"/>
                </w:rPr>
                <w:t>Technology, Inc. and U.S. Bank National Association, as trustee</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8"/>
              </w:rPr>
            </w:pPr>
            <w:hyperlink r:id="rId89">
              <w:r>
                <w:rPr>
                  <w:rFonts w:ascii="Arial" w:cs="Arial" w:eastAsia="Arial" w:hAnsi="Arial"/>
                  <w:sz w:val="18"/>
                  <w:szCs w:val="18"/>
                  <w:color w:val="0000FF"/>
                  <w:w w:val="98"/>
                </w:rPr>
                <w:t>First Supplemental Indenture, dated as of April 12, 2021, by and</w:t>
              </w:r>
            </w:hyperlink>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60" w:type="dxa"/>
            <w:vAlign w:val="bottom"/>
            <w:gridSpan w:val="4"/>
            <w:shd w:val="clear" w:color="auto" w:fill="0000FF"/>
          </w:tcPr>
          <w:p>
            <w:pPr>
              <w:spacing w:after="0" w:line="20" w:lineRule="exact"/>
              <w:rPr>
                <w:sz w:val="1"/>
                <w:szCs w:val="1"/>
                <w:color w:val="auto"/>
              </w:rPr>
            </w:pPr>
          </w:p>
        </w:tc>
        <w:tc>
          <w:tcPr>
            <w:tcW w:w="1240" w:type="dxa"/>
            <w:vAlign w:val="bottom"/>
            <w:gridSpan w:val="5"/>
            <w:shd w:val="clear" w:color="auto" w:fill="0000FF"/>
          </w:tcPr>
          <w:p>
            <w:pPr>
              <w:spacing w:after="0" w:line="20" w:lineRule="exact"/>
              <w:rPr>
                <w:sz w:val="1"/>
                <w:szCs w:val="1"/>
                <w:color w:val="auto"/>
              </w:rPr>
            </w:pPr>
          </w:p>
        </w:tc>
        <w:tc>
          <w:tcPr>
            <w:tcW w:w="10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060" w:type="dxa"/>
            <w:vAlign w:val="bottom"/>
            <w:gridSpan w:val="28"/>
          </w:tcPr>
          <w:p>
            <w:pPr>
              <w:spacing w:after="0" w:line="156" w:lineRule="exact"/>
              <w:rPr>
                <w:rFonts w:ascii="Arial" w:cs="Arial" w:eastAsia="Arial" w:hAnsi="Arial"/>
                <w:sz w:val="18"/>
                <w:szCs w:val="18"/>
                <w:color w:val="0000FF"/>
                <w:w w:val="98"/>
              </w:rPr>
            </w:pPr>
            <w:hyperlink r:id="rId89">
              <w:r>
                <w:rPr>
                  <w:rFonts w:ascii="Arial" w:cs="Arial" w:eastAsia="Arial" w:hAnsi="Arial"/>
                  <w:sz w:val="18"/>
                  <w:szCs w:val="18"/>
                  <w:color w:val="0000FF"/>
                  <w:w w:val="98"/>
                </w:rPr>
                <w:t>among Marvell Technology, Inc., Marvell Technology Group Ltd.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38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90"/>
              </w:rPr>
            </w:pPr>
            <w:hyperlink r:id="rId89">
              <w:r>
                <w:rPr>
                  <w:rFonts w:ascii="Arial" w:cs="Arial" w:eastAsia="Arial" w:hAnsi="Arial"/>
                  <w:sz w:val="18"/>
                  <w:szCs w:val="18"/>
                  <w:color w:val="0000FF"/>
                  <w:w w:val="90"/>
                </w:rPr>
                <w:t>and U.S. Bank National Association, as trustee</w:t>
              </w:r>
            </w:hyperlink>
          </w:p>
        </w:tc>
        <w:tc>
          <w:tcPr>
            <w:tcW w:w="1380" w:type="dxa"/>
            <w:vAlign w:val="bottom"/>
            <w:tcBorders>
              <w:top w:val="single" w:sz="8" w:color="0000FF"/>
            </w:tcBorders>
            <w:gridSpan w:val="8"/>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4"/>
              </w:rPr>
            </w:pPr>
            <w:hyperlink r:id="rId89">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500,000,000 1.650% Senior Notes due 2026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6"/>
              </w:rPr>
            </w:pPr>
            <w:hyperlink r:id="rId89">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4"/>
              </w:rPr>
            </w:pPr>
            <w:hyperlink r:id="rId89">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2.450% Senior Notes due 2028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5"/>
              </w:rPr>
            </w:pPr>
            <w:hyperlink r:id="rId89">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4"/>
              </w:rPr>
            </w:pPr>
            <w:hyperlink r:id="rId89">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750,000,000 2.950% Senior Notes due 2031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5"/>
              </w:rPr>
            </w:pPr>
            <w:hyperlink r:id="rId89">
              <w:r>
                <w:rPr>
                  <w:rFonts w:ascii="Arial" w:cs="Arial" w:eastAsia="Arial" w:hAnsi="Arial"/>
                  <w:sz w:val="18"/>
                  <w:szCs w:val="18"/>
                  <w:color w:val="0000FF"/>
                  <w:w w:val="95"/>
                </w:rPr>
                <w:t>Exhibit C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3"/>
              </w:rPr>
            </w:pPr>
            <w:hyperlink r:id="rId90">
              <w:r>
                <w:rPr>
                  <w:rFonts w:ascii="Arial" w:cs="Arial" w:eastAsia="Arial" w:hAnsi="Arial"/>
                  <w:sz w:val="18"/>
                  <w:szCs w:val="18"/>
                  <w:color w:val="0000FF"/>
                  <w:w w:val="93"/>
                </w:rPr>
                <w:t>Second Supplemental Indenture, dated as of May 4, 2021, between</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tcBorders>
            <w:gridSpan w:val="20"/>
          </w:tcPr>
          <w:p>
            <w:pPr>
              <w:spacing w:after="0" w:line="156" w:lineRule="exact"/>
              <w:rPr>
                <w:rFonts w:ascii="Arial" w:cs="Arial" w:eastAsia="Arial" w:hAnsi="Arial"/>
                <w:sz w:val="18"/>
                <w:szCs w:val="18"/>
                <w:color w:val="0000FF"/>
                <w:w w:val="93"/>
              </w:rPr>
            </w:pPr>
            <w:hyperlink r:id="rId90">
              <w:r>
                <w:rPr>
                  <w:rFonts w:ascii="Arial" w:cs="Arial" w:eastAsia="Arial" w:hAnsi="Arial"/>
                  <w:sz w:val="18"/>
                  <w:szCs w:val="18"/>
                  <w:color w:val="0000FF"/>
                  <w:w w:val="93"/>
                </w:rPr>
                <w:t>Marvell Technology, Inc. and U.S. Bank National Association, as</w:t>
              </w:r>
            </w:hyperlink>
          </w:p>
        </w:tc>
        <w:tc>
          <w:tcPr>
            <w:tcW w:w="60" w:type="dxa"/>
            <w:vAlign w:val="bottom"/>
            <w:gridSpan w:val="3"/>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720" w:type="dxa"/>
            <w:vAlign w:val="bottom"/>
            <w:tcBorders>
              <w:top w:val="single" w:sz="8" w:color="0000FF"/>
            </w:tcBorders>
            <w:gridSpan w:val="16"/>
          </w:tcPr>
          <w:p>
            <w:pPr>
              <w:spacing w:after="0" w:line="156" w:lineRule="exact"/>
              <w:rPr>
                <w:rFonts w:ascii="Arial" w:cs="Arial" w:eastAsia="Arial" w:hAnsi="Arial"/>
                <w:sz w:val="18"/>
                <w:szCs w:val="18"/>
                <w:color w:val="0000FF"/>
              </w:rPr>
            </w:pPr>
            <w:hyperlink r:id="rId90">
              <w:r>
                <w:rPr>
                  <w:rFonts w:ascii="Arial" w:cs="Arial" w:eastAsia="Arial" w:hAnsi="Arial"/>
                  <w:sz w:val="18"/>
                  <w:szCs w:val="18"/>
                  <w:color w:val="0000FF"/>
                </w:rPr>
                <w:t>trustee</w:t>
              </w:r>
            </w:hyperlink>
          </w:p>
        </w:tc>
        <w:tc>
          <w:tcPr>
            <w:tcW w:w="20" w:type="dxa"/>
            <w:vAlign w:val="bottom"/>
          </w:tcPr>
          <w:p>
            <w:pPr>
              <w:spacing w:after="0"/>
              <w:rPr>
                <w:sz w:val="13"/>
                <w:szCs w:val="13"/>
                <w:color w:val="auto"/>
              </w:rPr>
            </w:pPr>
          </w:p>
        </w:tc>
        <w:tc>
          <w:tcPr>
            <w:tcW w:w="140" w:type="dxa"/>
            <w:vAlign w:val="bottom"/>
            <w:gridSpan w:val="6"/>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880" w:type="dxa"/>
            <w:vAlign w:val="bottom"/>
            <w:gridSpan w:val="14"/>
          </w:tcPr>
          <w:p>
            <w:pPr>
              <w:spacing w:after="0" w:line="20" w:lineRule="exact"/>
              <w:rPr>
                <w:sz w:val="1"/>
                <w:szCs w:val="1"/>
                <w:color w:val="auto"/>
              </w:rPr>
            </w:pPr>
          </w:p>
        </w:tc>
        <w:tc>
          <w:tcPr>
            <w:tcW w:w="140" w:type="dxa"/>
            <w:vAlign w:val="bottom"/>
            <w:gridSpan w:val="6"/>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4"/>
              </w:rPr>
            </w:pPr>
            <w:hyperlink r:id="rId90">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433,817,000 4.200% Senior Notes due 2023 (included as</w:t>
              </w:r>
            </w:hyperlink>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6"/>
              </w:rPr>
            </w:pPr>
            <w:hyperlink r:id="rId90">
              <w:r>
                <w:rPr>
                  <w:rFonts w:ascii="Arial" w:cs="Arial" w:eastAsia="Arial" w:hAnsi="Arial"/>
                  <w:sz w:val="18"/>
                  <w:szCs w:val="18"/>
                  <w:color w:val="0000FF"/>
                  <w:w w:val="96"/>
                </w:rPr>
                <w:t>Exhibit A to Exhibit 4.2)</w:t>
              </w:r>
            </w:hyperlink>
          </w:p>
        </w:tc>
        <w:tc>
          <w:tcPr>
            <w:tcW w:w="3020" w:type="dxa"/>
            <w:vAlign w:val="bottom"/>
            <w:tcBorders>
              <w:top w:val="single" w:sz="8" w:color="0000FF"/>
            </w:tcBorders>
            <w:gridSpan w:val="15"/>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4"/>
              </w:rPr>
            </w:pPr>
            <w:hyperlink r:id="rId90">
              <w:r>
                <w:rPr>
                  <w:rFonts w:ascii="Arial" w:cs="Arial" w:eastAsia="Arial" w:hAnsi="Arial"/>
                  <w:sz w:val="18"/>
                  <w:szCs w:val="18"/>
                  <w:color w:val="0000FF"/>
                  <w:w w:val="94"/>
                </w:rPr>
                <w:t xml:space="preserve">Form of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479,394,000 4.875% Senior Notes due 2028 (included as</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5"/>
              </w:rPr>
            </w:pPr>
            <w:hyperlink r:id="rId90">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6"/>
          </w:tcPr>
          <w:p>
            <w:pPr>
              <w:spacing w:after="0"/>
              <w:rPr>
                <w:sz w:val="13"/>
                <w:szCs w:val="13"/>
                <w:color w:val="auto"/>
              </w:rPr>
            </w:pPr>
          </w:p>
        </w:tc>
        <w:tc>
          <w:tcPr>
            <w:tcW w:w="40" w:type="dxa"/>
            <w:vAlign w:val="bottom"/>
            <w:gridSpan w:val="2"/>
          </w:tcPr>
          <w:p>
            <w:pPr>
              <w:spacing w:after="0"/>
              <w:rPr>
                <w:sz w:val="13"/>
                <w:szCs w:val="13"/>
                <w:color w:val="auto"/>
              </w:rPr>
            </w:pPr>
          </w:p>
        </w:tc>
        <w:tc>
          <w:tcPr>
            <w:tcW w:w="180" w:type="dxa"/>
            <w:vAlign w:val="bottom"/>
            <w:gridSpan w:val="5"/>
          </w:tcPr>
          <w:p>
            <w:pPr>
              <w:spacing w:after="0"/>
              <w:rPr>
                <w:sz w:val="13"/>
                <w:szCs w:val="13"/>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060" w:type="dxa"/>
            <w:vAlign w:val="bottom"/>
            <w:gridSpan w:val="28"/>
          </w:tcPr>
          <w:p>
            <w:pPr>
              <w:spacing w:after="0"/>
              <w:rPr>
                <w:rFonts w:ascii="Arial" w:cs="Arial" w:eastAsia="Arial" w:hAnsi="Arial"/>
                <w:sz w:val="18"/>
                <w:szCs w:val="18"/>
                <w:color w:val="0000FF"/>
                <w:w w:val="93"/>
              </w:rPr>
            </w:pPr>
            <w:hyperlink r:id="rId91">
              <w:r>
                <w:rPr>
                  <w:rFonts w:ascii="Arial" w:cs="Arial" w:eastAsia="Arial" w:hAnsi="Arial"/>
                  <w:sz w:val="18"/>
                  <w:szCs w:val="18"/>
                  <w:color w:val="0000FF"/>
                  <w:w w:val="93"/>
                </w:rPr>
                <w:t>Second Supplemental Indenture, dated as of April 15, 2021, by and</w:t>
              </w:r>
            </w:hyperlink>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80" w:type="dxa"/>
            <w:vAlign w:val="bottom"/>
            <w:tcBorders>
              <w:top w:val="single" w:sz="8" w:color="0000FF"/>
            </w:tcBorders>
            <w:gridSpan w:val="23"/>
          </w:tcPr>
          <w:p>
            <w:pPr>
              <w:spacing w:after="0" w:line="156" w:lineRule="exact"/>
              <w:rPr>
                <w:rFonts w:ascii="Arial" w:cs="Arial" w:eastAsia="Arial" w:hAnsi="Arial"/>
                <w:sz w:val="18"/>
                <w:szCs w:val="18"/>
                <w:color w:val="0000FF"/>
                <w:w w:val="95"/>
              </w:rPr>
            </w:pPr>
            <w:hyperlink r:id="rId91">
              <w:r>
                <w:rPr>
                  <w:rFonts w:ascii="Arial" w:cs="Arial" w:eastAsia="Arial" w:hAnsi="Arial"/>
                  <w:sz w:val="18"/>
                  <w:szCs w:val="18"/>
                  <w:color w:val="0000FF"/>
                  <w:w w:val="95"/>
                </w:rPr>
                <w:t>between Marvell Technology Group Ltd. and U.S. Bank National</w:t>
              </w:r>
            </w:hyperlink>
          </w:p>
        </w:tc>
        <w:tc>
          <w:tcPr>
            <w:tcW w:w="180" w:type="dxa"/>
            <w:vAlign w:val="bottom"/>
            <w:gridSpan w:val="5"/>
          </w:tcPr>
          <w:p>
            <w:pPr>
              <w:spacing w:after="0"/>
              <w:rPr>
                <w:sz w:val="13"/>
                <w:szCs w:val="13"/>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6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1"/>
              </w:rPr>
            </w:pPr>
            <w:hyperlink r:id="rId91">
              <w:r>
                <w:rPr>
                  <w:rFonts w:ascii="Arial" w:cs="Arial" w:eastAsia="Arial" w:hAnsi="Arial"/>
                  <w:sz w:val="18"/>
                  <w:szCs w:val="18"/>
                  <w:color w:val="0000FF"/>
                  <w:w w:val="91"/>
                </w:rPr>
                <w:t>Association</w:t>
              </w:r>
            </w:hyperlink>
          </w:p>
        </w:tc>
        <w:tc>
          <w:tcPr>
            <w:tcW w:w="3880" w:type="dxa"/>
            <w:vAlign w:val="bottom"/>
            <w:tcBorders>
              <w:top w:val="single" w:sz="8" w:color="0000FF"/>
            </w:tcBorders>
            <w:gridSpan w:val="14"/>
          </w:tcPr>
          <w:p>
            <w:pPr>
              <w:spacing w:after="0"/>
              <w:rPr>
                <w:sz w:val="13"/>
                <w:szCs w:val="13"/>
                <w:color w:val="auto"/>
              </w:rPr>
            </w:pPr>
          </w:p>
        </w:tc>
        <w:tc>
          <w:tcPr>
            <w:tcW w:w="320" w:type="dxa"/>
            <w:vAlign w:val="bottom"/>
            <w:gridSpan w:val="11"/>
          </w:tcPr>
          <w:p>
            <w:pPr>
              <w:spacing w:after="0"/>
              <w:rPr>
                <w:sz w:val="13"/>
                <w:szCs w:val="13"/>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88"/>
        </w:trPr>
        <w:tc>
          <w:tcPr>
            <w:tcW w:w="820" w:type="dxa"/>
            <w:vAlign w:val="bottom"/>
            <w:gridSpan w:val="2"/>
            <w:vMerge w:val="continue"/>
          </w:tcPr>
          <w:p>
            <w:pPr>
              <w:spacing w:after="0"/>
              <w:rPr>
                <w:sz w:val="16"/>
                <w:szCs w:val="16"/>
                <w:color w:val="auto"/>
              </w:rPr>
            </w:pPr>
          </w:p>
        </w:tc>
        <w:tc>
          <w:tcPr>
            <w:tcW w:w="1220" w:type="dxa"/>
            <w:vAlign w:val="bottom"/>
            <w:gridSpan w:val="2"/>
            <w:vMerge w:val="continue"/>
          </w:tcPr>
          <w:p>
            <w:pPr>
              <w:spacing w:after="0"/>
              <w:rPr>
                <w:sz w:val="16"/>
                <w:szCs w:val="16"/>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5"/>
        </w:trPr>
        <w:tc>
          <w:tcPr>
            <w:tcW w:w="70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8-K</w:t>
            </w:r>
          </w:p>
        </w:tc>
        <w:tc>
          <w:tcPr>
            <w:tcW w:w="120" w:type="dxa"/>
            <w:vAlign w:val="bottom"/>
          </w:tcPr>
          <w:p>
            <w:pPr>
              <w:spacing w:after="0"/>
              <w:rPr>
                <w:sz w:val="19"/>
                <w:szCs w:val="19"/>
                <w:color w:val="auto"/>
              </w:rPr>
            </w:pPr>
          </w:p>
        </w:tc>
        <w:tc>
          <w:tcPr>
            <w:tcW w:w="1100" w:type="dxa"/>
            <w:vAlign w:val="bottom"/>
            <w:tcBorders>
              <w:top w:val="single" w:sz="8" w:color="auto"/>
            </w:tcBorders>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9"/>
                <w:szCs w:val="19"/>
                <w:color w:val="auto"/>
              </w:rPr>
            </w:pPr>
          </w:p>
        </w:tc>
        <w:tc>
          <w:tcPr>
            <w:tcW w:w="1340" w:type="dxa"/>
            <w:vAlign w:val="bottom"/>
            <w:tcBorders>
              <w:top w:val="single" w:sz="8" w:color="auto"/>
            </w:tcBorders>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19"/>
                <w:szCs w:val="19"/>
                <w:color w:val="auto"/>
              </w:rPr>
            </w:pPr>
          </w:p>
        </w:tc>
        <w:tc>
          <w:tcPr>
            <w:tcW w:w="14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10/30/2020</w:t>
            </w:r>
          </w:p>
        </w:tc>
        <w:tc>
          <w:tcPr>
            <w:tcW w:w="0" w:type="dxa"/>
            <w:vAlign w:val="bottom"/>
          </w:tcPr>
          <w:p>
            <w:pPr>
              <w:spacing w:after="0"/>
              <w:rPr>
                <w:sz w:val="1"/>
                <w:szCs w:val="1"/>
                <w:color w:val="auto"/>
              </w:rPr>
            </w:pPr>
          </w:p>
        </w:tc>
      </w:tr>
      <w:tr>
        <w:trPr>
          <w:trHeight w:val="86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0"/>
              </w:rPr>
              <w:t>11/20/2017</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10-Q</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9/4/2019</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338"/>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688"/>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688"/>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688"/>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4.5</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688"/>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513"/>
        </w:trPr>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4/19/2021</w:t>
            </w:r>
          </w:p>
        </w:tc>
        <w:tc>
          <w:tcPr>
            <w:tcW w:w="0" w:type="dxa"/>
            <w:vAlign w:val="bottom"/>
          </w:tcPr>
          <w:p>
            <w:pPr>
              <w:spacing w:after="0"/>
              <w:rPr>
                <w:sz w:val="1"/>
                <w:szCs w:val="1"/>
                <w:color w:val="auto"/>
              </w:rPr>
            </w:pPr>
          </w:p>
        </w:tc>
      </w:tr>
    </w:tbl>
    <w:p>
      <w:pPr>
        <w:sectPr>
          <w:pgSz w:w="11900" w:h="16838" w:orient="portrait"/>
          <w:cols w:equalWidth="0" w:num="2">
            <w:col w:w="6200" w:space="120"/>
            <w:col w:w="4920"/>
          </w:cols>
          <w:pgMar w:left="320" w:top="130" w:right="339" w:bottom="1440" w:gutter="0" w:footer="0" w:header="0"/>
        </w:sectPr>
      </w:pPr>
    </w:p>
    <w:bookmarkStart w:id="65" w:name="page66"/>
    <w:bookmarkEnd w:id="65"/>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10.1</w:t>
            </w:r>
          </w:p>
        </w:tc>
        <w:tc>
          <w:tcPr>
            <w:tcW w:w="5140" w:type="dxa"/>
            <w:vAlign w:val="bottom"/>
            <w:gridSpan w:val="43"/>
          </w:tcPr>
          <w:p>
            <w:pPr>
              <w:spacing w:after="0"/>
              <w:rPr>
                <w:rFonts w:ascii="Arial" w:cs="Arial" w:eastAsia="Arial" w:hAnsi="Arial"/>
                <w:sz w:val="18"/>
                <w:szCs w:val="18"/>
                <w:color w:val="0000FF"/>
              </w:rPr>
            </w:pPr>
            <w:hyperlink r:id="rId93">
              <w:r>
                <w:rPr>
                  <w:rFonts w:ascii="Arial" w:cs="Arial" w:eastAsia="Arial" w:hAnsi="Arial"/>
                  <w:sz w:val="18"/>
                  <w:szCs w:val="18"/>
                  <w:color w:val="0000FF"/>
                </w:rPr>
                <w:t>Form of Indemnification Agreement</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10.2**</w:t>
            </w:r>
          </w:p>
        </w:tc>
        <w:tc>
          <w:tcPr>
            <w:tcW w:w="5140" w:type="dxa"/>
            <w:vAlign w:val="bottom"/>
            <w:gridSpan w:val="43"/>
          </w:tcPr>
          <w:p>
            <w:pPr>
              <w:spacing w:after="0"/>
              <w:rPr>
                <w:rFonts w:ascii="Arial" w:cs="Arial" w:eastAsia="Arial" w:hAnsi="Arial"/>
                <w:sz w:val="18"/>
                <w:szCs w:val="18"/>
                <w:color w:val="0000FF"/>
                <w:w w:val="98"/>
              </w:rPr>
            </w:pPr>
            <w:hyperlink r:id="rId94">
              <w:r>
                <w:rPr>
                  <w:rFonts w:ascii="Arial" w:cs="Arial" w:eastAsia="Arial" w:hAnsi="Arial"/>
                  <w:sz w:val="18"/>
                  <w:szCs w:val="18"/>
                  <w:color w:val="0000FF"/>
                  <w:w w:val="98"/>
                </w:rPr>
                <w:t>Credit Agreement, dated as of December 7, 2020, among Marvell</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24"/>
          </w:tcPr>
          <w:p>
            <w:pPr>
              <w:spacing w:after="0" w:line="156" w:lineRule="exact"/>
              <w:rPr>
                <w:rFonts w:ascii="Arial" w:cs="Arial" w:eastAsia="Arial" w:hAnsi="Arial"/>
                <w:sz w:val="18"/>
                <w:szCs w:val="18"/>
                <w:color w:val="0000FF"/>
                <w:w w:val="92"/>
              </w:rPr>
            </w:pPr>
            <w:hyperlink r:id="rId94">
              <w:r>
                <w:rPr>
                  <w:rFonts w:ascii="Arial" w:cs="Arial" w:eastAsia="Arial" w:hAnsi="Arial"/>
                  <w:sz w:val="18"/>
                  <w:szCs w:val="18"/>
                  <w:color w:val="0000FF"/>
                  <w:w w:val="92"/>
                </w:rPr>
                <w:t>Technology Group Ltd., Maui HoldCo, Inc., the Guarantors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140" w:type="dxa"/>
            <w:vAlign w:val="bottom"/>
            <w:gridSpan w:val="43"/>
          </w:tcPr>
          <w:p>
            <w:pPr>
              <w:spacing w:after="0" w:line="156" w:lineRule="exact"/>
              <w:rPr>
                <w:rFonts w:ascii="Arial" w:cs="Arial" w:eastAsia="Arial" w:hAnsi="Arial"/>
                <w:sz w:val="18"/>
                <w:szCs w:val="18"/>
                <w:color w:val="0000FF"/>
                <w:w w:val="94"/>
              </w:rPr>
            </w:pPr>
            <w:hyperlink r:id="rId94">
              <w:r>
                <w:rPr>
                  <w:rFonts w:ascii="Arial" w:cs="Arial" w:eastAsia="Arial" w:hAnsi="Arial"/>
                  <w:sz w:val="18"/>
                  <w:szCs w:val="18"/>
                  <w:color w:val="0000FF"/>
                  <w:w w:val="94"/>
                </w:rPr>
                <w:t>thereto, the Lenders party thereto and JPMorgan Chase Bank, N.A.,</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06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3"/>
              </w:rPr>
            </w:pPr>
            <w:hyperlink r:id="rId94">
              <w:r>
                <w:rPr>
                  <w:rFonts w:ascii="Arial" w:cs="Arial" w:eastAsia="Arial" w:hAnsi="Arial"/>
                  <w:sz w:val="18"/>
                  <w:szCs w:val="18"/>
                  <w:color w:val="0000FF"/>
                  <w:w w:val="93"/>
                </w:rPr>
                <w:t>as the Administrative Agent</w:t>
              </w:r>
            </w:hyperlink>
          </w:p>
        </w:tc>
        <w:tc>
          <w:tcPr>
            <w:tcW w:w="2840" w:type="dxa"/>
            <w:vAlign w:val="bottom"/>
            <w:tcBorders>
              <w:top w:val="single" w:sz="8" w:color="0000FF"/>
            </w:tcBorders>
            <w:gridSpan w:val="2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10.3**</w:t>
            </w:r>
          </w:p>
        </w:tc>
        <w:tc>
          <w:tcPr>
            <w:tcW w:w="5140" w:type="dxa"/>
            <w:vAlign w:val="bottom"/>
            <w:gridSpan w:val="43"/>
          </w:tcPr>
          <w:p>
            <w:pPr>
              <w:spacing w:after="0"/>
              <w:rPr>
                <w:rFonts w:ascii="Arial" w:cs="Arial" w:eastAsia="Arial" w:hAnsi="Arial"/>
                <w:sz w:val="18"/>
                <w:szCs w:val="18"/>
                <w:color w:val="0000FF"/>
                <w:w w:val="94"/>
              </w:rPr>
            </w:pPr>
            <w:hyperlink r:id="rId95">
              <w:r>
                <w:rPr>
                  <w:rFonts w:ascii="Arial" w:cs="Arial" w:eastAsia="Arial" w:hAnsi="Arial"/>
                  <w:sz w:val="18"/>
                  <w:szCs w:val="18"/>
                  <w:color w:val="0000FF"/>
                  <w:w w:val="94"/>
                </w:rPr>
                <w:t>Revolving Credit Agreement, dated as of December 7, 2020, among</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10.2</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60" w:type="dxa"/>
            <w:vAlign w:val="bottom"/>
            <w:tcBorders>
              <w:top w:val="single" w:sz="8" w:color="0000FF"/>
              <w:bottom w:val="single" w:sz="8" w:color="0000FF"/>
            </w:tcBorders>
            <w:gridSpan w:val="34"/>
          </w:tcPr>
          <w:p>
            <w:pPr>
              <w:spacing w:after="0" w:line="156" w:lineRule="exact"/>
              <w:rPr>
                <w:rFonts w:ascii="Arial" w:cs="Arial" w:eastAsia="Arial" w:hAnsi="Arial"/>
                <w:sz w:val="18"/>
                <w:szCs w:val="18"/>
                <w:color w:val="0000FF"/>
                <w:w w:val="93"/>
              </w:rPr>
            </w:pPr>
            <w:hyperlink r:id="rId95">
              <w:r>
                <w:rPr>
                  <w:rFonts w:ascii="Arial" w:cs="Arial" w:eastAsia="Arial" w:hAnsi="Arial"/>
                  <w:sz w:val="18"/>
                  <w:szCs w:val="18"/>
                  <w:color w:val="0000FF"/>
                  <w:w w:val="93"/>
                </w:rPr>
                <w:t>Marvell Technology Group Ltd., Maui HoldCo, Inc., the Guarantors</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980" w:type="dxa"/>
            <w:vAlign w:val="bottom"/>
            <w:gridSpan w:val="35"/>
          </w:tcPr>
          <w:p>
            <w:pPr>
              <w:spacing w:after="0" w:line="156" w:lineRule="exact"/>
              <w:rPr>
                <w:rFonts w:ascii="Arial" w:cs="Arial" w:eastAsia="Arial" w:hAnsi="Arial"/>
                <w:sz w:val="18"/>
                <w:szCs w:val="18"/>
                <w:color w:val="0000FF"/>
                <w:w w:val="92"/>
              </w:rPr>
            </w:pPr>
            <w:hyperlink r:id="rId95">
              <w:r>
                <w:rPr>
                  <w:rFonts w:ascii="Arial" w:cs="Arial" w:eastAsia="Arial" w:hAnsi="Arial"/>
                  <w:sz w:val="18"/>
                  <w:szCs w:val="18"/>
                  <w:color w:val="0000FF"/>
                  <w:w w:val="92"/>
                </w:rPr>
                <w:t>party thereto, the Lenders party thereto and Bank of America, N.A.,</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2"/>
              </w:rPr>
            </w:pPr>
            <w:hyperlink r:id="rId95">
              <w:r>
                <w:rPr>
                  <w:rFonts w:ascii="Arial" w:cs="Arial" w:eastAsia="Arial" w:hAnsi="Arial"/>
                  <w:sz w:val="18"/>
                  <w:szCs w:val="18"/>
                  <w:color w:val="0000FF"/>
                  <w:w w:val="92"/>
                </w:rPr>
                <w:t>as the Administrative Agent</w:t>
              </w:r>
            </w:hyperlink>
          </w:p>
        </w:tc>
        <w:tc>
          <w:tcPr>
            <w:tcW w:w="2880" w:type="dxa"/>
            <w:vAlign w:val="bottom"/>
            <w:tcBorders>
              <w:top w:val="single" w:sz="8" w:color="0000FF"/>
            </w:tcBorders>
            <w:gridSpan w:val="25"/>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10.4**</w:t>
            </w:r>
          </w:p>
        </w:tc>
        <w:tc>
          <w:tcPr>
            <w:tcW w:w="5140" w:type="dxa"/>
            <w:vAlign w:val="bottom"/>
            <w:gridSpan w:val="43"/>
          </w:tcPr>
          <w:p>
            <w:pPr>
              <w:spacing w:after="0"/>
              <w:rPr>
                <w:rFonts w:ascii="Arial" w:cs="Arial" w:eastAsia="Arial" w:hAnsi="Arial"/>
                <w:sz w:val="18"/>
                <w:szCs w:val="18"/>
                <w:color w:val="0000FF"/>
                <w:w w:val="98"/>
              </w:rPr>
            </w:pPr>
            <w:hyperlink r:id="rId96">
              <w:r>
                <w:rPr>
                  <w:rFonts w:ascii="Arial" w:cs="Arial" w:eastAsia="Arial" w:hAnsi="Arial"/>
                  <w:sz w:val="18"/>
                  <w:szCs w:val="18"/>
                  <w:color w:val="0000FF"/>
                  <w:w w:val="98"/>
                </w:rPr>
                <w:t>Amendment No. 1 to Credit Agreement, dated as of December 7,</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10.3</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21"/>
          </w:tcPr>
          <w:p>
            <w:pPr>
              <w:spacing w:after="0" w:line="156" w:lineRule="exact"/>
              <w:rPr>
                <w:rFonts w:ascii="Arial" w:cs="Arial" w:eastAsia="Arial" w:hAnsi="Arial"/>
                <w:sz w:val="18"/>
                <w:szCs w:val="18"/>
                <w:color w:val="0000FF"/>
                <w:w w:val="92"/>
              </w:rPr>
            </w:pPr>
            <w:hyperlink r:id="rId96">
              <w:r>
                <w:rPr>
                  <w:rFonts w:ascii="Arial" w:cs="Arial" w:eastAsia="Arial" w:hAnsi="Arial"/>
                  <w:sz w:val="18"/>
                  <w:szCs w:val="18"/>
                  <w:color w:val="0000FF"/>
                  <w:w w:val="92"/>
                </w:rPr>
                <w:t>2020, among Marvell Technology Group Ltd., the Lenders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20"/>
            <w:vMerge w:val="restart"/>
          </w:tcPr>
          <w:p>
            <w:pPr>
              <w:spacing w:after="0"/>
              <w:rPr>
                <w:rFonts w:ascii="Arial" w:cs="Arial" w:eastAsia="Arial" w:hAnsi="Arial"/>
                <w:sz w:val="18"/>
                <w:szCs w:val="18"/>
                <w:color w:val="0000FF"/>
              </w:rPr>
            </w:pPr>
            <w:hyperlink r:id="rId96">
              <w:r>
                <w:rPr>
                  <w:rFonts w:ascii="Arial" w:cs="Arial" w:eastAsia="Arial" w:hAnsi="Arial"/>
                  <w:sz w:val="18"/>
                  <w:szCs w:val="18"/>
                  <w:color w:val="0000FF"/>
                </w:rPr>
                <w:t>and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640" w:type="dxa"/>
            <w:vAlign w:val="bottom"/>
            <w:tcBorders>
              <w:top w:val="single" w:sz="8" w:color="0000FF"/>
            </w:tcBorders>
            <w:gridSpan w:val="18"/>
          </w:tcPr>
          <w:p>
            <w:pPr>
              <w:spacing w:after="0" w:line="156" w:lineRule="exact"/>
              <w:rPr>
                <w:rFonts w:ascii="Arial" w:cs="Arial" w:eastAsia="Arial" w:hAnsi="Arial"/>
                <w:sz w:val="18"/>
                <w:szCs w:val="18"/>
                <w:color w:val="0000FF"/>
                <w:w w:val="91"/>
              </w:rPr>
            </w:pPr>
            <w:hyperlink r:id="rId96">
              <w:r>
                <w:rPr>
                  <w:rFonts w:ascii="Arial" w:cs="Arial" w:eastAsia="Arial" w:hAnsi="Arial"/>
                  <w:sz w:val="18"/>
                  <w:szCs w:val="18"/>
                  <w:color w:val="0000FF"/>
                  <w:w w:val="91"/>
                </w:rPr>
                <w:t>thereto, Bank of America, N.A., as the Revolving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gridSpan w:val="20"/>
            <w:vMerge w:val="continue"/>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40" w:type="dxa"/>
            <w:vAlign w:val="bottom"/>
            <w:tcBorders>
              <w:top w:val="single" w:sz="8" w:color="0000FF"/>
              <w:bottom w:val="single" w:sz="8" w:color="0000FF"/>
            </w:tcBorders>
            <w:gridSpan w:val="38"/>
          </w:tcPr>
          <w:p>
            <w:pPr>
              <w:spacing w:after="0" w:line="156" w:lineRule="exact"/>
              <w:rPr>
                <w:rFonts w:ascii="Arial" w:cs="Arial" w:eastAsia="Arial" w:hAnsi="Arial"/>
                <w:sz w:val="18"/>
                <w:szCs w:val="18"/>
                <w:color w:val="0000FF"/>
                <w:w w:val="91"/>
              </w:rPr>
            </w:pPr>
            <w:hyperlink r:id="rId96">
              <w:r>
                <w:rPr>
                  <w:rFonts w:ascii="Arial" w:cs="Arial" w:eastAsia="Arial" w:hAnsi="Arial"/>
                  <w:sz w:val="18"/>
                  <w:szCs w:val="18"/>
                  <w:color w:val="0000FF"/>
                  <w:w w:val="91"/>
                </w:rPr>
                <w:t>Goldman Sachs Bank USA, as the General Administrative Agent and</w:t>
              </w:r>
            </w:hyperlink>
          </w:p>
        </w:tc>
        <w:tc>
          <w:tcPr>
            <w:tcW w:w="20" w:type="dxa"/>
            <w:vAlign w:val="bottom"/>
            <w:tcBorders>
              <w:bottom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60" w:type="dxa"/>
            <w:vAlign w:val="bottom"/>
            <w:gridSpan w:val="39"/>
          </w:tcPr>
          <w:p>
            <w:pPr>
              <w:spacing w:after="0" w:line="156" w:lineRule="exact"/>
              <w:rPr>
                <w:rFonts w:ascii="Arial" w:cs="Arial" w:eastAsia="Arial" w:hAnsi="Arial"/>
                <w:sz w:val="18"/>
                <w:szCs w:val="18"/>
                <w:color w:val="0000FF"/>
              </w:rPr>
            </w:pPr>
            <w:hyperlink r:id="rId96">
              <w:r>
                <w:rPr>
                  <w:rFonts w:ascii="Arial" w:cs="Arial" w:eastAsia="Arial" w:hAnsi="Arial"/>
                  <w:sz w:val="18"/>
                  <w:szCs w:val="18"/>
                  <w:color w:val="0000FF"/>
                </w:rPr>
                <w:t>the Term Facility Agent</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10.5</w:t>
            </w:r>
          </w:p>
        </w:tc>
        <w:tc>
          <w:tcPr>
            <w:tcW w:w="5140" w:type="dxa"/>
            <w:vAlign w:val="bottom"/>
            <w:gridSpan w:val="43"/>
          </w:tcPr>
          <w:p>
            <w:pPr>
              <w:spacing w:after="0"/>
              <w:rPr>
                <w:rFonts w:ascii="Arial" w:cs="Arial" w:eastAsia="Arial" w:hAnsi="Arial"/>
                <w:sz w:val="18"/>
                <w:szCs w:val="18"/>
                <w:color w:val="0000FF"/>
              </w:rPr>
            </w:pPr>
            <w:hyperlink r:id="rId97">
              <w:r>
                <w:rPr>
                  <w:rFonts w:ascii="Arial" w:cs="Arial" w:eastAsia="Arial" w:hAnsi="Arial"/>
                  <w:sz w:val="18"/>
                  <w:szCs w:val="18"/>
                  <w:color w:val="0000FF"/>
                </w:rPr>
                <w:t>Form of Exchange Agreement</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4/21/2021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760" w:type="dxa"/>
            <w:vAlign w:val="bottom"/>
            <w:gridSpan w:val="4"/>
            <w:shd w:val="clear" w:color="auto" w:fill="0000FF"/>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10.6</w:t>
            </w:r>
          </w:p>
        </w:tc>
        <w:tc>
          <w:tcPr>
            <w:tcW w:w="5140" w:type="dxa"/>
            <w:vAlign w:val="bottom"/>
            <w:gridSpan w:val="43"/>
          </w:tcPr>
          <w:p>
            <w:pPr>
              <w:spacing w:after="0"/>
              <w:rPr>
                <w:rFonts w:ascii="Arial" w:cs="Arial" w:eastAsia="Arial" w:hAnsi="Arial"/>
                <w:sz w:val="18"/>
                <w:szCs w:val="18"/>
                <w:color w:val="0000FF"/>
                <w:w w:val="97"/>
              </w:rPr>
            </w:pPr>
            <w:hyperlink r:id="rId98">
              <w:r>
                <w:rPr>
                  <w:rFonts w:ascii="Arial" w:cs="Arial" w:eastAsia="Arial" w:hAnsi="Arial"/>
                  <w:sz w:val="18"/>
                  <w:szCs w:val="18"/>
                  <w:color w:val="0000FF"/>
                  <w:w w:val="97"/>
                </w:rPr>
                <w:t>Registration Rights Agreement, dated as of April 12, 2021, by and</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4/12/2021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800" w:type="dxa"/>
            <w:vAlign w:val="bottom"/>
            <w:tcBorders>
              <w:top w:val="single" w:sz="8" w:color="0000FF"/>
            </w:tcBorders>
            <w:gridSpan w:val="27"/>
          </w:tcPr>
          <w:p>
            <w:pPr>
              <w:spacing w:after="0" w:line="156" w:lineRule="exact"/>
              <w:rPr>
                <w:rFonts w:ascii="Arial" w:cs="Arial" w:eastAsia="Arial" w:hAnsi="Arial"/>
                <w:sz w:val="18"/>
                <w:szCs w:val="18"/>
                <w:color w:val="0000FF"/>
                <w:w w:val="93"/>
              </w:rPr>
            </w:pPr>
            <w:hyperlink r:id="rId98">
              <w:r>
                <w:rPr>
                  <w:rFonts w:ascii="Arial" w:cs="Arial" w:eastAsia="Arial" w:hAnsi="Arial"/>
                  <w:sz w:val="18"/>
                  <w:szCs w:val="18"/>
                  <w:color w:val="0000FF"/>
                  <w:w w:val="93"/>
                </w:rPr>
                <w:t>among Marvell Technology, Inc., Marvell Technology Group Ltd.</w:t>
              </w:r>
            </w:hyperlink>
          </w:p>
        </w:tc>
        <w:tc>
          <w:tcPr>
            <w:tcW w:w="20" w:type="dxa"/>
            <w:vAlign w:val="bottom"/>
          </w:tcPr>
          <w:p>
            <w:pPr>
              <w:spacing w:after="0"/>
              <w:rPr>
                <w:sz w:val="13"/>
                <w:szCs w:val="13"/>
                <w:color w:val="auto"/>
              </w:rPr>
            </w:pPr>
          </w:p>
        </w:tc>
        <w:tc>
          <w:tcPr>
            <w:tcW w:w="320" w:type="dxa"/>
            <w:vAlign w:val="bottom"/>
            <w:gridSpan w:val="15"/>
          </w:tcPr>
          <w:p>
            <w:pPr>
              <w:spacing w:after="0" w:line="156" w:lineRule="exact"/>
              <w:rPr>
                <w:rFonts w:ascii="Arial" w:cs="Arial" w:eastAsia="Arial" w:hAnsi="Arial"/>
                <w:sz w:val="18"/>
                <w:szCs w:val="18"/>
                <w:color w:val="0000FF"/>
                <w:w w:val="99"/>
              </w:rPr>
            </w:pPr>
            <w:hyperlink r:id="rId98">
              <w:r>
                <w:rPr>
                  <w:rFonts w:ascii="Arial" w:cs="Arial" w:eastAsia="Arial" w:hAnsi="Arial"/>
                  <w:sz w:val="18"/>
                  <w:szCs w:val="18"/>
                  <w:color w:val="0000FF"/>
                  <w:w w:val="99"/>
                </w:rPr>
                <w:t>and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120" w:type="dxa"/>
            <w:vAlign w:val="bottom"/>
            <w:tcBorders>
              <w:top w:val="single" w:sz="8" w:color="0000FF"/>
            </w:tcBorders>
            <w:gridSpan w:val="42"/>
          </w:tcPr>
          <w:p>
            <w:pPr>
              <w:spacing w:after="0" w:line="156" w:lineRule="exact"/>
              <w:rPr>
                <w:rFonts w:ascii="Arial" w:cs="Arial" w:eastAsia="Arial" w:hAnsi="Arial"/>
                <w:sz w:val="18"/>
                <w:szCs w:val="18"/>
                <w:color w:val="0000FF"/>
                <w:w w:val="95"/>
              </w:rPr>
            </w:pPr>
            <w:hyperlink r:id="rId98">
              <w:r>
                <w:rPr>
                  <w:rFonts w:ascii="Arial" w:cs="Arial" w:eastAsia="Arial" w:hAnsi="Arial"/>
                  <w:sz w:val="18"/>
                  <w:szCs w:val="18"/>
                  <w:color w:val="0000FF"/>
                  <w:w w:val="95"/>
                </w:rPr>
                <w:t>J.P. Morgan Securities, LLC, BofA Securities, Inc. and Wells Fargo</w:t>
              </w:r>
            </w:hyperlink>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860" w:type="dxa"/>
            <w:vAlign w:val="bottom"/>
            <w:tcBorders>
              <w:top w:val="single" w:sz="8" w:color="0000FF"/>
            </w:tcBorders>
            <w:gridSpan w:val="29"/>
          </w:tcPr>
          <w:p>
            <w:pPr>
              <w:spacing w:after="0" w:line="156" w:lineRule="exact"/>
              <w:rPr>
                <w:rFonts w:ascii="Arial" w:cs="Arial" w:eastAsia="Arial" w:hAnsi="Arial"/>
                <w:sz w:val="18"/>
                <w:szCs w:val="18"/>
                <w:color w:val="0000FF"/>
                <w:w w:val="93"/>
              </w:rPr>
            </w:pPr>
            <w:hyperlink r:id="rId98">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40" w:type="dxa"/>
            <w:vAlign w:val="bottom"/>
            <w:tcBorders>
              <w:top w:val="single" w:sz="8" w:color="0000FF"/>
            </w:tcBorders>
            <w:gridSpan w:val="23"/>
          </w:tcPr>
          <w:p>
            <w:pPr>
              <w:spacing w:after="0" w:line="156" w:lineRule="exact"/>
              <w:rPr>
                <w:rFonts w:ascii="Arial" w:cs="Arial" w:eastAsia="Arial" w:hAnsi="Arial"/>
                <w:sz w:val="18"/>
                <w:szCs w:val="18"/>
                <w:color w:val="0000FF"/>
              </w:rPr>
            </w:pPr>
            <w:hyperlink r:id="rId98">
              <w:r>
                <w:rPr>
                  <w:rFonts w:ascii="Arial" w:cs="Arial" w:eastAsia="Arial" w:hAnsi="Arial"/>
                  <w:sz w:val="18"/>
                  <w:szCs w:val="18"/>
                  <w:color w:val="0000FF"/>
                </w:rPr>
                <w:t>Notes</w:t>
              </w:r>
            </w:hyperlink>
          </w:p>
        </w:tc>
        <w:tc>
          <w:tcPr>
            <w:tcW w:w="2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80" w:type="dxa"/>
            <w:vAlign w:val="bottom"/>
            <w:gridSpan w:val="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w:t>
            </w:r>
          </w:p>
        </w:tc>
        <w:tc>
          <w:tcPr>
            <w:tcW w:w="4940" w:type="dxa"/>
            <w:vAlign w:val="bottom"/>
            <w:tcBorders>
              <w:bottom w:val="single" w:sz="8" w:color="0000FF"/>
            </w:tcBorders>
            <w:gridSpan w:val="33"/>
          </w:tcPr>
          <w:p>
            <w:pPr>
              <w:spacing w:after="0"/>
              <w:rPr>
                <w:rFonts w:ascii="Arial" w:cs="Arial" w:eastAsia="Arial" w:hAnsi="Arial"/>
                <w:sz w:val="18"/>
                <w:szCs w:val="18"/>
                <w:color w:val="0000FF"/>
                <w:w w:val="91"/>
              </w:rPr>
            </w:pPr>
            <w:hyperlink r:id="rId99">
              <w:r>
                <w:rPr>
                  <w:rFonts w:ascii="Arial" w:cs="Arial" w:eastAsia="Arial" w:hAnsi="Arial"/>
                  <w:sz w:val="18"/>
                  <w:szCs w:val="18"/>
                  <w:color w:val="0000FF"/>
                  <w:w w:val="91"/>
                </w:rPr>
                <w:t>Marvell Technology Group Ltd. Amended and Restated 1995 Stock</w:t>
              </w:r>
            </w:hyperlink>
          </w:p>
        </w:tc>
        <w:tc>
          <w:tcPr>
            <w:tcW w:w="200" w:type="dxa"/>
            <w:vAlign w:val="bottom"/>
            <w:gridSpan w:val="10"/>
          </w:tcPr>
          <w:p>
            <w:pPr>
              <w:spacing w:after="0"/>
              <w:rPr>
                <w:sz w:val="24"/>
                <w:szCs w:val="24"/>
                <w:color w:val="auto"/>
              </w:rPr>
            </w:pPr>
          </w:p>
        </w:tc>
        <w:tc>
          <w:tcPr>
            <w:tcW w:w="680" w:type="dxa"/>
            <w:vAlign w:val="bottom"/>
          </w:tcPr>
          <w:p>
            <w:pPr>
              <w:ind w:left="8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240" w:type="dxa"/>
            <w:vAlign w:val="bottom"/>
          </w:tcPr>
          <w:p>
            <w:pPr>
              <w:ind w:left="180"/>
              <w:spacing w:after="0"/>
              <w:rPr>
                <w:sz w:val="20"/>
                <w:szCs w:val="20"/>
                <w:color w:val="auto"/>
              </w:rPr>
            </w:pPr>
            <w:r>
              <w:rPr>
                <w:rFonts w:ascii="Arial" w:cs="Arial" w:eastAsia="Arial" w:hAnsi="Arial"/>
                <w:sz w:val="18"/>
                <w:szCs w:val="18"/>
                <w:color w:val="auto"/>
              </w:rPr>
              <w:t>4.1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43"/>
          </w:tcPr>
          <w:p>
            <w:pPr>
              <w:spacing w:after="0" w:line="156" w:lineRule="exact"/>
              <w:rPr>
                <w:rFonts w:ascii="Arial" w:cs="Arial" w:eastAsia="Arial" w:hAnsi="Arial"/>
                <w:sz w:val="18"/>
                <w:szCs w:val="18"/>
                <w:color w:val="0000FF"/>
                <w:w w:val="93"/>
              </w:rPr>
            </w:pPr>
            <w:hyperlink r:id="rId99">
              <w:r>
                <w:rPr>
                  <w:rFonts w:ascii="Arial" w:cs="Arial" w:eastAsia="Arial" w:hAnsi="Arial"/>
                  <w:sz w:val="18"/>
                  <w:szCs w:val="18"/>
                  <w:color w:val="0000FF"/>
                  <w:w w:val="93"/>
                </w:rPr>
                <w:t>Option Plan (now named the Marvell Technology, Inc. Amended and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20" w:type="dxa"/>
            <w:vAlign w:val="bottom"/>
            <w:tcBorders>
              <w:top w:val="single" w:sz="8" w:color="0000FF"/>
            </w:tcBorders>
            <w:gridSpan w:val="37"/>
          </w:tcPr>
          <w:p>
            <w:pPr>
              <w:spacing w:after="0" w:line="156" w:lineRule="exact"/>
              <w:rPr>
                <w:rFonts w:ascii="Arial" w:cs="Arial" w:eastAsia="Arial" w:hAnsi="Arial"/>
                <w:sz w:val="18"/>
                <w:szCs w:val="18"/>
                <w:color w:val="0000FF"/>
                <w:w w:val="94"/>
              </w:rPr>
            </w:pPr>
            <w:hyperlink r:id="rId99">
              <w:r>
                <w:rPr>
                  <w:rFonts w:ascii="Arial" w:cs="Arial" w:eastAsia="Arial" w:hAnsi="Arial"/>
                  <w:sz w:val="18"/>
                  <w:szCs w:val="18"/>
                  <w:color w:val="0000FF"/>
                  <w:w w:val="94"/>
                </w:rPr>
                <w:t>Restated 1995 Stock Option Plan) (as amended and restated as of</w:t>
              </w:r>
            </w:hyperlink>
          </w:p>
        </w:tc>
        <w:tc>
          <w:tcPr>
            <w:tcW w:w="6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5"/>
              </w:rPr>
            </w:pPr>
            <w:hyperlink r:id="rId99">
              <w:r>
                <w:rPr>
                  <w:rFonts w:ascii="Arial" w:cs="Arial" w:eastAsia="Arial" w:hAnsi="Arial"/>
                  <w:sz w:val="18"/>
                  <w:szCs w:val="18"/>
                  <w:color w:val="0000FF"/>
                  <w:w w:val="95"/>
                </w:rPr>
                <w:t>April 2, 2021)</w:t>
              </w:r>
            </w:hyperlink>
          </w:p>
        </w:tc>
        <w:tc>
          <w:tcPr>
            <w:tcW w:w="3680" w:type="dxa"/>
            <w:vAlign w:val="bottom"/>
            <w:tcBorders>
              <w:top w:val="single" w:sz="8" w:color="0000FF"/>
            </w:tcBorders>
            <w:gridSpan w:val="18"/>
          </w:tcPr>
          <w:p>
            <w:pPr>
              <w:spacing w:after="0"/>
              <w:rPr>
                <w:sz w:val="13"/>
                <w:szCs w:val="13"/>
                <w:color w:val="auto"/>
              </w:rPr>
            </w:pPr>
          </w:p>
        </w:tc>
        <w:tc>
          <w:tcPr>
            <w:tcW w:w="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60" w:type="dxa"/>
            <w:vAlign w:val="bottom"/>
            <w:gridSpan w:val="3"/>
          </w:tcPr>
          <w:p>
            <w:pPr>
              <w:spacing w:after="0"/>
              <w:rPr>
                <w:sz w:val="13"/>
                <w:szCs w:val="13"/>
                <w:color w:val="auto"/>
              </w:rPr>
            </w:pPr>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5140" w:type="dxa"/>
            <w:vAlign w:val="bottom"/>
            <w:gridSpan w:val="43"/>
          </w:tcPr>
          <w:p>
            <w:pPr>
              <w:spacing w:after="0"/>
              <w:rPr>
                <w:rFonts w:ascii="Arial" w:cs="Arial" w:eastAsia="Arial" w:hAnsi="Arial"/>
                <w:sz w:val="18"/>
                <w:szCs w:val="18"/>
                <w:color w:val="0000FF"/>
              </w:rPr>
            </w:pPr>
            <w:hyperlink r:id="rId100">
              <w:r>
                <w:rPr>
                  <w:rFonts w:ascii="Arial" w:cs="Arial" w:eastAsia="Arial" w:hAnsi="Arial"/>
                  <w:sz w:val="18"/>
                  <w:szCs w:val="18"/>
                  <w:color w:val="0000FF"/>
                </w:rPr>
                <w:t>Form of Stock Option Agreement and Notice of Grant of Stock</w:t>
              </w:r>
            </w:hyperlink>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vMerge w:val="restart"/>
          </w:tcPr>
          <w:p>
            <w:pPr>
              <w:spacing w:after="0"/>
              <w:rPr>
                <w:sz w:val="20"/>
                <w:szCs w:val="20"/>
                <w:color w:val="auto"/>
              </w:rPr>
            </w:pPr>
            <w:r>
              <w:rPr>
                <w:rFonts w:ascii="Arial" w:cs="Arial" w:eastAsia="Arial" w:hAnsi="Arial"/>
                <w:sz w:val="18"/>
                <w:szCs w:val="18"/>
                <w:color w:val="auto"/>
              </w:rPr>
              <w:t>10.7.1#</w:t>
            </w:r>
          </w:p>
        </w:tc>
        <w:tc>
          <w:tcPr>
            <w:tcW w:w="4560" w:type="dxa"/>
            <w:vAlign w:val="bottom"/>
            <w:tcBorders>
              <w:top w:val="single" w:sz="8" w:color="0000FF"/>
            </w:tcBorders>
            <w:gridSpan w:val="16"/>
          </w:tcPr>
          <w:p>
            <w:pPr>
              <w:spacing w:after="0" w:line="156" w:lineRule="exact"/>
              <w:rPr>
                <w:rFonts w:ascii="Arial" w:cs="Arial" w:eastAsia="Arial" w:hAnsi="Arial"/>
                <w:sz w:val="18"/>
                <w:szCs w:val="18"/>
                <w:color w:val="0000FF"/>
                <w:w w:val="91"/>
              </w:rPr>
            </w:pPr>
            <w:hyperlink r:id="rId100">
              <w:r>
                <w:rPr>
                  <w:rFonts w:ascii="Arial" w:cs="Arial" w:eastAsia="Arial" w:hAnsi="Arial"/>
                  <w:sz w:val="18"/>
                  <w:szCs w:val="18"/>
                  <w:color w:val="0000FF"/>
                  <w:w w:val="91"/>
                </w:rPr>
                <w:t>Options and Option Agreement for use with 1995 Stock Option</w:t>
              </w:r>
            </w:hyperlink>
          </w:p>
        </w:tc>
        <w:tc>
          <w:tcPr>
            <w:tcW w:w="40" w:type="dxa"/>
            <w:vAlign w:val="bottom"/>
          </w:tcPr>
          <w:p>
            <w:pPr>
              <w:spacing w:after="0"/>
              <w:rPr>
                <w:sz w:val="13"/>
                <w:szCs w:val="13"/>
                <w:color w:val="auto"/>
              </w:rPr>
            </w:pPr>
          </w:p>
        </w:tc>
        <w:tc>
          <w:tcPr>
            <w:tcW w:w="540" w:type="dxa"/>
            <w:vAlign w:val="bottom"/>
            <w:gridSpan w:val="26"/>
          </w:tcPr>
          <w:p>
            <w:pPr>
              <w:ind w:left="20"/>
              <w:spacing w:after="0" w:line="156" w:lineRule="exact"/>
              <w:rPr>
                <w:rFonts w:ascii="Arial" w:cs="Arial" w:eastAsia="Arial" w:hAnsi="Arial"/>
                <w:sz w:val="18"/>
                <w:szCs w:val="18"/>
                <w:color w:val="0000FF"/>
              </w:rPr>
            </w:pPr>
            <w:hyperlink r:id="rId100">
              <w:r>
                <w:rPr>
                  <w:rFonts w:ascii="Arial" w:cs="Arial" w:eastAsia="Arial" w:hAnsi="Arial"/>
                  <w:sz w:val="18"/>
                  <w:szCs w:val="18"/>
                  <w:color w:val="0000FF"/>
                </w:rPr>
                <w:t>Plan</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8-K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600" w:type="dxa"/>
            <w:vAlign w:val="bottom"/>
            <w:vMerge w:val="restart"/>
          </w:tcPr>
          <w:p>
            <w:pPr>
              <w:jc w:val="center"/>
              <w:ind w:left="450"/>
              <w:spacing w:after="0"/>
              <w:rPr>
                <w:sz w:val="20"/>
                <w:szCs w:val="20"/>
                <w:color w:val="auto"/>
              </w:rPr>
            </w:pPr>
            <w:r>
              <w:rPr>
                <w:rFonts w:ascii="Arial" w:cs="Arial" w:eastAsia="Arial" w:hAnsi="Arial"/>
                <w:sz w:val="18"/>
                <w:szCs w:val="18"/>
                <w:color w:val="auto"/>
                <w:w w:val="92"/>
              </w:rPr>
              <w:t>9/26/2013</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360" w:type="dxa"/>
            <w:vAlign w:val="bottom"/>
            <w:tcBorders>
              <w:top w:val="single" w:sz="8" w:color="0000FF"/>
              <w:bottom w:val="single" w:sz="8" w:color="0000FF"/>
            </w:tcBorders>
            <w:gridSpan w:val="14"/>
          </w:tcPr>
          <w:p>
            <w:pPr>
              <w:spacing w:after="0" w:line="156" w:lineRule="exact"/>
              <w:rPr>
                <w:rFonts w:ascii="Arial" w:cs="Arial" w:eastAsia="Arial" w:hAnsi="Arial"/>
                <w:sz w:val="18"/>
                <w:szCs w:val="18"/>
                <w:color w:val="0000FF"/>
                <w:w w:val="89"/>
              </w:rPr>
            </w:pPr>
            <w:hyperlink r:id="rId100">
              <w:r>
                <w:rPr>
                  <w:rFonts w:ascii="Arial" w:cs="Arial" w:eastAsia="Arial" w:hAnsi="Arial"/>
                  <w:sz w:val="18"/>
                  <w:szCs w:val="18"/>
                  <w:color w:val="0000FF"/>
                  <w:w w:val="89"/>
                </w:rPr>
                <w:t>(for options granted after September 20, 2013)</w:t>
              </w:r>
            </w:hyperlink>
          </w:p>
        </w:tc>
        <w:tc>
          <w:tcPr>
            <w:tcW w:w="1640" w:type="dxa"/>
            <w:vAlign w:val="bottom"/>
            <w:tcBorders>
              <w:top w:val="single" w:sz="8" w:color="0000FF"/>
            </w:tcBorders>
            <w:gridSpan w:val="22"/>
          </w:tcPr>
          <w:p>
            <w:pPr>
              <w:spacing w:after="0"/>
              <w:rPr>
                <w:sz w:val="13"/>
                <w:szCs w:val="13"/>
                <w:color w:val="auto"/>
              </w:rPr>
            </w:pPr>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4600" w:type="dxa"/>
            <w:vAlign w:val="bottom"/>
            <w:tcBorders>
              <w:bottom w:val="single" w:sz="8" w:color="0000FF"/>
            </w:tcBorders>
            <w:gridSpan w:val="17"/>
          </w:tcPr>
          <w:p>
            <w:pPr>
              <w:spacing w:after="0"/>
              <w:rPr>
                <w:rFonts w:ascii="Arial" w:cs="Arial" w:eastAsia="Arial" w:hAnsi="Arial"/>
                <w:sz w:val="18"/>
                <w:szCs w:val="18"/>
                <w:color w:val="0000FF"/>
                <w:w w:val="91"/>
              </w:rPr>
            </w:pPr>
            <w:hyperlink r:id="rId101">
              <w:r>
                <w:rPr>
                  <w:rFonts w:ascii="Arial" w:cs="Arial" w:eastAsia="Arial" w:hAnsi="Arial"/>
                  <w:sz w:val="18"/>
                  <w:szCs w:val="18"/>
                  <w:color w:val="0000FF"/>
                  <w:w w:val="91"/>
                </w:rPr>
                <w:t>Form of Performance Award Agreement and Notice of Grant of</w:t>
              </w:r>
            </w:hyperlink>
          </w:p>
        </w:tc>
        <w:tc>
          <w:tcPr>
            <w:tcW w:w="540" w:type="dxa"/>
            <w:vAlign w:val="bottom"/>
            <w:gridSpan w:val="26"/>
          </w:tcPr>
          <w:p>
            <w:pPr>
              <w:spacing w:after="0"/>
              <w:rPr>
                <w:sz w:val="24"/>
                <w:szCs w:val="24"/>
                <w:color w:val="auto"/>
              </w:rPr>
            </w:pPr>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10.7.2#</w:t>
            </w:r>
          </w:p>
        </w:tc>
        <w:tc>
          <w:tcPr>
            <w:tcW w:w="5140" w:type="dxa"/>
            <w:vAlign w:val="bottom"/>
            <w:gridSpan w:val="43"/>
          </w:tcPr>
          <w:p>
            <w:pPr>
              <w:spacing w:after="0" w:line="156" w:lineRule="exact"/>
              <w:rPr>
                <w:rFonts w:ascii="Arial" w:cs="Arial" w:eastAsia="Arial" w:hAnsi="Arial"/>
                <w:sz w:val="18"/>
                <w:szCs w:val="18"/>
                <w:color w:val="0000FF"/>
                <w:w w:val="92"/>
              </w:rPr>
            </w:pPr>
            <w:hyperlink r:id="rId101">
              <w:r>
                <w:rPr>
                  <w:rFonts w:ascii="Arial" w:cs="Arial" w:eastAsia="Arial" w:hAnsi="Arial"/>
                  <w:sz w:val="18"/>
                  <w:szCs w:val="18"/>
                  <w:color w:val="0000FF"/>
                  <w:w w:val="92"/>
                </w:rPr>
                <w:t>Performance Award and Award Agreement for use with the Amended</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600" w:type="dxa"/>
            <w:vAlign w:val="bottom"/>
            <w:vMerge w:val="restart"/>
          </w:tcPr>
          <w:p>
            <w:pPr>
              <w:jc w:val="center"/>
              <w:ind w:left="470"/>
              <w:spacing w:after="0"/>
              <w:rPr>
                <w:sz w:val="20"/>
                <w:szCs w:val="20"/>
                <w:color w:val="auto"/>
              </w:rPr>
            </w:pPr>
            <w:r>
              <w:rPr>
                <w:rFonts w:ascii="Arial" w:cs="Arial" w:eastAsia="Arial" w:hAnsi="Arial"/>
                <w:sz w:val="18"/>
                <w:szCs w:val="18"/>
                <w:color w:val="auto"/>
                <w:w w:val="91"/>
              </w:rPr>
              <w:t>6/5/2014</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5100" w:type="dxa"/>
            <w:vAlign w:val="bottom"/>
            <w:tcBorders>
              <w:top w:val="single" w:sz="8" w:color="0000FF"/>
            </w:tcBorders>
            <w:gridSpan w:val="41"/>
          </w:tcPr>
          <w:p>
            <w:pPr>
              <w:spacing w:after="0" w:line="156" w:lineRule="exact"/>
              <w:rPr>
                <w:rFonts w:ascii="Arial" w:cs="Arial" w:eastAsia="Arial" w:hAnsi="Arial"/>
                <w:sz w:val="18"/>
                <w:szCs w:val="18"/>
                <w:color w:val="0000FF"/>
              </w:rPr>
            </w:pPr>
            <w:hyperlink r:id="rId101">
              <w:r>
                <w:rPr>
                  <w:rFonts w:ascii="Arial" w:cs="Arial" w:eastAsia="Arial" w:hAnsi="Arial"/>
                  <w:sz w:val="18"/>
                  <w:szCs w:val="18"/>
                  <w:color w:val="0000FF"/>
                </w:rPr>
                <w:t>and Restated 1995 Stock Option Plan</w:t>
              </w:r>
            </w:hyperlink>
          </w:p>
        </w:tc>
        <w:tc>
          <w:tcPr>
            <w:tcW w:w="40" w:type="dxa"/>
            <w:vAlign w:val="bottom"/>
            <w:gridSpan w:val="2"/>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280" w:type="dxa"/>
            <w:vAlign w:val="bottom"/>
            <w:gridSpan w:val="6"/>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4"/>
                <w:szCs w:val="24"/>
                <w:color w:val="auto"/>
              </w:rPr>
            </w:pPr>
          </w:p>
        </w:tc>
        <w:tc>
          <w:tcPr>
            <w:tcW w:w="4680" w:type="dxa"/>
            <w:vAlign w:val="bottom"/>
            <w:tcBorders>
              <w:bottom w:val="single" w:sz="8" w:color="0000FF"/>
            </w:tcBorders>
            <w:gridSpan w:val="20"/>
          </w:tcPr>
          <w:p>
            <w:pPr>
              <w:spacing w:after="0"/>
              <w:rPr>
                <w:rFonts w:ascii="Arial" w:cs="Arial" w:eastAsia="Arial" w:hAnsi="Arial"/>
                <w:sz w:val="18"/>
                <w:szCs w:val="18"/>
                <w:color w:val="0000FF"/>
                <w:w w:val="92"/>
              </w:rPr>
            </w:pPr>
            <w:hyperlink r:id="rId102">
              <w:r>
                <w:rPr>
                  <w:rFonts w:ascii="Arial" w:cs="Arial" w:eastAsia="Arial" w:hAnsi="Arial"/>
                  <w:sz w:val="18"/>
                  <w:szCs w:val="18"/>
                  <w:color w:val="0000FF"/>
                  <w:w w:val="92"/>
                </w:rPr>
                <w:t>Form of Deferral Feature Stock Unit Agreement with Stock Unit</w:t>
              </w:r>
            </w:hyperlink>
          </w:p>
        </w:tc>
        <w:tc>
          <w:tcPr>
            <w:tcW w:w="460" w:type="dxa"/>
            <w:vAlign w:val="bottom"/>
            <w:gridSpan w:val="23"/>
          </w:tcPr>
          <w:p>
            <w:pPr>
              <w:spacing w:after="0"/>
              <w:rPr>
                <w:sz w:val="24"/>
                <w:szCs w:val="24"/>
                <w:color w:val="auto"/>
              </w:rPr>
            </w:pPr>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10.7.3#</w:t>
            </w:r>
          </w:p>
        </w:tc>
        <w:tc>
          <w:tcPr>
            <w:tcW w:w="5140" w:type="dxa"/>
            <w:vAlign w:val="bottom"/>
            <w:gridSpan w:val="43"/>
          </w:tcPr>
          <w:p>
            <w:pPr>
              <w:spacing w:after="0" w:line="156" w:lineRule="exact"/>
              <w:rPr>
                <w:rFonts w:ascii="Arial" w:cs="Arial" w:eastAsia="Arial" w:hAnsi="Arial"/>
                <w:sz w:val="18"/>
                <w:szCs w:val="18"/>
                <w:color w:val="0000FF"/>
                <w:w w:val="97"/>
              </w:rPr>
            </w:pPr>
            <w:hyperlink r:id="rId102">
              <w:r>
                <w:rPr>
                  <w:rFonts w:ascii="Arial" w:cs="Arial" w:eastAsia="Arial" w:hAnsi="Arial"/>
                  <w:sz w:val="18"/>
                  <w:szCs w:val="18"/>
                  <w:color w:val="0000FF"/>
                  <w:w w:val="97"/>
                </w:rPr>
                <w:t>Election Form for use with the Amended and Restated 1995 Stock</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180"/>
              <w:spacing w:after="0"/>
              <w:rPr>
                <w:sz w:val="20"/>
                <w:szCs w:val="20"/>
                <w:color w:val="auto"/>
              </w:rPr>
            </w:pPr>
            <w:r>
              <w:rPr>
                <w:rFonts w:ascii="Arial" w:cs="Arial" w:eastAsia="Arial" w:hAnsi="Arial"/>
                <w:sz w:val="18"/>
                <w:szCs w:val="18"/>
                <w:color w:val="auto"/>
              </w:rPr>
              <w:t>10.3.11</w:t>
            </w:r>
          </w:p>
        </w:tc>
        <w:tc>
          <w:tcPr>
            <w:tcW w:w="1600" w:type="dxa"/>
            <w:vAlign w:val="bottom"/>
            <w:vMerge w:val="restart"/>
          </w:tcPr>
          <w:p>
            <w:pPr>
              <w:jc w:val="center"/>
              <w:ind w:left="450"/>
              <w:spacing w:after="0"/>
              <w:rPr>
                <w:sz w:val="20"/>
                <w:szCs w:val="20"/>
                <w:color w:val="auto"/>
              </w:rPr>
            </w:pPr>
            <w:r>
              <w:rPr>
                <w:rFonts w:ascii="Arial" w:cs="Arial" w:eastAsia="Arial" w:hAnsi="Arial"/>
                <w:sz w:val="18"/>
                <w:szCs w:val="18"/>
                <w:color w:val="auto"/>
                <w:w w:val="92"/>
              </w:rPr>
              <w:t>3/29/2018</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8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1"/>
              </w:rPr>
            </w:pPr>
            <w:hyperlink r:id="rId102">
              <w:r>
                <w:rPr>
                  <w:rFonts w:ascii="Arial" w:cs="Arial" w:eastAsia="Arial" w:hAnsi="Arial"/>
                  <w:sz w:val="18"/>
                  <w:szCs w:val="18"/>
                  <w:color w:val="0000FF"/>
                  <w:w w:val="91"/>
                </w:rPr>
                <w:t>Option Plan</w:t>
              </w:r>
            </w:hyperlink>
          </w:p>
        </w:tc>
        <w:tc>
          <w:tcPr>
            <w:tcW w:w="3900" w:type="dxa"/>
            <w:vAlign w:val="bottom"/>
            <w:tcBorders>
              <w:top w:val="single" w:sz="8" w:color="0000FF"/>
            </w:tcBorders>
            <w:gridSpan w:val="24"/>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140" w:type="dxa"/>
            <w:vAlign w:val="bottom"/>
            <w:gridSpan w:val="7"/>
          </w:tcPr>
          <w:p>
            <w:pPr>
              <w:spacing w:after="0"/>
              <w:rPr>
                <w:sz w:val="13"/>
                <w:szCs w:val="13"/>
                <w:color w:val="auto"/>
              </w:rPr>
            </w:pPr>
          </w:p>
        </w:tc>
        <w:tc>
          <w:tcPr>
            <w:tcW w:w="60" w:type="dxa"/>
            <w:vAlign w:val="bottom"/>
            <w:gridSpan w:val="3"/>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10.7.4#</w:t>
            </w:r>
          </w:p>
        </w:tc>
        <w:tc>
          <w:tcPr>
            <w:tcW w:w="5140" w:type="dxa"/>
            <w:vAlign w:val="bottom"/>
            <w:gridSpan w:val="43"/>
          </w:tcPr>
          <w:p>
            <w:pPr>
              <w:spacing w:after="0"/>
              <w:rPr>
                <w:rFonts w:ascii="Arial" w:cs="Arial" w:eastAsia="Arial" w:hAnsi="Arial"/>
                <w:sz w:val="18"/>
                <w:szCs w:val="18"/>
                <w:color w:val="0000FF"/>
              </w:rPr>
            </w:pPr>
            <w:hyperlink r:id="rId103">
              <w:r>
                <w:rPr>
                  <w:rFonts w:ascii="Arial" w:cs="Arial" w:eastAsia="Arial" w:hAnsi="Arial"/>
                  <w:sz w:val="18"/>
                  <w:szCs w:val="18"/>
                  <w:color w:val="0000FF"/>
                </w:rPr>
                <w:t>Form of Relative TSR RSU Grant Notice</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10.3</w:t>
            </w:r>
          </w:p>
        </w:tc>
        <w:tc>
          <w:tcPr>
            <w:tcW w:w="1600" w:type="dxa"/>
            <w:vAlign w:val="bottom"/>
          </w:tcPr>
          <w:p>
            <w:pPr>
              <w:jc w:val="center"/>
              <w:ind w:left="4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560" w:type="dxa"/>
            <w:vAlign w:val="bottom"/>
            <w:gridSpan w:val="7"/>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00" w:type="dxa"/>
            <w:vAlign w:val="bottom"/>
            <w:gridSpan w:val="6"/>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vMerge w:val="restart"/>
          </w:tcPr>
          <w:p>
            <w:pPr>
              <w:spacing w:after="0"/>
              <w:rPr>
                <w:sz w:val="20"/>
                <w:szCs w:val="20"/>
                <w:color w:val="auto"/>
              </w:rPr>
            </w:pPr>
            <w:r>
              <w:rPr>
                <w:rFonts w:ascii="Arial" w:cs="Arial" w:eastAsia="Arial" w:hAnsi="Arial"/>
                <w:sz w:val="18"/>
                <w:szCs w:val="18"/>
                <w:color w:val="auto"/>
              </w:rPr>
              <w:t>10.7.5#</w:t>
            </w:r>
          </w:p>
        </w:tc>
        <w:tc>
          <w:tcPr>
            <w:tcW w:w="5140" w:type="dxa"/>
            <w:vAlign w:val="bottom"/>
            <w:gridSpan w:val="43"/>
          </w:tcPr>
          <w:p>
            <w:pPr>
              <w:spacing w:after="0"/>
              <w:rPr>
                <w:rFonts w:ascii="Arial" w:cs="Arial" w:eastAsia="Arial" w:hAnsi="Arial"/>
                <w:sz w:val="18"/>
                <w:szCs w:val="18"/>
                <w:color w:val="0000FF"/>
                <w:w w:val="97"/>
              </w:rPr>
            </w:pPr>
            <w:hyperlink r:id="rId104">
              <w:r>
                <w:rPr>
                  <w:rFonts w:ascii="Arial" w:cs="Arial" w:eastAsia="Arial" w:hAnsi="Arial"/>
                  <w:sz w:val="18"/>
                  <w:szCs w:val="18"/>
                  <w:color w:val="0000FF"/>
                  <w:w w:val="97"/>
                </w:rPr>
                <w:t>Form of Value Creation Performance Based Restricted Stock Unit</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600" w:type="dxa"/>
            <w:vAlign w:val="bottom"/>
            <w:vMerge w:val="restart"/>
          </w:tcPr>
          <w:p>
            <w:pPr>
              <w:jc w:val="center"/>
              <w:ind w:left="47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476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r:id="rId104">
              <w:r>
                <w:rPr>
                  <w:rFonts w:ascii="Arial" w:cs="Arial" w:eastAsia="Arial" w:hAnsi="Arial"/>
                  <w:sz w:val="18"/>
                  <w:szCs w:val="18"/>
                  <w:color w:val="0000FF"/>
                </w:rPr>
                <w:t>Grant Notice</w:t>
              </w:r>
            </w:hyperlink>
          </w:p>
        </w:tc>
        <w:tc>
          <w:tcPr>
            <w:tcW w:w="60" w:type="dxa"/>
            <w:vAlign w:val="bottom"/>
            <w:gridSpan w:val="3"/>
          </w:tcPr>
          <w:p>
            <w:pPr>
              <w:spacing w:after="0"/>
              <w:rPr>
                <w:sz w:val="13"/>
                <w:szCs w:val="13"/>
                <w:color w:val="auto"/>
              </w:rPr>
            </w:pPr>
          </w:p>
        </w:tc>
        <w:tc>
          <w:tcPr>
            <w:tcW w:w="60" w:type="dxa"/>
            <w:vAlign w:val="bottom"/>
            <w:gridSpan w:val="2"/>
          </w:tcPr>
          <w:p>
            <w:pPr>
              <w:spacing w:after="0"/>
              <w:rPr>
                <w:sz w:val="13"/>
                <w:szCs w:val="13"/>
                <w:color w:val="auto"/>
              </w:rPr>
            </w:pPr>
          </w:p>
        </w:tc>
        <w:tc>
          <w:tcPr>
            <w:tcW w:w="60" w:type="dxa"/>
            <w:vAlign w:val="bottom"/>
            <w:gridSpan w:val="3"/>
          </w:tcPr>
          <w:p>
            <w:pPr>
              <w:spacing w:after="0"/>
              <w:rPr>
                <w:sz w:val="13"/>
                <w:szCs w:val="13"/>
                <w:color w:val="auto"/>
              </w:rPr>
            </w:pPr>
          </w:p>
        </w:tc>
        <w:tc>
          <w:tcPr>
            <w:tcW w:w="140" w:type="dxa"/>
            <w:vAlign w:val="bottom"/>
            <w:gridSpan w:val="7"/>
          </w:tcPr>
          <w:p>
            <w:pPr>
              <w:spacing w:after="0"/>
              <w:rPr>
                <w:sz w:val="13"/>
                <w:szCs w:val="13"/>
                <w:color w:val="auto"/>
              </w:rPr>
            </w:pPr>
          </w:p>
        </w:tc>
        <w:tc>
          <w:tcPr>
            <w:tcW w:w="60" w:type="dxa"/>
            <w:vAlign w:val="bottom"/>
            <w:gridSpan w:val="3"/>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580" w:type="dxa"/>
            <w:vAlign w:val="bottom"/>
            <w:gridSpan w:val="8"/>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60" w:type="dxa"/>
            <w:vAlign w:val="bottom"/>
            <w:gridSpan w:val="9"/>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10.7.6#</w:t>
            </w:r>
          </w:p>
        </w:tc>
        <w:tc>
          <w:tcPr>
            <w:tcW w:w="5140" w:type="dxa"/>
            <w:vAlign w:val="bottom"/>
            <w:gridSpan w:val="43"/>
          </w:tcPr>
          <w:p>
            <w:pPr>
              <w:spacing w:after="0"/>
              <w:rPr>
                <w:rFonts w:ascii="Arial" w:cs="Arial" w:eastAsia="Arial" w:hAnsi="Arial"/>
                <w:sz w:val="18"/>
                <w:szCs w:val="18"/>
                <w:color w:val="0000FF"/>
                <w:w w:val="94"/>
              </w:rPr>
            </w:pPr>
            <w:hyperlink r:id="rId105">
              <w:r>
                <w:rPr>
                  <w:rFonts w:ascii="Arial" w:cs="Arial" w:eastAsia="Arial" w:hAnsi="Arial"/>
                  <w:sz w:val="18"/>
                  <w:szCs w:val="18"/>
                  <w:color w:val="0000FF"/>
                  <w:w w:val="94"/>
                </w:rPr>
                <w:t>Amended and restated form of stock unit agreement under the 1995</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10.21</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88"/>
              </w:rPr>
            </w:pPr>
            <w:hyperlink r:id="rId105">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7"/>
          </w:tcPr>
          <w:p>
            <w:pPr>
              <w:spacing w:after="0"/>
              <w:rPr>
                <w:sz w:val="13"/>
                <w:szCs w:val="13"/>
                <w:color w:val="auto"/>
              </w:rPr>
            </w:pPr>
          </w:p>
        </w:tc>
        <w:tc>
          <w:tcPr>
            <w:tcW w:w="60" w:type="dxa"/>
            <w:vAlign w:val="bottom"/>
            <w:gridSpan w:val="3"/>
          </w:tcPr>
          <w:p>
            <w:pPr>
              <w:spacing w:after="0"/>
              <w:rPr>
                <w:sz w:val="13"/>
                <w:szCs w:val="13"/>
                <w:color w:val="auto"/>
              </w:rPr>
            </w:pPr>
          </w:p>
        </w:tc>
        <w:tc>
          <w:tcPr>
            <w:tcW w:w="140" w:type="dxa"/>
            <w:vAlign w:val="bottom"/>
            <w:gridSpan w:val="7"/>
          </w:tcPr>
          <w:p>
            <w:pPr>
              <w:spacing w:after="0"/>
              <w:rPr>
                <w:sz w:val="13"/>
                <w:szCs w:val="13"/>
                <w:color w:val="auto"/>
              </w:rPr>
            </w:pPr>
          </w:p>
        </w:tc>
        <w:tc>
          <w:tcPr>
            <w:tcW w:w="6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10.7.7#</w:t>
            </w:r>
          </w:p>
        </w:tc>
        <w:tc>
          <w:tcPr>
            <w:tcW w:w="4820" w:type="dxa"/>
            <w:vAlign w:val="bottom"/>
            <w:tcBorders>
              <w:bottom w:val="single" w:sz="8" w:color="0000FF"/>
            </w:tcBorders>
            <w:gridSpan w:val="28"/>
          </w:tcPr>
          <w:p>
            <w:pPr>
              <w:spacing w:after="0"/>
              <w:rPr>
                <w:rFonts w:ascii="Arial" w:cs="Arial" w:eastAsia="Arial" w:hAnsi="Arial"/>
                <w:sz w:val="18"/>
                <w:szCs w:val="18"/>
                <w:color w:val="0000FF"/>
                <w:w w:val="91"/>
              </w:rPr>
            </w:pPr>
            <w:hyperlink w:anchor="page70">
              <w:r>
                <w:rPr>
                  <w:rFonts w:ascii="Arial" w:cs="Arial" w:eastAsia="Arial" w:hAnsi="Arial"/>
                  <w:sz w:val="18"/>
                  <w:szCs w:val="18"/>
                  <w:color w:val="0000FF"/>
                  <w:w w:val="91"/>
                </w:rPr>
                <w:t>Form of Relative TSR RSU Grant Notice as amended March 2022</w:t>
              </w:r>
            </w:hyperlink>
          </w:p>
        </w:tc>
        <w:tc>
          <w:tcPr>
            <w:tcW w:w="320" w:type="dxa"/>
            <w:vAlign w:val="bottom"/>
            <w:gridSpan w:val="15"/>
          </w:tcPr>
          <w:p>
            <w:pPr>
              <w:spacing w:after="0"/>
              <w:rPr>
                <w:sz w:val="24"/>
                <w:szCs w:val="24"/>
                <w:color w:val="auto"/>
              </w:rPr>
            </w:pPr>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0" w:type="dxa"/>
            <w:vAlign w:val="bottom"/>
          </w:tcPr>
          <w:p>
            <w:pPr>
              <w:ind w:left="540"/>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10.7.8#</w:t>
            </w:r>
          </w:p>
        </w:tc>
        <w:tc>
          <w:tcPr>
            <w:tcW w:w="5140" w:type="dxa"/>
            <w:vAlign w:val="bottom"/>
            <w:gridSpan w:val="43"/>
          </w:tcPr>
          <w:p>
            <w:pPr>
              <w:spacing w:after="0"/>
              <w:rPr>
                <w:rFonts w:ascii="Arial" w:cs="Arial" w:eastAsia="Arial" w:hAnsi="Arial"/>
                <w:sz w:val="18"/>
                <w:szCs w:val="18"/>
                <w:color w:val="0000FF"/>
              </w:rPr>
            </w:pPr>
            <w:hyperlink w:anchor="page73">
              <w:r>
                <w:rPr>
                  <w:rFonts w:ascii="Arial" w:cs="Arial" w:eastAsia="Arial" w:hAnsi="Arial"/>
                  <w:sz w:val="18"/>
                  <w:szCs w:val="18"/>
                  <w:color w:val="0000FF"/>
                </w:rPr>
                <w:t>Form of Relative TSR and EPS RSU Grant Notice</w:t>
              </w:r>
            </w:hyperlink>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00" w:type="dxa"/>
            <w:vAlign w:val="bottom"/>
          </w:tcPr>
          <w:p>
            <w:pPr>
              <w:ind w:left="540"/>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420" w:type="dxa"/>
            <w:vAlign w:val="bottom"/>
            <w:gridSpan w:val="5"/>
            <w:shd w:val="clear" w:color="auto" w:fill="0000FF"/>
          </w:tcPr>
          <w:p>
            <w:pPr>
              <w:spacing w:after="0" w:line="20" w:lineRule="exact"/>
              <w:rPr>
                <w:sz w:val="1"/>
                <w:szCs w:val="1"/>
                <w:color w:val="auto"/>
              </w:rPr>
            </w:pPr>
          </w:p>
        </w:tc>
        <w:tc>
          <w:tcPr>
            <w:tcW w:w="2220" w:type="dxa"/>
            <w:vAlign w:val="bottom"/>
            <w:gridSpan w:val="10"/>
            <w:shd w:val="clear" w:color="auto" w:fill="0000FF"/>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280" w:type="dxa"/>
            <w:vAlign w:val="bottom"/>
            <w:gridSpan w:val="14"/>
          </w:tcPr>
          <w:p>
            <w:pPr>
              <w:spacing w:after="0" w:line="20" w:lineRule="exact"/>
              <w:rPr>
                <w:sz w:val="1"/>
                <w:szCs w:val="1"/>
                <w:color w:val="auto"/>
              </w:rPr>
            </w:pPr>
          </w:p>
        </w:tc>
        <w:tc>
          <w:tcPr>
            <w:tcW w:w="140" w:type="dxa"/>
            <w:vAlign w:val="bottom"/>
            <w:gridSpan w:val="7"/>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w:t>
            </w:r>
          </w:p>
        </w:tc>
        <w:tc>
          <w:tcPr>
            <w:tcW w:w="5140" w:type="dxa"/>
            <w:vAlign w:val="bottom"/>
            <w:gridSpan w:val="43"/>
          </w:tcPr>
          <w:p>
            <w:pPr>
              <w:spacing w:after="0"/>
              <w:rPr>
                <w:rFonts w:ascii="Arial" w:cs="Arial" w:eastAsia="Arial" w:hAnsi="Arial"/>
                <w:sz w:val="18"/>
                <w:szCs w:val="18"/>
                <w:color w:val="0000FF"/>
                <w:w w:val="93"/>
              </w:rPr>
            </w:pPr>
            <w:hyperlink r:id="rId106">
              <w:r>
                <w:rPr>
                  <w:rFonts w:ascii="Arial" w:cs="Arial" w:eastAsia="Arial" w:hAnsi="Arial"/>
                  <w:sz w:val="18"/>
                  <w:szCs w:val="18"/>
                  <w:color w:val="0000FF"/>
                  <w:w w:val="93"/>
                </w:rPr>
                <w:t>Marvell Technology Group Ltd. 2000 Employee Stock Purchase Plan</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240" w:type="dxa"/>
            <w:vAlign w:val="bottom"/>
          </w:tcPr>
          <w:p>
            <w:pPr>
              <w:ind w:left="180"/>
              <w:spacing w:after="0"/>
              <w:rPr>
                <w:sz w:val="20"/>
                <w:szCs w:val="20"/>
                <w:color w:val="auto"/>
              </w:rPr>
            </w:pPr>
            <w:r>
              <w:rPr>
                <w:rFonts w:ascii="Arial" w:cs="Arial" w:eastAsia="Arial" w:hAnsi="Arial"/>
                <w:sz w:val="18"/>
                <w:szCs w:val="18"/>
                <w:color w:val="auto"/>
              </w:rPr>
              <w:t>4.2</w:t>
            </w:r>
          </w:p>
        </w:tc>
        <w:tc>
          <w:tcPr>
            <w:tcW w:w="1600" w:type="dxa"/>
            <w:vAlign w:val="bottom"/>
          </w:tcPr>
          <w:p>
            <w:pPr>
              <w:jc w:val="center"/>
              <w:ind w:left="45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660" w:type="dxa"/>
            <w:vAlign w:val="bottom"/>
            <w:tcBorders>
              <w:top w:val="single" w:sz="8" w:color="0000FF"/>
              <w:bottom w:val="single" w:sz="8" w:color="0000FF"/>
            </w:tcBorders>
            <w:gridSpan w:val="19"/>
          </w:tcPr>
          <w:p>
            <w:pPr>
              <w:spacing w:after="0" w:line="156" w:lineRule="exact"/>
              <w:rPr>
                <w:rFonts w:ascii="Arial" w:cs="Arial" w:eastAsia="Arial" w:hAnsi="Arial"/>
                <w:sz w:val="18"/>
                <w:szCs w:val="18"/>
                <w:color w:val="0000FF"/>
                <w:w w:val="91"/>
              </w:rPr>
            </w:pPr>
            <w:hyperlink r:id="rId106">
              <w:r>
                <w:rPr>
                  <w:rFonts w:ascii="Arial" w:cs="Arial" w:eastAsia="Arial" w:hAnsi="Arial"/>
                  <w:sz w:val="18"/>
                  <w:szCs w:val="18"/>
                  <w:color w:val="0000FF"/>
                  <w:w w:val="91"/>
                </w:rPr>
                <w:t>(now named the Marvell Technology, Inc. 2000 Employee Stock</w:t>
              </w:r>
            </w:hyperlink>
          </w:p>
        </w:tc>
        <w:tc>
          <w:tcPr>
            <w:tcW w:w="420" w:type="dxa"/>
            <w:vAlign w:val="bottom"/>
            <w:tcBorders>
              <w:top w:val="single" w:sz="8" w:color="0000FF"/>
            </w:tcBorders>
            <w:gridSpan w:val="21"/>
          </w:tcPr>
          <w:p>
            <w:pPr>
              <w:spacing w:after="0"/>
              <w:rPr>
                <w:sz w:val="13"/>
                <w:szCs w:val="13"/>
                <w:color w:val="auto"/>
              </w:rPr>
            </w:pPr>
          </w:p>
        </w:tc>
        <w:tc>
          <w:tcPr>
            <w:tcW w:w="6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140" w:type="dxa"/>
            <w:vAlign w:val="bottom"/>
            <w:gridSpan w:val="43"/>
          </w:tcPr>
          <w:p>
            <w:pPr>
              <w:spacing w:after="0" w:line="156" w:lineRule="exact"/>
              <w:rPr>
                <w:rFonts w:ascii="Arial" w:cs="Arial" w:eastAsia="Arial" w:hAnsi="Arial"/>
                <w:sz w:val="18"/>
                <w:szCs w:val="18"/>
                <w:color w:val="0000FF"/>
                <w:w w:val="91"/>
              </w:rPr>
            </w:pPr>
            <w:hyperlink r:id="rId106">
              <w:r>
                <w:rPr>
                  <w:rFonts w:ascii="Arial" w:cs="Arial" w:eastAsia="Arial" w:hAnsi="Arial"/>
                  <w:sz w:val="18"/>
                  <w:szCs w:val="18"/>
                  <w:color w:val="0000FF"/>
                  <w:w w:val="91"/>
                </w:rPr>
                <w:t>Purchase Plan, as Amended and Restated) (as amended and restated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40" w:type="dxa"/>
            <w:vAlign w:val="bottom"/>
            <w:tcBorders>
              <w:top w:val="single" w:sz="8" w:color="0000FF"/>
            </w:tcBorders>
            <w:gridSpan w:val="33"/>
          </w:tcPr>
          <w:p>
            <w:pPr>
              <w:spacing w:after="0" w:line="156" w:lineRule="exact"/>
              <w:rPr>
                <w:rFonts w:ascii="Arial" w:cs="Arial" w:eastAsia="Arial" w:hAnsi="Arial"/>
                <w:sz w:val="18"/>
                <w:szCs w:val="18"/>
                <w:color w:val="0000FF"/>
              </w:rPr>
            </w:pPr>
            <w:hyperlink r:id="rId106">
              <w:r>
                <w:rPr>
                  <w:rFonts w:ascii="Arial" w:cs="Arial" w:eastAsia="Arial" w:hAnsi="Arial"/>
                  <w:sz w:val="18"/>
                  <w:szCs w:val="18"/>
                  <w:color w:val="0000FF"/>
                </w:rPr>
                <w:t>as of April 2, 2021)</w:t>
              </w:r>
            </w:hyperlink>
          </w:p>
        </w:tc>
        <w:tc>
          <w:tcPr>
            <w:tcW w:w="200" w:type="dxa"/>
            <w:vAlign w:val="bottom"/>
            <w:gridSpan w:val="10"/>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060"/>
          </w:cols>
          <w:pgMar w:left="320" w:top="130" w:right="519" w:bottom="1440" w:gutter="0" w:footer="0" w:header="0"/>
        </w:sectPr>
      </w:pPr>
    </w:p>
    <w:bookmarkStart w:id="66" w:name="page67"/>
    <w:bookmarkEnd w:id="66"/>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10.8.1#</w:t>
            </w:r>
          </w:p>
        </w:tc>
        <w:tc>
          <w:tcPr>
            <w:tcW w:w="5080" w:type="dxa"/>
            <w:vAlign w:val="bottom"/>
            <w:gridSpan w:val="29"/>
          </w:tcPr>
          <w:p>
            <w:pPr>
              <w:spacing w:after="0"/>
              <w:rPr>
                <w:rFonts w:ascii="Arial" w:cs="Arial" w:eastAsia="Arial" w:hAnsi="Arial"/>
                <w:sz w:val="18"/>
                <w:szCs w:val="18"/>
                <w:color w:val="0000FF"/>
                <w:w w:val="91"/>
              </w:rPr>
            </w:pPr>
            <w:hyperlink r:id="rId108">
              <w:r>
                <w:rPr>
                  <w:rFonts w:ascii="Arial" w:cs="Arial" w:eastAsia="Arial" w:hAnsi="Arial"/>
                  <w:sz w:val="18"/>
                  <w:szCs w:val="18"/>
                  <w:color w:val="0000FF"/>
                  <w:w w:val="91"/>
                </w:rPr>
                <w:t>Marvell Technology Group Ltd. 2000 Employee Stock Purchase Plan,</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200" w:type="dxa"/>
            <w:vAlign w:val="bottom"/>
          </w:tcPr>
          <w:p>
            <w:pPr>
              <w:ind w:left="180"/>
              <w:spacing w:after="0"/>
              <w:rPr>
                <w:sz w:val="20"/>
                <w:szCs w:val="20"/>
                <w:color w:val="auto"/>
              </w:rPr>
            </w:pPr>
            <w:r>
              <w:rPr>
                <w:rFonts w:ascii="Arial" w:cs="Arial" w:eastAsia="Arial" w:hAnsi="Arial"/>
                <w:sz w:val="18"/>
                <w:szCs w:val="18"/>
                <w:color w:val="auto"/>
              </w:rPr>
              <w:t>4.3</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5060" w:type="dxa"/>
            <w:vAlign w:val="bottom"/>
            <w:tcBorders>
              <w:top w:val="single" w:sz="8" w:color="0000FF"/>
            </w:tcBorders>
            <w:gridSpan w:val="28"/>
          </w:tcPr>
          <w:p>
            <w:pPr>
              <w:spacing w:after="0" w:line="156" w:lineRule="exact"/>
              <w:rPr>
                <w:rFonts w:ascii="Arial" w:cs="Arial" w:eastAsia="Arial" w:hAnsi="Arial"/>
                <w:sz w:val="18"/>
                <w:szCs w:val="18"/>
                <w:color w:val="0000FF"/>
                <w:w w:val="92"/>
              </w:rPr>
            </w:pPr>
            <w:hyperlink r:id="rId108">
              <w:r>
                <w:rPr>
                  <w:rFonts w:ascii="Arial" w:cs="Arial" w:eastAsia="Arial" w:hAnsi="Arial"/>
                  <w:sz w:val="18"/>
                  <w:szCs w:val="18"/>
                  <w:color w:val="0000FF"/>
                  <w:w w:val="92"/>
                </w:rPr>
                <w:t>as Amended and Restated (now named the Marvell Technology, Inc.</w:t>
              </w:r>
            </w:hyperlink>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940" w:type="dxa"/>
            <w:vAlign w:val="bottom"/>
            <w:tcBorders>
              <w:top w:val="single" w:sz="8" w:color="0000FF"/>
            </w:tcBorders>
            <w:gridSpan w:val="23"/>
          </w:tcPr>
          <w:p>
            <w:pPr>
              <w:spacing w:after="0" w:line="156" w:lineRule="exact"/>
              <w:rPr>
                <w:rFonts w:ascii="Arial" w:cs="Arial" w:eastAsia="Arial" w:hAnsi="Arial"/>
                <w:sz w:val="18"/>
                <w:szCs w:val="18"/>
                <w:color w:val="0000FF"/>
                <w:w w:val="93"/>
              </w:rPr>
            </w:pPr>
            <w:hyperlink r:id="rId108">
              <w:r>
                <w:rPr>
                  <w:rFonts w:ascii="Arial" w:cs="Arial" w:eastAsia="Arial" w:hAnsi="Arial"/>
                  <w:sz w:val="18"/>
                  <w:szCs w:val="18"/>
                  <w:color w:val="0000FF"/>
                  <w:w w:val="93"/>
                </w:rPr>
                <w:t>2000 Employee Stock Purchase Plan, as Amended and Restated)</w:t>
              </w:r>
            </w:hyperlink>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240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1"/>
              </w:rPr>
            </w:pPr>
            <w:hyperlink r:id="rId108">
              <w:r>
                <w:rPr>
                  <w:rFonts w:ascii="Arial" w:cs="Arial" w:eastAsia="Arial" w:hAnsi="Arial"/>
                  <w:sz w:val="18"/>
                  <w:szCs w:val="18"/>
                  <w:color w:val="0000FF"/>
                  <w:w w:val="91"/>
                </w:rPr>
                <w:t>Form of Subscription Agreement</w:t>
              </w:r>
            </w:hyperlink>
          </w:p>
        </w:tc>
        <w:tc>
          <w:tcPr>
            <w:tcW w:w="2260" w:type="dxa"/>
            <w:vAlign w:val="bottom"/>
            <w:tcBorders>
              <w:top w:val="single" w:sz="8" w:color="0000FF"/>
            </w:tcBorders>
            <w:gridSpan w:val="11"/>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10.8.2#</w:t>
            </w:r>
          </w:p>
        </w:tc>
        <w:tc>
          <w:tcPr>
            <w:tcW w:w="5080" w:type="dxa"/>
            <w:vAlign w:val="bottom"/>
            <w:gridSpan w:val="29"/>
          </w:tcPr>
          <w:p>
            <w:pPr>
              <w:spacing w:after="0"/>
              <w:rPr>
                <w:rFonts w:ascii="Arial" w:cs="Arial" w:eastAsia="Arial" w:hAnsi="Arial"/>
                <w:sz w:val="18"/>
                <w:szCs w:val="18"/>
                <w:color w:val="0000FF"/>
                <w:w w:val="90"/>
              </w:rPr>
            </w:pPr>
            <w:hyperlink r:id="rId109">
              <w:r>
                <w:rPr>
                  <w:rFonts w:ascii="Arial" w:cs="Arial" w:eastAsia="Arial" w:hAnsi="Arial"/>
                  <w:sz w:val="18"/>
                  <w:szCs w:val="18"/>
                  <w:color w:val="0000FF"/>
                  <w:w w:val="90"/>
                </w:rPr>
                <w:t>Amended and restated form of subscription agreement under the 2000</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00" w:type="dxa"/>
            <w:vAlign w:val="bottom"/>
          </w:tcPr>
          <w:p>
            <w:pPr>
              <w:ind w:left="180"/>
              <w:spacing w:after="0"/>
              <w:rPr>
                <w:sz w:val="20"/>
                <w:szCs w:val="20"/>
                <w:color w:val="auto"/>
              </w:rPr>
            </w:pPr>
            <w:r>
              <w:rPr>
                <w:rFonts w:ascii="Arial" w:cs="Arial" w:eastAsia="Arial" w:hAnsi="Arial"/>
                <w:sz w:val="18"/>
                <w:szCs w:val="18"/>
                <w:color w:val="auto"/>
              </w:rPr>
              <w:t>10.22</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8/27/2021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1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86"/>
              </w:rPr>
            </w:pPr>
            <w:hyperlink r:id="rId109">
              <w:r>
                <w:rPr>
                  <w:rFonts w:ascii="Arial" w:cs="Arial" w:eastAsia="Arial" w:hAnsi="Arial"/>
                  <w:sz w:val="18"/>
                  <w:szCs w:val="18"/>
                  <w:color w:val="0000FF"/>
                  <w:w w:val="86"/>
                </w:rPr>
                <w:t>ESPP as amended June 2021</w:t>
              </w:r>
            </w:hyperlink>
          </w:p>
        </w:tc>
        <w:tc>
          <w:tcPr>
            <w:tcW w:w="2940" w:type="dxa"/>
            <w:vAlign w:val="bottom"/>
            <w:tcBorders>
              <w:top w:val="single" w:sz="8" w:color="0000FF"/>
            </w:tcBorders>
            <w:gridSpan w:val="23"/>
          </w:tcPr>
          <w:p>
            <w:pPr>
              <w:spacing w:after="0"/>
              <w:rPr>
                <w:sz w:val="13"/>
                <w:szCs w:val="13"/>
                <w:color w:val="auto"/>
              </w:rPr>
            </w:pPr>
          </w:p>
        </w:tc>
        <w:tc>
          <w:tcPr>
            <w:tcW w:w="40" w:type="dxa"/>
            <w:vAlign w:val="bottom"/>
            <w:gridSpan w:val="2"/>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5080" w:type="dxa"/>
            <w:vAlign w:val="bottom"/>
            <w:tcBorders>
              <w:bottom w:val="single" w:sz="8" w:color="0000FF"/>
            </w:tcBorders>
            <w:gridSpan w:val="29"/>
          </w:tcPr>
          <w:p>
            <w:pPr>
              <w:spacing w:after="0"/>
              <w:rPr>
                <w:rFonts w:ascii="Arial" w:cs="Arial" w:eastAsia="Arial" w:hAnsi="Arial"/>
                <w:sz w:val="18"/>
                <w:szCs w:val="18"/>
                <w:color w:val="0000FF"/>
                <w:w w:val="92"/>
              </w:rPr>
            </w:pPr>
            <w:hyperlink r:id="rId110">
              <w:r>
                <w:rPr>
                  <w:rFonts w:ascii="Arial" w:cs="Arial" w:eastAsia="Arial" w:hAnsi="Arial"/>
                  <w:sz w:val="18"/>
                  <w:szCs w:val="18"/>
                  <w:color w:val="0000FF"/>
                  <w:w w:val="92"/>
                </w:rPr>
                <w:t>Offer Letter between the Marvell and Matthew J. Murphy and form of</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10.1</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6/20/2016</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900" w:type="dxa"/>
            <w:vAlign w:val="bottom"/>
            <w:tcBorders>
              <w:bottom w:val="single" w:sz="8" w:color="0000FF"/>
            </w:tcBorders>
            <w:gridSpan w:val="14"/>
          </w:tcPr>
          <w:p>
            <w:pPr>
              <w:spacing w:after="0" w:line="156" w:lineRule="exact"/>
              <w:rPr>
                <w:rFonts w:ascii="Arial" w:cs="Arial" w:eastAsia="Arial" w:hAnsi="Arial"/>
                <w:sz w:val="18"/>
                <w:szCs w:val="18"/>
                <w:color w:val="0000FF"/>
                <w:w w:val="89"/>
              </w:rPr>
            </w:pPr>
            <w:hyperlink r:id="rId110">
              <w:r>
                <w:rPr>
                  <w:rFonts w:ascii="Arial" w:cs="Arial" w:eastAsia="Arial" w:hAnsi="Arial"/>
                  <w:sz w:val="18"/>
                  <w:szCs w:val="18"/>
                  <w:color w:val="0000FF"/>
                  <w:w w:val="89"/>
                </w:rPr>
                <w:t>Severance Agreement attached thereto as Appendix B</w:t>
              </w:r>
            </w:hyperlink>
          </w:p>
        </w:tc>
        <w:tc>
          <w:tcPr>
            <w:tcW w:w="1180" w:type="dxa"/>
            <w:vAlign w:val="bottom"/>
            <w:gridSpan w:val="15"/>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10.9.1#</w:t>
            </w:r>
          </w:p>
        </w:tc>
        <w:tc>
          <w:tcPr>
            <w:tcW w:w="5080" w:type="dxa"/>
            <w:vAlign w:val="bottom"/>
            <w:gridSpan w:val="29"/>
          </w:tcPr>
          <w:p>
            <w:pPr>
              <w:spacing w:after="0"/>
              <w:rPr>
                <w:rFonts w:ascii="Arial" w:cs="Arial" w:eastAsia="Arial" w:hAnsi="Arial"/>
                <w:sz w:val="18"/>
                <w:szCs w:val="18"/>
                <w:color w:val="0000FF"/>
                <w:w w:val="94"/>
              </w:rPr>
            </w:pPr>
            <w:hyperlink r:id="rId111">
              <w:r>
                <w:rPr>
                  <w:rFonts w:ascii="Arial" w:cs="Arial" w:eastAsia="Arial" w:hAnsi="Arial"/>
                  <w:sz w:val="18"/>
                  <w:szCs w:val="18"/>
                  <w:color w:val="0000FF"/>
                  <w:w w:val="94"/>
                </w:rPr>
                <w:t>Severance Agreement with Matt Murphy as amended December 1,</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10.6</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12/4/2020</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111">
              <w:r>
                <w:rPr>
                  <w:rFonts w:ascii="Arial" w:cs="Arial" w:eastAsia="Arial" w:hAnsi="Arial"/>
                  <w:sz w:val="18"/>
                  <w:szCs w:val="18"/>
                  <w:color w:val="0000FF"/>
                  <w:w w:val="84"/>
                </w:rPr>
                <w:t>2020</w:t>
              </w:r>
            </w:hyperlink>
          </w:p>
        </w:tc>
        <w:tc>
          <w:tcPr>
            <w:tcW w:w="1320" w:type="dxa"/>
            <w:vAlign w:val="bottom"/>
            <w:tcBorders>
              <w:top w:val="single" w:sz="8" w:color="0000FF"/>
            </w:tcBorders>
          </w:tcPr>
          <w:p>
            <w:pPr>
              <w:spacing w:after="0"/>
              <w:rPr>
                <w:sz w:val="13"/>
                <w:szCs w:val="13"/>
                <w:color w:val="auto"/>
              </w:rPr>
            </w:pPr>
          </w:p>
        </w:tc>
        <w:tc>
          <w:tcPr>
            <w:tcW w:w="4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30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38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5080" w:type="dxa"/>
            <w:vAlign w:val="bottom"/>
            <w:gridSpan w:val="29"/>
          </w:tcPr>
          <w:p>
            <w:pPr>
              <w:spacing w:after="0"/>
              <w:rPr>
                <w:rFonts w:ascii="Arial" w:cs="Arial" w:eastAsia="Arial" w:hAnsi="Arial"/>
                <w:sz w:val="18"/>
                <w:szCs w:val="18"/>
                <w:color w:val="0000FF"/>
                <w:w w:val="98"/>
              </w:rPr>
            </w:pPr>
            <w:hyperlink r:id="rId112">
              <w:r>
                <w:rPr>
                  <w:rFonts w:ascii="Arial" w:cs="Arial" w:eastAsia="Arial" w:hAnsi="Arial"/>
                  <w:sz w:val="18"/>
                  <w:szCs w:val="18"/>
                  <w:color w:val="0000FF"/>
                  <w:w w:val="98"/>
                </w:rPr>
                <w:t>Cavium, Inc. 2016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10.1</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2">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7"/>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5080" w:type="dxa"/>
            <w:vAlign w:val="bottom"/>
            <w:gridSpan w:val="29"/>
          </w:tcPr>
          <w:p>
            <w:pPr>
              <w:spacing w:after="0"/>
              <w:rPr>
                <w:rFonts w:ascii="Arial" w:cs="Arial" w:eastAsia="Arial" w:hAnsi="Arial"/>
                <w:sz w:val="18"/>
                <w:szCs w:val="18"/>
                <w:color w:val="0000FF"/>
                <w:w w:val="98"/>
              </w:rPr>
            </w:pPr>
            <w:hyperlink r:id="rId113">
              <w:r>
                <w:rPr>
                  <w:rFonts w:ascii="Arial" w:cs="Arial" w:eastAsia="Arial" w:hAnsi="Arial"/>
                  <w:sz w:val="18"/>
                  <w:szCs w:val="18"/>
                  <w:color w:val="0000FF"/>
                  <w:w w:val="98"/>
                </w:rPr>
                <w:t>Cavium, Inc. 2007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10.2</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3">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7"/>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10.12#</w:t>
            </w:r>
          </w:p>
        </w:tc>
        <w:tc>
          <w:tcPr>
            <w:tcW w:w="5080" w:type="dxa"/>
            <w:vAlign w:val="bottom"/>
            <w:gridSpan w:val="29"/>
          </w:tcPr>
          <w:p>
            <w:pPr>
              <w:spacing w:after="0"/>
              <w:rPr>
                <w:rFonts w:ascii="Arial" w:cs="Arial" w:eastAsia="Arial" w:hAnsi="Arial"/>
                <w:sz w:val="18"/>
                <w:szCs w:val="18"/>
                <w:color w:val="0000FF"/>
                <w:w w:val="99"/>
              </w:rPr>
            </w:pPr>
            <w:hyperlink r:id="rId114">
              <w:r>
                <w:rPr>
                  <w:rFonts w:ascii="Arial" w:cs="Arial" w:eastAsia="Arial" w:hAnsi="Arial"/>
                  <w:sz w:val="18"/>
                  <w:szCs w:val="18"/>
                  <w:color w:val="0000FF"/>
                  <w:w w:val="99"/>
                </w:rPr>
                <w:t>QLogic Corporation 2005 Performance Incentive Plan (including</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10.3</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70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r:id="rId114">
              <w:r>
                <w:rPr>
                  <w:rFonts w:ascii="Arial" w:cs="Arial" w:eastAsia="Arial" w:hAnsi="Arial"/>
                  <w:sz w:val="18"/>
                  <w:szCs w:val="18"/>
                  <w:color w:val="0000FF"/>
                </w:rPr>
                <w:t>forms of grant notice and agreements)</w:t>
              </w:r>
            </w:hyperlink>
          </w:p>
        </w:tc>
        <w:tc>
          <w:tcPr>
            <w:tcW w:w="8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5080" w:type="dxa"/>
            <w:vAlign w:val="bottom"/>
            <w:gridSpan w:val="29"/>
          </w:tcPr>
          <w:p>
            <w:pPr>
              <w:spacing w:after="0"/>
              <w:rPr>
                <w:rFonts w:ascii="Arial" w:cs="Arial" w:eastAsia="Arial" w:hAnsi="Arial"/>
                <w:sz w:val="18"/>
                <w:szCs w:val="18"/>
                <w:color w:val="0000FF"/>
                <w:w w:val="94"/>
              </w:rPr>
            </w:pPr>
            <w:hyperlink r:id="rId115">
              <w:r>
                <w:rPr>
                  <w:rFonts w:ascii="Arial" w:cs="Arial" w:eastAsia="Arial" w:hAnsi="Arial"/>
                  <w:sz w:val="18"/>
                  <w:szCs w:val="18"/>
                  <w:color w:val="0000FF"/>
                  <w:w w:val="94"/>
                </w:rPr>
                <w:t>Aquantia Corp. 2017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10.6</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5">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10.14#</w:t>
            </w:r>
          </w:p>
        </w:tc>
        <w:tc>
          <w:tcPr>
            <w:tcW w:w="5080" w:type="dxa"/>
            <w:vAlign w:val="bottom"/>
            <w:gridSpan w:val="29"/>
          </w:tcPr>
          <w:p>
            <w:pPr>
              <w:spacing w:after="0"/>
              <w:rPr>
                <w:rFonts w:ascii="Arial" w:cs="Arial" w:eastAsia="Arial" w:hAnsi="Arial"/>
                <w:sz w:val="18"/>
                <w:szCs w:val="18"/>
                <w:color w:val="0000FF"/>
                <w:w w:val="94"/>
              </w:rPr>
            </w:pPr>
            <w:hyperlink r:id="rId116">
              <w:r>
                <w:rPr>
                  <w:rFonts w:ascii="Arial" w:cs="Arial" w:eastAsia="Arial" w:hAnsi="Arial"/>
                  <w:sz w:val="18"/>
                  <w:szCs w:val="18"/>
                  <w:color w:val="0000FF"/>
                  <w:w w:val="94"/>
                </w:rPr>
                <w:t>Aquantia Corp. 2015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10.5</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6">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5080" w:type="dxa"/>
            <w:vAlign w:val="bottom"/>
            <w:gridSpan w:val="29"/>
          </w:tcPr>
          <w:p>
            <w:pPr>
              <w:spacing w:after="0"/>
              <w:rPr>
                <w:rFonts w:ascii="Arial" w:cs="Arial" w:eastAsia="Arial" w:hAnsi="Arial"/>
                <w:sz w:val="18"/>
                <w:szCs w:val="18"/>
                <w:color w:val="0000FF"/>
                <w:w w:val="94"/>
              </w:rPr>
            </w:pPr>
            <w:hyperlink r:id="rId117">
              <w:r>
                <w:rPr>
                  <w:rFonts w:ascii="Arial" w:cs="Arial" w:eastAsia="Arial" w:hAnsi="Arial"/>
                  <w:sz w:val="18"/>
                  <w:szCs w:val="18"/>
                  <w:color w:val="0000FF"/>
                  <w:w w:val="94"/>
                </w:rPr>
                <w:t>Aquantia Corp. 2004 Equity Incentive Plan (including forms of grant</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10.4</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7"/>
              </w:rPr>
            </w:pPr>
            <w:hyperlink r:id="rId117">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2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10.16#</w:t>
            </w:r>
          </w:p>
        </w:tc>
        <w:tc>
          <w:tcPr>
            <w:tcW w:w="5080" w:type="dxa"/>
            <w:vAlign w:val="bottom"/>
            <w:gridSpan w:val="29"/>
          </w:tcPr>
          <w:p>
            <w:pPr>
              <w:spacing w:after="0"/>
              <w:rPr>
                <w:rFonts w:ascii="Arial" w:cs="Arial" w:eastAsia="Arial" w:hAnsi="Arial"/>
                <w:sz w:val="18"/>
                <w:szCs w:val="18"/>
                <w:color w:val="0000FF"/>
                <w:w w:val="91"/>
              </w:rPr>
            </w:pPr>
            <w:hyperlink r:id="rId118">
              <w:r>
                <w:rPr>
                  <w:rFonts w:ascii="Arial" w:cs="Arial" w:eastAsia="Arial" w:hAnsi="Arial"/>
                  <w:sz w:val="18"/>
                  <w:szCs w:val="18"/>
                  <w:color w:val="0000FF"/>
                  <w:w w:val="91"/>
                </w:rPr>
                <w:t>Inphi Corporation Amended and Restated 2010 Stock Incentive Plan,</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200" w:type="dxa"/>
            <w:vAlign w:val="bottom"/>
          </w:tcPr>
          <w:p>
            <w:pPr>
              <w:ind w:left="180"/>
              <w:spacing w:after="0"/>
              <w:rPr>
                <w:sz w:val="20"/>
                <w:szCs w:val="20"/>
                <w:color w:val="auto"/>
              </w:rPr>
            </w:pPr>
            <w:r>
              <w:rPr>
                <w:rFonts w:ascii="Arial" w:cs="Arial" w:eastAsia="Arial" w:hAnsi="Arial"/>
                <w:sz w:val="18"/>
                <w:szCs w:val="18"/>
                <w:color w:val="auto"/>
              </w:rPr>
              <w:t>4.10</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00" w:type="dxa"/>
            <w:vAlign w:val="bottom"/>
            <w:tcBorders>
              <w:top w:val="single" w:sz="8" w:color="0000FF"/>
            </w:tcBorders>
            <w:gridSpan w:val="25"/>
          </w:tcPr>
          <w:p>
            <w:pPr>
              <w:spacing w:after="0" w:line="156" w:lineRule="exact"/>
              <w:rPr>
                <w:rFonts w:ascii="Arial" w:cs="Arial" w:eastAsia="Arial" w:hAnsi="Arial"/>
                <w:sz w:val="18"/>
                <w:szCs w:val="18"/>
                <w:color w:val="0000FF"/>
              </w:rPr>
            </w:pPr>
            <w:hyperlink r:id="rId118">
              <w:r>
                <w:rPr>
                  <w:rFonts w:ascii="Arial" w:cs="Arial" w:eastAsia="Arial" w:hAnsi="Arial"/>
                  <w:sz w:val="18"/>
                  <w:szCs w:val="18"/>
                  <w:color w:val="0000FF"/>
                </w:rPr>
                <w:t>as amended and restated on April 14, 2020</w:t>
              </w:r>
            </w:hyperlink>
          </w:p>
        </w:tc>
        <w:tc>
          <w:tcPr>
            <w:tcW w:w="2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6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9"/>
          </w:tcPr>
          <w:p>
            <w:pPr>
              <w:spacing w:after="0"/>
              <w:rPr>
                <w:rFonts w:ascii="Arial" w:cs="Arial" w:eastAsia="Arial" w:hAnsi="Arial"/>
                <w:sz w:val="18"/>
                <w:szCs w:val="18"/>
                <w:color w:val="0000FF"/>
              </w:rPr>
            </w:pPr>
            <w:hyperlink r:id="rId119">
              <w:r>
                <w:rPr>
                  <w:rFonts w:ascii="Arial" w:cs="Arial" w:eastAsia="Arial" w:hAnsi="Arial"/>
                  <w:sz w:val="18"/>
                  <w:szCs w:val="18"/>
                  <w:color w:val="0000FF"/>
                </w:rPr>
                <w:t>Offer letter with Loi Nguyen</w:t>
              </w:r>
            </w:hyperlink>
          </w:p>
        </w:tc>
        <w:tc>
          <w:tcPr>
            <w:tcW w:w="2000" w:type="dxa"/>
            <w:vAlign w:val="bottom"/>
            <w:gridSpan w:val="20"/>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00" w:type="dxa"/>
            <w:vAlign w:val="bottom"/>
          </w:tcPr>
          <w:p>
            <w:pPr>
              <w:ind w:left="180"/>
              <w:spacing w:after="0"/>
              <w:rPr>
                <w:sz w:val="20"/>
                <w:szCs w:val="20"/>
                <w:color w:val="auto"/>
              </w:rPr>
            </w:pPr>
            <w:r>
              <w:rPr>
                <w:rFonts w:ascii="Arial" w:cs="Arial" w:eastAsia="Arial" w:hAnsi="Arial"/>
                <w:sz w:val="18"/>
                <w:szCs w:val="18"/>
                <w:color w:val="auto"/>
              </w:rPr>
              <w:t>10.17</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3"/>
            <w:shd w:val="clear" w:color="auto" w:fill="0000FF"/>
          </w:tcPr>
          <w:p>
            <w:pPr>
              <w:spacing w:after="0" w:line="20" w:lineRule="exact"/>
              <w:rPr>
                <w:sz w:val="1"/>
                <w:szCs w:val="1"/>
                <w:color w:val="auto"/>
              </w:rPr>
            </w:pPr>
          </w:p>
        </w:tc>
        <w:tc>
          <w:tcPr>
            <w:tcW w:w="36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280" w:type="dxa"/>
            <w:vAlign w:val="bottom"/>
            <w:gridSpan w:val="3"/>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gridSpan w:val="4"/>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7"/>
          </w:tcPr>
          <w:p>
            <w:pPr>
              <w:spacing w:after="0"/>
              <w:rPr>
                <w:rFonts w:ascii="Arial" w:cs="Arial" w:eastAsia="Arial" w:hAnsi="Arial"/>
                <w:sz w:val="18"/>
                <w:szCs w:val="18"/>
                <w:color w:val="0000FF"/>
                <w:w w:val="93"/>
              </w:rPr>
            </w:pPr>
            <w:hyperlink r:id="rId120">
              <w:r>
                <w:rPr>
                  <w:rFonts w:ascii="Arial" w:cs="Arial" w:eastAsia="Arial" w:hAnsi="Arial"/>
                  <w:sz w:val="18"/>
                  <w:szCs w:val="18"/>
                  <w:color w:val="0000FF"/>
                  <w:w w:val="93"/>
                </w:rPr>
                <w:t>Offer letter with Nariman Yousefi</w:t>
              </w:r>
            </w:hyperlink>
          </w:p>
        </w:tc>
        <w:tc>
          <w:tcPr>
            <w:tcW w:w="2620" w:type="dxa"/>
            <w:vAlign w:val="bottom"/>
            <w:gridSpan w:val="22"/>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00" w:type="dxa"/>
            <w:vAlign w:val="bottom"/>
          </w:tcPr>
          <w:p>
            <w:pPr>
              <w:ind w:left="180"/>
              <w:spacing w:after="0"/>
              <w:rPr>
                <w:sz w:val="20"/>
                <w:szCs w:val="20"/>
                <w:color w:val="auto"/>
              </w:rPr>
            </w:pPr>
            <w:r>
              <w:rPr>
                <w:rFonts w:ascii="Arial" w:cs="Arial" w:eastAsia="Arial" w:hAnsi="Arial"/>
                <w:sz w:val="18"/>
                <w:szCs w:val="18"/>
                <w:color w:val="auto"/>
              </w:rPr>
              <w:t>10.18</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6"/>
          </w:tcPr>
          <w:p>
            <w:pPr>
              <w:spacing w:after="0"/>
              <w:rPr>
                <w:rFonts w:ascii="Arial" w:cs="Arial" w:eastAsia="Arial" w:hAnsi="Arial"/>
                <w:sz w:val="18"/>
                <w:szCs w:val="18"/>
                <w:color w:val="0000FF"/>
                <w:w w:val="93"/>
              </w:rPr>
            </w:pPr>
            <w:hyperlink r:id="rId121">
              <w:r>
                <w:rPr>
                  <w:rFonts w:ascii="Arial" w:cs="Arial" w:eastAsia="Arial" w:hAnsi="Arial"/>
                  <w:sz w:val="18"/>
                  <w:szCs w:val="18"/>
                  <w:color w:val="0000FF"/>
                  <w:w w:val="93"/>
                </w:rPr>
                <w:t>Offer letter with Chris Koopmans</w:t>
              </w:r>
            </w:hyperlink>
          </w:p>
        </w:tc>
        <w:tc>
          <w:tcPr>
            <w:tcW w:w="2640" w:type="dxa"/>
            <w:vAlign w:val="bottom"/>
            <w:gridSpan w:val="23"/>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10.4</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10.20#</w:t>
            </w:r>
          </w:p>
        </w:tc>
        <w:tc>
          <w:tcPr>
            <w:tcW w:w="3820" w:type="dxa"/>
            <w:vAlign w:val="bottom"/>
            <w:tcBorders>
              <w:bottom w:val="single" w:sz="8" w:color="0000FF"/>
            </w:tcBorders>
            <w:gridSpan w:val="13"/>
          </w:tcPr>
          <w:p>
            <w:pPr>
              <w:spacing w:after="0"/>
              <w:rPr>
                <w:rFonts w:ascii="Arial" w:cs="Arial" w:eastAsia="Arial" w:hAnsi="Arial"/>
                <w:sz w:val="18"/>
                <w:szCs w:val="18"/>
                <w:color w:val="0000FF"/>
                <w:w w:val="91"/>
              </w:rPr>
            </w:pPr>
            <w:hyperlink w:anchor="page78">
              <w:r>
                <w:rPr>
                  <w:rFonts w:ascii="Arial" w:cs="Arial" w:eastAsia="Arial" w:hAnsi="Arial"/>
                  <w:sz w:val="18"/>
                  <w:szCs w:val="18"/>
                  <w:color w:val="0000FF"/>
                  <w:w w:val="91"/>
                </w:rPr>
                <w:t xml:space="preserve">Fiscal </w:t>
              </w:r>
            </w:hyperlink>
            <w:r>
              <w:rPr>
                <w:rFonts w:ascii="Arial" w:cs="Arial" w:eastAsia="Arial" w:hAnsi="Arial"/>
                <w:sz w:val="18"/>
                <w:szCs w:val="18"/>
                <w:color w:val="0000FF"/>
                <w:w w:val="91"/>
              </w:rPr>
              <w:t xml:space="preserve">2023 </w:t>
            </w:r>
            <w:hyperlink w:anchor="page78">
              <w:r>
                <w:rPr>
                  <w:rFonts w:ascii="Arial" w:cs="Arial" w:eastAsia="Arial" w:hAnsi="Arial"/>
                  <w:sz w:val="18"/>
                  <w:szCs w:val="18"/>
                  <w:color w:val="0000FF"/>
                  <w:w w:val="91"/>
                </w:rPr>
                <w:t>Named Executive Officer Compensation</w:t>
              </w:r>
            </w:hyperlink>
          </w:p>
        </w:tc>
        <w:tc>
          <w:tcPr>
            <w:tcW w:w="1260" w:type="dxa"/>
            <w:vAlign w:val="bottom"/>
            <w:gridSpan w:val="16"/>
          </w:tcPr>
          <w:p>
            <w:pPr>
              <w:spacing w:after="0"/>
              <w:rPr>
                <w:sz w:val="24"/>
                <w:szCs w:val="24"/>
                <w:color w:val="auto"/>
              </w:rPr>
            </w:pP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40" w:type="dxa"/>
            <w:vAlign w:val="bottom"/>
          </w:tcPr>
          <w:p>
            <w:pPr>
              <w:ind w:left="600"/>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4"/>
                <w:szCs w:val="24"/>
                <w:color w:val="auto"/>
              </w:rPr>
            </w:pPr>
          </w:p>
        </w:tc>
        <w:tc>
          <w:tcPr>
            <w:tcW w:w="4840" w:type="dxa"/>
            <w:vAlign w:val="bottom"/>
            <w:tcBorders>
              <w:bottom w:val="single" w:sz="8" w:color="0000FF"/>
            </w:tcBorders>
            <w:gridSpan w:val="21"/>
          </w:tcPr>
          <w:p>
            <w:pPr>
              <w:spacing w:after="0"/>
              <w:rPr>
                <w:rFonts w:ascii="Arial" w:cs="Arial" w:eastAsia="Arial" w:hAnsi="Arial"/>
                <w:sz w:val="18"/>
                <w:szCs w:val="18"/>
                <w:color w:val="0000FF"/>
                <w:w w:val="91"/>
              </w:rPr>
            </w:pPr>
            <w:hyperlink r:id="rId122">
              <w:r>
                <w:rPr>
                  <w:rFonts w:ascii="Arial" w:cs="Arial" w:eastAsia="Arial" w:hAnsi="Arial"/>
                  <w:sz w:val="18"/>
                  <w:szCs w:val="18"/>
                  <w:color w:val="0000FF"/>
                  <w:w w:val="91"/>
                </w:rPr>
                <w:t>Marvell Technology Group Ltd. Change in Control Severance Plan</w:t>
              </w:r>
            </w:hyperlink>
          </w:p>
        </w:tc>
        <w:tc>
          <w:tcPr>
            <w:tcW w:w="240" w:type="dxa"/>
            <w:vAlign w:val="bottom"/>
            <w:gridSpan w:val="8"/>
          </w:tcPr>
          <w:p>
            <w:pPr>
              <w:spacing w:after="0"/>
              <w:rPr>
                <w:sz w:val="24"/>
                <w:szCs w:val="24"/>
                <w:color w:val="auto"/>
              </w:rPr>
            </w:pP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vMerge w:val="restart"/>
          </w:tcPr>
          <w:p>
            <w:pPr>
              <w:spacing w:after="0"/>
              <w:rPr>
                <w:sz w:val="20"/>
                <w:szCs w:val="20"/>
                <w:color w:val="auto"/>
              </w:rPr>
            </w:pPr>
            <w:r>
              <w:rPr>
                <w:rFonts w:ascii="Arial" w:cs="Arial" w:eastAsia="Arial" w:hAnsi="Arial"/>
                <w:sz w:val="18"/>
                <w:szCs w:val="18"/>
                <w:color w:val="auto"/>
              </w:rPr>
              <w:t>10.21#</w:t>
            </w:r>
          </w:p>
        </w:tc>
        <w:tc>
          <w:tcPr>
            <w:tcW w:w="5080" w:type="dxa"/>
            <w:vAlign w:val="bottom"/>
            <w:gridSpan w:val="29"/>
          </w:tcPr>
          <w:p>
            <w:pPr>
              <w:spacing w:after="0" w:line="156" w:lineRule="exact"/>
              <w:rPr>
                <w:rFonts w:ascii="Arial" w:cs="Arial" w:eastAsia="Arial" w:hAnsi="Arial"/>
                <w:sz w:val="18"/>
                <w:szCs w:val="18"/>
                <w:color w:val="0000FF"/>
                <w:w w:val="90"/>
              </w:rPr>
            </w:pPr>
            <w:hyperlink r:id="rId122">
              <w:r>
                <w:rPr>
                  <w:rFonts w:ascii="Arial" w:cs="Arial" w:eastAsia="Arial" w:hAnsi="Arial"/>
                  <w:sz w:val="18"/>
                  <w:szCs w:val="18"/>
                  <w:color w:val="0000FF"/>
                  <w:w w:val="90"/>
                </w:rPr>
                <w:t>and Summary Plan Description effective June 2016 and updated June</w:t>
              </w:r>
            </w:hyperlink>
          </w:p>
        </w:tc>
        <w:tc>
          <w:tcPr>
            <w:tcW w:w="720" w:type="dxa"/>
            <w:vAlign w:val="bottom"/>
            <w:vMerge w:val="restart"/>
          </w:tcPr>
          <w:p>
            <w:pPr>
              <w:ind w:left="12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640" w:type="dxa"/>
            <w:vAlign w:val="bottom"/>
            <w:vMerge w:val="restart"/>
          </w:tcPr>
          <w:p>
            <w:pPr>
              <w:jc w:val="center"/>
              <w:ind w:left="510"/>
              <w:spacing w:after="0"/>
              <w:rPr>
                <w:sz w:val="20"/>
                <w:szCs w:val="20"/>
                <w:color w:val="auto"/>
              </w:rPr>
            </w:pPr>
            <w:r>
              <w:rPr>
                <w:rFonts w:ascii="Arial" w:cs="Arial" w:eastAsia="Arial" w:hAnsi="Arial"/>
                <w:sz w:val="18"/>
                <w:szCs w:val="18"/>
                <w:color w:val="auto"/>
                <w:w w:val="89"/>
              </w:rPr>
              <w:t>8/28/2020</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4"/>
              </w:rPr>
            </w:pPr>
            <w:hyperlink r:id="rId122">
              <w:r>
                <w:rPr>
                  <w:rFonts w:ascii="Arial" w:cs="Arial" w:eastAsia="Arial" w:hAnsi="Arial"/>
                  <w:sz w:val="18"/>
                  <w:szCs w:val="18"/>
                  <w:color w:val="0000FF"/>
                  <w:w w:val="84"/>
                </w:rPr>
                <w:t>2020</w:t>
              </w:r>
            </w:hyperlink>
          </w:p>
        </w:tc>
        <w:tc>
          <w:tcPr>
            <w:tcW w:w="1320" w:type="dxa"/>
            <w:vAlign w:val="bottom"/>
            <w:tcBorders>
              <w:top w:val="single" w:sz="8" w:color="0000FF"/>
            </w:tcBorders>
          </w:tcPr>
          <w:p>
            <w:pPr>
              <w:spacing w:after="0"/>
              <w:rPr>
                <w:sz w:val="13"/>
                <w:szCs w:val="13"/>
                <w:color w:val="auto"/>
              </w:rPr>
            </w:pPr>
          </w:p>
        </w:tc>
        <w:tc>
          <w:tcPr>
            <w:tcW w:w="40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30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38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72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200" w:type="dxa"/>
            <w:vAlign w:val="bottom"/>
            <w:vMerge w:val="continue"/>
          </w:tcPr>
          <w:p>
            <w:pPr>
              <w:spacing w:after="0"/>
              <w:rPr>
                <w:sz w:val="13"/>
                <w:szCs w:val="13"/>
                <w:color w:val="auto"/>
              </w:rPr>
            </w:pPr>
          </w:p>
        </w:tc>
        <w:tc>
          <w:tcPr>
            <w:tcW w:w="16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10.22</w:t>
            </w:r>
          </w:p>
        </w:tc>
        <w:tc>
          <w:tcPr>
            <w:tcW w:w="5080" w:type="dxa"/>
            <w:vAlign w:val="bottom"/>
            <w:gridSpan w:val="29"/>
          </w:tcPr>
          <w:p>
            <w:pPr>
              <w:spacing w:after="0"/>
              <w:rPr>
                <w:rFonts w:ascii="Arial" w:cs="Arial" w:eastAsia="Arial" w:hAnsi="Arial"/>
                <w:sz w:val="18"/>
                <w:szCs w:val="18"/>
                <w:color w:val="0000FF"/>
                <w:w w:val="92"/>
              </w:rPr>
            </w:pPr>
            <w:hyperlink r:id="rId123">
              <w:r>
                <w:rPr>
                  <w:rFonts w:ascii="Arial" w:cs="Arial" w:eastAsia="Arial" w:hAnsi="Arial"/>
                  <w:sz w:val="18"/>
                  <w:szCs w:val="18"/>
                  <w:color w:val="0000FF"/>
                  <w:w w:val="92"/>
                </w:rPr>
                <w:t>Warrant to Purchase Common Shares of Marvell dated June 5, 2019</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99.1</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91"/>
              </w:rPr>
              <w:t>6/5/2019</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3680" w:type="dxa"/>
            <w:vAlign w:val="bottom"/>
            <w:tcBorders>
              <w:top w:val="single" w:sz="8" w:color="0000FF"/>
              <w:bottom w:val="single" w:sz="8" w:color="0000FF"/>
            </w:tcBorders>
            <w:gridSpan w:val="12"/>
          </w:tcPr>
          <w:p>
            <w:pPr>
              <w:spacing w:after="0"/>
              <w:rPr>
                <w:rFonts w:ascii="Arial" w:cs="Arial" w:eastAsia="Arial" w:hAnsi="Arial"/>
                <w:sz w:val="18"/>
                <w:szCs w:val="18"/>
                <w:color w:val="0000FF"/>
                <w:w w:val="93"/>
              </w:rPr>
            </w:pPr>
            <w:hyperlink r:id="rId124">
              <w:r>
                <w:rPr>
                  <w:rFonts w:ascii="Arial" w:cs="Arial" w:eastAsia="Arial" w:hAnsi="Arial"/>
                  <w:sz w:val="18"/>
                  <w:szCs w:val="18"/>
                  <w:color w:val="0000FF"/>
                  <w:w w:val="93"/>
                </w:rPr>
                <w:t>Offer Letter between Marvell and Mitchell Gaynor</w:t>
              </w:r>
            </w:hyperlink>
          </w:p>
        </w:tc>
        <w:tc>
          <w:tcPr>
            <w:tcW w:w="1220" w:type="dxa"/>
            <w:vAlign w:val="bottom"/>
            <w:tcBorders>
              <w:top w:val="single" w:sz="8" w:color="0000FF"/>
            </w:tcBorders>
            <w:gridSpan w:val="10"/>
          </w:tcPr>
          <w:p>
            <w:pPr>
              <w:spacing w:after="0"/>
              <w:rPr>
                <w:sz w:val="24"/>
                <w:szCs w:val="24"/>
                <w:color w:val="auto"/>
              </w:rPr>
            </w:pPr>
          </w:p>
        </w:tc>
        <w:tc>
          <w:tcPr>
            <w:tcW w:w="180" w:type="dxa"/>
            <w:vAlign w:val="bottom"/>
            <w:gridSpan w:val="7"/>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10.3</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10.24#</w:t>
            </w:r>
          </w:p>
        </w:tc>
        <w:tc>
          <w:tcPr>
            <w:tcW w:w="5080" w:type="dxa"/>
            <w:vAlign w:val="bottom"/>
            <w:gridSpan w:val="29"/>
          </w:tcPr>
          <w:p>
            <w:pPr>
              <w:spacing w:after="0"/>
              <w:rPr>
                <w:rFonts w:ascii="Arial" w:cs="Arial" w:eastAsia="Arial" w:hAnsi="Arial"/>
                <w:sz w:val="18"/>
                <w:szCs w:val="18"/>
                <w:color w:val="0000FF"/>
                <w:w w:val="95"/>
              </w:rPr>
            </w:pPr>
            <w:hyperlink r:id="rId125">
              <w:r>
                <w:rPr>
                  <w:rFonts w:ascii="Arial" w:cs="Arial" w:eastAsia="Arial" w:hAnsi="Arial"/>
                  <w:sz w:val="18"/>
                  <w:szCs w:val="18"/>
                  <w:color w:val="0000FF"/>
                  <w:w w:val="95"/>
                </w:rPr>
                <w:t>Severance Agreement between the Company and Mitchell Gaynor</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10.23</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3/28/2017</w:t>
            </w:r>
          </w:p>
        </w:tc>
        <w:tc>
          <w:tcPr>
            <w:tcW w:w="0" w:type="dxa"/>
            <w:vAlign w:val="bottom"/>
          </w:tcPr>
          <w:p>
            <w:pPr>
              <w:spacing w:after="0"/>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10.25#</w:t>
            </w:r>
          </w:p>
        </w:tc>
        <w:tc>
          <w:tcPr>
            <w:tcW w:w="3460" w:type="dxa"/>
            <w:vAlign w:val="bottom"/>
            <w:tcBorders>
              <w:top w:val="single" w:sz="8" w:color="0000FF"/>
              <w:bottom w:val="single" w:sz="8" w:color="0000FF"/>
            </w:tcBorders>
            <w:gridSpan w:val="10"/>
          </w:tcPr>
          <w:p>
            <w:pPr>
              <w:spacing w:after="0"/>
              <w:rPr>
                <w:rFonts w:ascii="Arial" w:cs="Arial" w:eastAsia="Arial" w:hAnsi="Arial"/>
                <w:sz w:val="18"/>
                <w:szCs w:val="18"/>
                <w:color w:val="0000FF"/>
                <w:w w:val="89"/>
              </w:rPr>
            </w:pPr>
            <w:hyperlink r:id="rId126">
              <w:r>
                <w:rPr>
                  <w:rFonts w:ascii="Arial" w:cs="Arial" w:eastAsia="Arial" w:hAnsi="Arial"/>
                  <w:sz w:val="18"/>
                  <w:szCs w:val="18"/>
                  <w:color w:val="0000FF"/>
                  <w:w w:val="89"/>
                </w:rPr>
                <w:t>Offer Letter between the Company and Jean Hu</w:t>
              </w:r>
            </w:hyperlink>
          </w:p>
        </w:tc>
        <w:tc>
          <w:tcPr>
            <w:tcW w:w="1320" w:type="dxa"/>
            <w:vAlign w:val="bottom"/>
            <w:tcBorders>
              <w:top w:val="single" w:sz="8" w:color="0000FF"/>
            </w:tcBorders>
            <w:gridSpan w:val="8"/>
          </w:tcPr>
          <w:p>
            <w:pPr>
              <w:spacing w:after="0"/>
              <w:rPr>
                <w:sz w:val="24"/>
                <w:szCs w:val="24"/>
                <w:color w:val="auto"/>
              </w:rPr>
            </w:pPr>
          </w:p>
        </w:tc>
        <w:tc>
          <w:tcPr>
            <w:tcW w:w="300" w:type="dxa"/>
            <w:vAlign w:val="bottom"/>
            <w:gridSpan w:val="11"/>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10.1</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8/23/2016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10.26#</w:t>
            </w:r>
          </w:p>
        </w:tc>
        <w:tc>
          <w:tcPr>
            <w:tcW w:w="5080" w:type="dxa"/>
            <w:vAlign w:val="bottom"/>
            <w:gridSpan w:val="29"/>
          </w:tcPr>
          <w:p>
            <w:pPr>
              <w:spacing w:after="0"/>
              <w:rPr>
                <w:rFonts w:ascii="Arial" w:cs="Arial" w:eastAsia="Arial" w:hAnsi="Arial"/>
                <w:sz w:val="18"/>
                <w:szCs w:val="18"/>
                <w:color w:val="0000FF"/>
              </w:rPr>
            </w:pPr>
            <w:hyperlink r:id="rId127">
              <w:r>
                <w:rPr>
                  <w:rFonts w:ascii="Arial" w:cs="Arial" w:eastAsia="Arial" w:hAnsi="Arial"/>
                  <w:sz w:val="18"/>
                  <w:szCs w:val="18"/>
                  <w:color w:val="0000FF"/>
                </w:rPr>
                <w:t>Offer Letter between Marvell and Raghib Hussain</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10.3</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9/12/2018</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20" w:type="dxa"/>
            <w:vAlign w:val="bottom"/>
            <w:gridSpan w:val="11"/>
            <w:shd w:val="clear" w:color="auto" w:fill="0000FF"/>
          </w:tcPr>
          <w:p>
            <w:pPr>
              <w:spacing w:after="0" w:line="20" w:lineRule="exact"/>
              <w:rPr>
                <w:sz w:val="1"/>
                <w:szCs w:val="1"/>
                <w:color w:val="auto"/>
              </w:rPr>
            </w:pPr>
          </w:p>
        </w:tc>
        <w:tc>
          <w:tcPr>
            <w:tcW w:w="880" w:type="dxa"/>
            <w:vAlign w:val="bottom"/>
            <w:gridSpan w:val="4"/>
          </w:tcPr>
          <w:p>
            <w:pPr>
              <w:spacing w:after="0" w:line="20" w:lineRule="exact"/>
              <w:rPr>
                <w:sz w:val="1"/>
                <w:szCs w:val="1"/>
                <w:color w:val="auto"/>
              </w:rPr>
            </w:pPr>
          </w:p>
        </w:tc>
        <w:tc>
          <w:tcPr>
            <w:tcW w:w="580" w:type="dxa"/>
            <w:vAlign w:val="bottom"/>
            <w:gridSpan w:val="14"/>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10.27#</w:t>
            </w:r>
          </w:p>
        </w:tc>
        <w:tc>
          <w:tcPr>
            <w:tcW w:w="5080" w:type="dxa"/>
            <w:vAlign w:val="bottom"/>
            <w:gridSpan w:val="29"/>
          </w:tcPr>
          <w:p>
            <w:pPr>
              <w:spacing w:after="0"/>
              <w:rPr>
                <w:rFonts w:ascii="Arial" w:cs="Arial" w:eastAsia="Arial" w:hAnsi="Arial"/>
                <w:sz w:val="18"/>
                <w:szCs w:val="18"/>
                <w:color w:val="0000FF"/>
              </w:rPr>
            </w:pPr>
            <w:hyperlink r:id="rId128">
              <w:r>
                <w:rPr>
                  <w:rFonts w:ascii="Arial" w:cs="Arial" w:eastAsia="Arial" w:hAnsi="Arial"/>
                  <w:sz w:val="18"/>
                  <w:szCs w:val="18"/>
                  <w:color w:val="0000FF"/>
                </w:rPr>
                <w:t>Offer Letter for Dean Jarnac and promotion summary of terms</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180"/>
              <w:spacing w:after="0"/>
              <w:rPr>
                <w:sz w:val="20"/>
                <w:szCs w:val="20"/>
                <w:color w:val="auto"/>
              </w:rPr>
            </w:pPr>
            <w:r>
              <w:rPr>
                <w:rFonts w:ascii="Arial" w:cs="Arial" w:eastAsia="Arial" w:hAnsi="Arial"/>
                <w:sz w:val="18"/>
                <w:szCs w:val="18"/>
                <w:color w:val="auto"/>
              </w:rPr>
              <w:t>10.9</w:t>
            </w:r>
          </w:p>
        </w:tc>
        <w:tc>
          <w:tcPr>
            <w:tcW w:w="1640" w:type="dxa"/>
            <w:vAlign w:val="bottom"/>
          </w:tcPr>
          <w:p>
            <w:pPr>
              <w:jc w:val="center"/>
              <w:ind w:left="51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32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040"/>
          </w:cols>
          <w:pgMar w:left="320" w:top="130" w:right="539" w:bottom="1440" w:gutter="0" w:footer="0" w:header="0"/>
        </w:sectPr>
      </w:pPr>
    </w:p>
    <w:bookmarkStart w:id="67" w:name="page68"/>
    <w:bookmarkEnd w:id="67"/>
    <w:p>
      <w:pPr>
        <w:spacing w:after="0"/>
        <w:rPr>
          <w:rFonts w:ascii="Arial" w:cs="Arial" w:eastAsia="Arial" w:hAnsi="Arial"/>
          <w:sz w:val="14"/>
          <w:szCs w:val="14"/>
          <w:u w:val="single" w:color="auto"/>
          <w:color w:val="0000FF"/>
        </w:rPr>
      </w:pPr>
      <w:hyperlink w:anchor="page1">
        <w:r>
          <w:rPr>
            <w:rFonts w:ascii="Arial" w:cs="Arial" w:eastAsia="Arial" w:hAnsi="Arial"/>
            <w:sz w:val="14"/>
            <w:szCs w:val="14"/>
            <w:u w:val="single" w:color="auto"/>
            <w:color w:val="0000FF"/>
          </w:rPr>
          <w:t>Table of Contents</w:t>
        </w:r>
      </w:hyperlink>
    </w:p>
    <w:p>
      <w:pPr>
        <w:sectPr>
          <w:pgSz w:w="11900" w:h="16838" w:orient="portrait"/>
          <w:cols w:equalWidth="0" w:num="1">
            <w:col w:w="11040"/>
          </w:cols>
          <w:pgMar w:left="320" w:top="130" w:right="5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10.28#</w:t>
            </w:r>
          </w:p>
        </w:tc>
        <w:tc>
          <w:tcPr>
            <w:tcW w:w="5100" w:type="dxa"/>
            <w:vAlign w:val="bottom"/>
            <w:gridSpan w:val="14"/>
          </w:tcPr>
          <w:p>
            <w:pPr>
              <w:spacing w:after="0"/>
              <w:rPr>
                <w:rFonts w:ascii="Arial" w:cs="Arial" w:eastAsia="Arial" w:hAnsi="Arial"/>
                <w:sz w:val="18"/>
                <w:szCs w:val="18"/>
                <w:color w:val="0000FF"/>
              </w:rPr>
            </w:pPr>
            <w:hyperlink r:id="rId130">
              <w:r>
                <w:rPr>
                  <w:rFonts w:ascii="Arial" w:cs="Arial" w:eastAsia="Arial" w:hAnsi="Arial"/>
                  <w:sz w:val="18"/>
                  <w:szCs w:val="18"/>
                  <w:color w:val="0000FF"/>
                </w:rPr>
                <w:t>Innovium, Inc. Amended 2015 Stock Option and Grant Plan</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S-8</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333-260060</w:t>
            </w:r>
          </w:p>
        </w:tc>
        <w:tc>
          <w:tcPr>
            <w:tcW w:w="40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169"/>
        </w:trPr>
        <w:tc>
          <w:tcPr>
            <w:tcW w:w="1120" w:type="dxa"/>
            <w:vAlign w:val="bottom"/>
          </w:tcPr>
          <w:p>
            <w:pPr>
              <w:spacing w:after="0"/>
              <w:rPr>
                <w:sz w:val="14"/>
                <w:szCs w:val="14"/>
                <w:color w:val="auto"/>
              </w:rPr>
            </w:pPr>
          </w:p>
        </w:tc>
        <w:tc>
          <w:tcPr>
            <w:tcW w:w="3540" w:type="dxa"/>
            <w:vAlign w:val="bottom"/>
            <w:tcBorders>
              <w:top w:val="single" w:sz="8" w:color="0000FF"/>
              <w:bottom w:val="single" w:sz="8" w:color="0000FF"/>
            </w:tcBorders>
            <w:gridSpan w:val="4"/>
          </w:tcPr>
          <w:p>
            <w:pPr>
              <w:spacing w:after="0" w:line="169" w:lineRule="exact"/>
              <w:rPr>
                <w:rFonts w:ascii="Arial" w:cs="Arial" w:eastAsia="Arial" w:hAnsi="Arial"/>
                <w:sz w:val="18"/>
                <w:szCs w:val="18"/>
                <w:color w:val="0000FF"/>
                <w:w w:val="90"/>
              </w:rPr>
            </w:pPr>
            <w:hyperlink r:id="rId130">
              <w:r>
                <w:rPr>
                  <w:rFonts w:ascii="Arial" w:cs="Arial" w:eastAsia="Arial" w:hAnsi="Arial"/>
                  <w:sz w:val="18"/>
                  <w:szCs w:val="18"/>
                  <w:color w:val="0000FF"/>
                  <w:w w:val="90"/>
                </w:rPr>
                <w:t>(including forms of grant notice and agreements)</w:t>
              </w:r>
            </w:hyperlink>
          </w:p>
        </w:tc>
        <w:tc>
          <w:tcPr>
            <w:tcW w:w="800" w:type="dxa"/>
            <w:vAlign w:val="bottom"/>
            <w:tcBorders>
              <w:top w:val="single" w:sz="8" w:color="0000FF"/>
            </w:tcBorders>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0" w:type="dxa"/>
            <w:vAlign w:val="bottom"/>
          </w:tcPr>
          <w:p>
            <w:pPr>
              <w:spacing w:after="0"/>
              <w:rPr>
                <w:sz w:val="14"/>
                <w:szCs w:val="14"/>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10.29</w:t>
            </w:r>
          </w:p>
        </w:tc>
        <w:tc>
          <w:tcPr>
            <w:tcW w:w="5100" w:type="dxa"/>
            <w:vAlign w:val="bottom"/>
            <w:gridSpan w:val="14"/>
          </w:tcPr>
          <w:p>
            <w:pPr>
              <w:spacing w:after="0"/>
              <w:rPr>
                <w:rFonts w:ascii="Arial" w:cs="Arial" w:eastAsia="Arial" w:hAnsi="Arial"/>
                <w:sz w:val="18"/>
                <w:szCs w:val="18"/>
                <w:color w:val="0000FF"/>
                <w:w w:val="99"/>
              </w:rPr>
            </w:pPr>
            <w:hyperlink r:id="rId131">
              <w:r>
                <w:rPr>
                  <w:rFonts w:ascii="Arial" w:cs="Arial" w:eastAsia="Arial" w:hAnsi="Arial"/>
                  <w:sz w:val="18"/>
                  <w:szCs w:val="18"/>
                  <w:color w:val="0000FF"/>
                  <w:w w:val="99"/>
                </w:rPr>
                <w:t>Registration Rights Agreement, dated as of May 4, 2021, by and</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333-260832</w:t>
            </w:r>
          </w:p>
        </w:tc>
        <w:tc>
          <w:tcPr>
            <w:tcW w:w="40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w w:val="96"/>
              </w:rPr>
            </w:pPr>
            <w:hyperlink r:id="rId131">
              <w:r>
                <w:rPr>
                  <w:rFonts w:ascii="Arial" w:cs="Arial" w:eastAsia="Arial" w:hAnsi="Arial"/>
                  <w:sz w:val="18"/>
                  <w:szCs w:val="18"/>
                  <w:color w:val="0000FF"/>
                  <w:w w:val="96"/>
                </w:rPr>
                <w:t>between Marvell Technology, Inc. and J.P. Morgan Securities LLC</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4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10.30</w:t>
            </w:r>
          </w:p>
        </w:tc>
        <w:tc>
          <w:tcPr>
            <w:tcW w:w="5100" w:type="dxa"/>
            <w:vAlign w:val="bottom"/>
            <w:gridSpan w:val="14"/>
          </w:tcPr>
          <w:p>
            <w:pPr>
              <w:spacing w:after="0"/>
              <w:rPr>
                <w:rFonts w:ascii="Arial" w:cs="Arial" w:eastAsia="Arial" w:hAnsi="Arial"/>
                <w:sz w:val="18"/>
                <w:szCs w:val="18"/>
                <w:color w:val="0000FF"/>
                <w:w w:val="93"/>
              </w:rPr>
            </w:pPr>
            <w:hyperlink r:id="rId132">
              <w:r>
                <w:rPr>
                  <w:rFonts w:ascii="Arial" w:cs="Arial" w:eastAsia="Arial" w:hAnsi="Arial"/>
                  <w:sz w:val="18"/>
                  <w:szCs w:val="18"/>
                  <w:color w:val="0000FF"/>
                  <w:w w:val="93"/>
                </w:rPr>
                <w:t xml:space="preserve">The description of the Registrant’s Common Stock, par value </w:t>
              </w:r>
              <w:r>
                <w:rPr>
                  <w:rFonts w:ascii="Arial" w:cs="Arial" w:eastAsia="Arial" w:hAnsi="Arial"/>
                  <w:sz w:val="18"/>
                  <w:szCs w:val="18"/>
                  <w:u w:val="single" w:color="auto"/>
                  <w:color w:val="0000FF"/>
                  <w:w w:val="93"/>
                </w:rPr>
                <w:t>$</w:t>
              </w:r>
              <w:r>
                <w:rPr>
                  <w:rFonts w:ascii="Arial" w:cs="Arial" w:eastAsia="Arial" w:hAnsi="Arial"/>
                  <w:sz w:val="18"/>
                  <w:szCs w:val="18"/>
                  <w:color w:val="0000FF"/>
                  <w:w w:val="93"/>
                </w:rPr>
                <w:t>0.002</w:t>
              </w:r>
            </w:hyperlink>
          </w:p>
        </w:tc>
        <w:tc>
          <w:tcPr>
            <w:tcW w:w="640" w:type="dxa"/>
            <w:vAlign w:val="bottom"/>
          </w:tcPr>
          <w:p>
            <w:pPr>
              <w:ind w:left="100"/>
              <w:spacing w:after="0"/>
              <w:rPr>
                <w:sz w:val="20"/>
                <w:szCs w:val="20"/>
                <w:color w:val="auto"/>
              </w:rPr>
            </w:pPr>
            <w:r>
              <w:rPr>
                <w:rFonts w:ascii="Arial" w:cs="Arial" w:eastAsia="Arial" w:hAnsi="Arial"/>
                <w:sz w:val="18"/>
                <w:szCs w:val="18"/>
                <w:color w:val="auto"/>
              </w:rPr>
              <w:t>S-4</w:t>
            </w:r>
          </w:p>
        </w:tc>
        <w:tc>
          <w:tcPr>
            <w:tcW w:w="1320" w:type="dxa"/>
            <w:vAlign w:val="bottom"/>
          </w:tcPr>
          <w:p>
            <w:pPr>
              <w:jc w:val="right"/>
              <w:ind w:right="70"/>
              <w:spacing w:after="0"/>
              <w:rPr>
                <w:sz w:val="20"/>
                <w:szCs w:val="20"/>
                <w:color w:val="auto"/>
              </w:rPr>
            </w:pPr>
            <w:r>
              <w:rPr>
                <w:rFonts w:ascii="Arial" w:cs="Arial" w:eastAsia="Arial" w:hAnsi="Arial"/>
                <w:sz w:val="18"/>
                <w:szCs w:val="18"/>
                <w:color w:val="auto"/>
              </w:rPr>
              <w:t>333-251606</w:t>
            </w: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89"/>
              </w:rPr>
            </w:pPr>
            <w:hyperlink r:id="rId132">
              <w:r>
                <w:rPr>
                  <w:rFonts w:ascii="Arial" w:cs="Arial" w:eastAsia="Arial" w:hAnsi="Arial"/>
                  <w:sz w:val="18"/>
                  <w:szCs w:val="18"/>
                  <w:color w:val="0000FF"/>
                  <w:w w:val="89"/>
                </w:rPr>
                <w:t>per share, contained in the Registrant’s Registration Statement on</w:t>
              </w:r>
            </w:hyperlink>
          </w:p>
        </w:tc>
        <w:tc>
          <w:tcPr>
            <w:tcW w:w="240" w:type="dxa"/>
            <w:vAlign w:val="bottom"/>
            <w:tcBorders>
              <w:top w:val="single" w:sz="8" w:color="0000FF"/>
            </w:tcBorders>
            <w:gridSpan w:val="2"/>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w w:val="94"/>
              </w:rPr>
            </w:pPr>
            <w:hyperlink r:id="rId132">
              <w:r>
                <w:rPr>
                  <w:rFonts w:ascii="Arial" w:cs="Arial" w:eastAsia="Arial" w:hAnsi="Arial"/>
                  <w:sz w:val="18"/>
                  <w:szCs w:val="18"/>
                  <w:color w:val="0000FF"/>
                  <w:w w:val="94"/>
                </w:rPr>
                <w:t>Form S-4 initially filed with the Commission on December 22, 2020,</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56"/>
        </w:trPr>
        <w:tc>
          <w:tcPr>
            <w:tcW w:w="1120" w:type="dxa"/>
            <w:vAlign w:val="bottom"/>
          </w:tcPr>
          <w:p>
            <w:pPr>
              <w:spacing w:after="0"/>
              <w:rPr>
                <w:sz w:val="13"/>
                <w:szCs w:val="13"/>
                <w:color w:val="auto"/>
              </w:rPr>
            </w:pPr>
          </w:p>
        </w:tc>
        <w:tc>
          <w:tcPr>
            <w:tcW w:w="4980" w:type="dxa"/>
            <w:vAlign w:val="bottom"/>
            <w:tcBorders>
              <w:top w:val="single" w:sz="8" w:color="0000FF"/>
            </w:tcBorders>
            <w:gridSpan w:val="13"/>
          </w:tcPr>
          <w:p>
            <w:pPr>
              <w:spacing w:after="0" w:line="156" w:lineRule="exact"/>
              <w:rPr>
                <w:rFonts w:ascii="Arial" w:cs="Arial" w:eastAsia="Arial" w:hAnsi="Arial"/>
                <w:sz w:val="18"/>
                <w:szCs w:val="18"/>
                <w:color w:val="0000FF"/>
              </w:rPr>
            </w:pPr>
            <w:hyperlink r:id="rId132">
              <w:r>
                <w:rPr>
                  <w:rFonts w:ascii="Arial" w:cs="Arial" w:eastAsia="Arial" w:hAnsi="Arial"/>
                  <w:sz w:val="18"/>
                  <w:szCs w:val="18"/>
                  <w:color w:val="0000FF"/>
                </w:rPr>
                <w:t>as amended;</w:t>
              </w:r>
            </w:hyperlink>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380" w:type="dxa"/>
            <w:vAlign w:val="bottom"/>
            <w:shd w:val="clear" w:color="auto" w:fill="0000FF"/>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80" w:type="dxa"/>
            <w:vAlign w:val="bottom"/>
            <w:gridSpan w:val="4"/>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31.1</w:t>
            </w:r>
          </w:p>
        </w:tc>
        <w:tc>
          <w:tcPr>
            <w:tcW w:w="5100" w:type="dxa"/>
            <w:vAlign w:val="bottom"/>
            <w:gridSpan w:val="14"/>
          </w:tcPr>
          <w:p>
            <w:pPr>
              <w:spacing w:after="0"/>
              <w:rPr>
                <w:rFonts w:ascii="Arial" w:cs="Arial" w:eastAsia="Arial" w:hAnsi="Arial"/>
                <w:sz w:val="18"/>
                <w:szCs w:val="18"/>
                <w:color w:val="0000FF"/>
                <w:w w:val="99"/>
              </w:rPr>
            </w:pPr>
            <w:hyperlink w:anchor="page80">
              <w:r>
                <w:rPr>
                  <w:rFonts w:ascii="Arial" w:cs="Arial" w:eastAsia="Arial" w:hAnsi="Arial"/>
                  <w:sz w:val="18"/>
                  <w:szCs w:val="18"/>
                  <w:color w:val="0000FF"/>
                  <w:w w:val="99"/>
                </w:rPr>
                <w:t>Rule 13a-14(a)/15d-14(a) Certification of the Principal Executive</w:t>
              </w:r>
            </w:hyperlink>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5"/>
        </w:trPr>
        <w:tc>
          <w:tcPr>
            <w:tcW w:w="1120" w:type="dxa"/>
            <w:vAlign w:val="bottom"/>
          </w:tcPr>
          <w:p>
            <w:pPr>
              <w:spacing w:after="0"/>
              <w:rPr>
                <w:sz w:val="13"/>
                <w:szCs w:val="13"/>
                <w:color w:val="auto"/>
              </w:rPr>
            </w:pPr>
          </w:p>
        </w:tc>
        <w:tc>
          <w:tcPr>
            <w:tcW w:w="4720" w:type="dxa"/>
            <w:vAlign w:val="bottom"/>
            <w:tcBorders>
              <w:top w:val="single" w:sz="8" w:color="0000FF"/>
            </w:tcBorders>
            <w:gridSpan w:val="10"/>
          </w:tcPr>
          <w:p>
            <w:pPr>
              <w:spacing w:after="0" w:line="156" w:lineRule="exact"/>
              <w:rPr>
                <w:rFonts w:ascii="Arial" w:cs="Arial" w:eastAsia="Arial" w:hAnsi="Arial"/>
                <w:sz w:val="18"/>
                <w:szCs w:val="18"/>
                <w:color w:val="0000FF"/>
              </w:rPr>
            </w:pPr>
            <w:hyperlink w:anchor="page80">
              <w:r>
                <w:rPr>
                  <w:rFonts w:ascii="Arial" w:cs="Arial" w:eastAsia="Arial" w:hAnsi="Arial"/>
                  <w:sz w:val="18"/>
                  <w:szCs w:val="18"/>
                  <w:color w:val="0000FF"/>
                </w:rPr>
                <w:t>Officer</w:t>
              </w:r>
            </w:hyperlink>
          </w:p>
        </w:tc>
        <w:tc>
          <w:tcPr>
            <w:tcW w:w="380" w:type="dxa"/>
            <w:vAlign w:val="bottom"/>
            <w:gridSpan w:val="4"/>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20" w:type="dxa"/>
            <w:vAlign w:val="bottom"/>
            <w:gridSpan w:val="5"/>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31.2</w:t>
            </w:r>
          </w:p>
        </w:tc>
        <w:tc>
          <w:tcPr>
            <w:tcW w:w="5100" w:type="dxa"/>
            <w:vAlign w:val="bottom"/>
            <w:gridSpan w:val="14"/>
          </w:tcPr>
          <w:p>
            <w:pPr>
              <w:spacing w:after="0"/>
              <w:rPr>
                <w:rFonts w:ascii="Arial" w:cs="Arial" w:eastAsia="Arial" w:hAnsi="Arial"/>
                <w:sz w:val="18"/>
                <w:szCs w:val="18"/>
                <w:color w:val="0000FF"/>
              </w:rPr>
            </w:pPr>
            <w:hyperlink w:anchor="page81">
              <w:r>
                <w:rPr>
                  <w:rFonts w:ascii="Arial" w:cs="Arial" w:eastAsia="Arial" w:hAnsi="Arial"/>
                  <w:sz w:val="18"/>
                  <w:szCs w:val="18"/>
                  <w:color w:val="0000FF"/>
                </w:rPr>
                <w:t>Rule 13a-14(a)/15d-14(a) Certification of the Principal Financial</w:t>
              </w:r>
            </w:hyperlink>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680" w:type="dxa"/>
            <w:vAlign w:val="bottom"/>
            <w:tcBorders>
              <w:top w:val="single" w:sz="8" w:color="0000FF"/>
            </w:tcBorders>
            <w:gridSpan w:val="9"/>
          </w:tcPr>
          <w:p>
            <w:pPr>
              <w:spacing w:after="0" w:line="156" w:lineRule="exact"/>
              <w:rPr>
                <w:rFonts w:ascii="Arial" w:cs="Arial" w:eastAsia="Arial" w:hAnsi="Arial"/>
                <w:sz w:val="18"/>
                <w:szCs w:val="18"/>
                <w:color w:val="0000FF"/>
              </w:rPr>
            </w:pPr>
            <w:hyperlink w:anchor="page81">
              <w:r>
                <w:rPr>
                  <w:rFonts w:ascii="Arial" w:cs="Arial" w:eastAsia="Arial" w:hAnsi="Arial"/>
                  <w:sz w:val="18"/>
                  <w:szCs w:val="18"/>
                  <w:color w:val="0000FF"/>
                </w:rPr>
                <w:t>Officer</w:t>
              </w:r>
            </w:hyperlink>
          </w:p>
        </w:tc>
        <w:tc>
          <w:tcPr>
            <w:tcW w:w="420" w:type="dxa"/>
            <w:vAlign w:val="bottom"/>
            <w:gridSpan w:val="5"/>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gridSpan w:val="2"/>
          </w:tcPr>
          <w:p>
            <w:pPr>
              <w:spacing w:after="0" w:line="20" w:lineRule="exact"/>
              <w:rPr>
                <w:sz w:val="1"/>
                <w:szCs w:val="1"/>
                <w:color w:val="auto"/>
              </w:rPr>
            </w:pPr>
          </w:p>
        </w:tc>
        <w:tc>
          <w:tcPr>
            <w:tcW w:w="244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7"/>
        </w:trPr>
        <w:tc>
          <w:tcPr>
            <w:tcW w:w="1120" w:type="dxa"/>
            <w:vAlign w:val="bottom"/>
          </w:tcPr>
          <w:p>
            <w:pPr>
              <w:spacing w:after="0"/>
              <w:rPr>
                <w:sz w:val="20"/>
                <w:szCs w:val="20"/>
                <w:color w:val="auto"/>
              </w:rPr>
            </w:pPr>
            <w:r>
              <w:rPr>
                <w:rFonts w:ascii="Arial" w:cs="Arial" w:eastAsia="Arial" w:hAnsi="Arial"/>
                <w:sz w:val="18"/>
                <w:szCs w:val="18"/>
                <w:color w:val="auto"/>
              </w:rPr>
              <w:t>32.1*</w:t>
            </w:r>
          </w:p>
        </w:tc>
        <w:tc>
          <w:tcPr>
            <w:tcW w:w="5100" w:type="dxa"/>
            <w:vAlign w:val="bottom"/>
            <w:gridSpan w:val="14"/>
          </w:tcPr>
          <w:p>
            <w:pPr>
              <w:spacing w:after="0"/>
              <w:rPr>
                <w:rFonts w:ascii="Arial" w:cs="Arial" w:eastAsia="Arial" w:hAnsi="Arial"/>
                <w:sz w:val="18"/>
                <w:szCs w:val="18"/>
                <w:color w:val="0000FF"/>
              </w:rPr>
            </w:pPr>
            <w:hyperlink w:anchor="page82">
              <w:r>
                <w:rPr>
                  <w:rFonts w:ascii="Arial" w:cs="Arial" w:eastAsia="Arial" w:hAnsi="Arial"/>
                  <w:sz w:val="18"/>
                  <w:szCs w:val="18"/>
                  <w:color w:val="0000FF"/>
                </w:rPr>
                <w:t>Certification Pursuant to 18 U.S.C. Section 1350, as Adopted</w:t>
              </w:r>
            </w:hyperlink>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gridSpan w:val="7"/>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rPr>
            </w:pPr>
            <w:hyperlink w:anchor="page82">
              <w:r>
                <w:rPr>
                  <w:rFonts w:ascii="Arial" w:cs="Arial" w:eastAsia="Arial" w:hAnsi="Arial"/>
                  <w:sz w:val="18"/>
                  <w:szCs w:val="18"/>
                  <w:color w:val="0000FF"/>
                </w:rPr>
                <w:t>Pursuant to Section 906 of the Sarbanes-Oxley Act of 2002 for</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56"/>
        </w:trPr>
        <w:tc>
          <w:tcPr>
            <w:tcW w:w="1120" w:type="dxa"/>
            <w:vAlign w:val="bottom"/>
          </w:tcPr>
          <w:p>
            <w:pPr>
              <w:spacing w:after="0"/>
              <w:rPr>
                <w:sz w:val="13"/>
                <w:szCs w:val="13"/>
                <w:color w:val="auto"/>
              </w:rPr>
            </w:pPr>
          </w:p>
        </w:tc>
        <w:tc>
          <w:tcPr>
            <w:tcW w:w="4540" w:type="dxa"/>
            <w:vAlign w:val="bottom"/>
            <w:tcBorders>
              <w:top w:val="single" w:sz="8" w:color="0000FF"/>
            </w:tcBorders>
            <w:gridSpan w:val="7"/>
          </w:tcPr>
          <w:p>
            <w:pPr>
              <w:spacing w:after="0" w:line="156" w:lineRule="exact"/>
              <w:rPr>
                <w:rFonts w:ascii="Arial" w:cs="Arial" w:eastAsia="Arial" w:hAnsi="Arial"/>
                <w:sz w:val="18"/>
                <w:szCs w:val="18"/>
                <w:color w:val="0000FF"/>
              </w:rPr>
            </w:pPr>
            <w:hyperlink w:anchor="page82">
              <w:r>
                <w:rPr>
                  <w:rFonts w:ascii="Arial" w:cs="Arial" w:eastAsia="Arial" w:hAnsi="Arial"/>
                  <w:sz w:val="18"/>
                  <w:szCs w:val="18"/>
                  <w:color w:val="0000FF"/>
                </w:rPr>
                <w:t>Principal Executive Officer</w:t>
              </w:r>
            </w:hyperlink>
          </w:p>
        </w:tc>
        <w:tc>
          <w:tcPr>
            <w:tcW w:w="560" w:type="dxa"/>
            <w:vAlign w:val="bottom"/>
            <w:gridSpan w:val="7"/>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3120" w:type="dxa"/>
            <w:vAlign w:val="bottom"/>
            <w:gridSpan w:val="11"/>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32.2*</w:t>
            </w:r>
          </w:p>
        </w:tc>
        <w:tc>
          <w:tcPr>
            <w:tcW w:w="5100" w:type="dxa"/>
            <w:vAlign w:val="bottom"/>
            <w:gridSpan w:val="14"/>
          </w:tcPr>
          <w:p>
            <w:pPr>
              <w:spacing w:after="0"/>
              <w:rPr>
                <w:rFonts w:ascii="Arial" w:cs="Arial" w:eastAsia="Arial" w:hAnsi="Arial"/>
                <w:sz w:val="18"/>
                <w:szCs w:val="18"/>
                <w:color w:val="0000FF"/>
              </w:rPr>
            </w:pPr>
            <w:hyperlink w:anchor="page83">
              <w:r>
                <w:rPr>
                  <w:rFonts w:ascii="Arial" w:cs="Arial" w:eastAsia="Arial" w:hAnsi="Arial"/>
                  <w:sz w:val="18"/>
                  <w:szCs w:val="18"/>
                  <w:color w:val="0000FF"/>
                </w:rPr>
                <w:t>Certification Pursuant to 18 U.S.C. Section 1350, as Adopted</w:t>
              </w:r>
            </w:hyperlink>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40" w:type="dxa"/>
            <w:vAlign w:val="bottom"/>
            <w:gridSpan w:val="3"/>
            <w:shd w:val="clear" w:color="auto" w:fill="0000FF"/>
          </w:tcPr>
          <w:p>
            <w:pPr>
              <w:spacing w:after="0" w:line="20" w:lineRule="exact"/>
              <w:rPr>
                <w:sz w:val="1"/>
                <w:szCs w:val="1"/>
                <w:color w:val="auto"/>
              </w:rPr>
            </w:pPr>
          </w:p>
        </w:tc>
        <w:tc>
          <w:tcPr>
            <w:tcW w:w="680" w:type="dxa"/>
            <w:vAlign w:val="bottom"/>
            <w:gridSpan w:val="8"/>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100" w:type="dxa"/>
            <w:vAlign w:val="bottom"/>
            <w:gridSpan w:val="14"/>
          </w:tcPr>
          <w:p>
            <w:pPr>
              <w:spacing w:after="0" w:line="156" w:lineRule="exact"/>
              <w:rPr>
                <w:rFonts w:ascii="Arial" w:cs="Arial" w:eastAsia="Arial" w:hAnsi="Arial"/>
                <w:sz w:val="18"/>
                <w:szCs w:val="18"/>
                <w:color w:val="0000FF"/>
              </w:rPr>
            </w:pPr>
            <w:hyperlink w:anchor="page83">
              <w:r>
                <w:rPr>
                  <w:rFonts w:ascii="Arial" w:cs="Arial" w:eastAsia="Arial" w:hAnsi="Arial"/>
                  <w:sz w:val="18"/>
                  <w:szCs w:val="18"/>
                  <w:color w:val="0000FF"/>
                </w:rPr>
                <w:t>Pursuant to Section 906 of the Sarbanes-Oxley Act of 2002 for</w:t>
              </w:r>
            </w:hyperlink>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155"/>
        </w:trPr>
        <w:tc>
          <w:tcPr>
            <w:tcW w:w="1120" w:type="dxa"/>
            <w:vAlign w:val="bottom"/>
          </w:tcPr>
          <w:p>
            <w:pPr>
              <w:spacing w:after="0"/>
              <w:rPr>
                <w:sz w:val="13"/>
                <w:szCs w:val="13"/>
                <w:color w:val="auto"/>
              </w:rPr>
            </w:pPr>
          </w:p>
        </w:tc>
        <w:tc>
          <w:tcPr>
            <w:tcW w:w="198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95"/>
              </w:rPr>
            </w:pPr>
            <w:hyperlink w:anchor="page83">
              <w:r>
                <w:rPr>
                  <w:rFonts w:ascii="Arial" w:cs="Arial" w:eastAsia="Arial" w:hAnsi="Arial"/>
                  <w:sz w:val="18"/>
                  <w:szCs w:val="18"/>
                  <w:color w:val="0000FF"/>
                  <w:w w:val="95"/>
                </w:rPr>
                <w:t>Principal Financial Officer</w:t>
              </w:r>
            </w:hyperlink>
          </w:p>
        </w:tc>
        <w:tc>
          <w:tcPr>
            <w:tcW w:w="2560" w:type="dxa"/>
            <w:vAlign w:val="bottom"/>
            <w:tcBorders>
              <w:top w:val="single" w:sz="8" w:color="0000FF"/>
            </w:tcBorders>
            <w:gridSpan w:val="4"/>
          </w:tcPr>
          <w:p>
            <w:pPr>
              <w:spacing w:after="0"/>
              <w:rPr>
                <w:sz w:val="13"/>
                <w:szCs w:val="13"/>
                <w:color w:val="auto"/>
              </w:rPr>
            </w:pPr>
          </w:p>
        </w:tc>
        <w:tc>
          <w:tcPr>
            <w:tcW w:w="560" w:type="dxa"/>
            <w:vAlign w:val="bottom"/>
            <w:gridSpan w:val="7"/>
          </w:tcPr>
          <w:p>
            <w:pPr>
              <w:spacing w:after="0"/>
              <w:rPr>
                <w:sz w:val="13"/>
                <w:szCs w:val="13"/>
                <w:color w:val="auto"/>
              </w:rPr>
            </w:pPr>
          </w:p>
        </w:tc>
        <w:tc>
          <w:tcPr>
            <w:tcW w:w="64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400" w:type="dxa"/>
            <w:vAlign w:val="bottom"/>
          </w:tcPr>
          <w:p>
            <w:pPr>
              <w:spacing w:after="0"/>
              <w:rPr>
                <w:sz w:val="13"/>
                <w:szCs w:val="13"/>
                <w:color w:val="auto"/>
              </w:rPr>
            </w:pPr>
          </w:p>
        </w:tc>
      </w:tr>
      <w:tr>
        <w:trPr>
          <w:trHeight w:val="358"/>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Instance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101.SCH</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Schema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101.CAL</w:t>
            </w:r>
          </w:p>
        </w:tc>
        <w:tc>
          <w:tcPr>
            <w:tcW w:w="5100" w:type="dxa"/>
            <w:vAlign w:val="bottom"/>
            <w:gridSpan w:val="14"/>
          </w:tcPr>
          <w:p>
            <w:pPr>
              <w:spacing w:after="0"/>
              <w:rPr>
                <w:sz w:val="20"/>
                <w:szCs w:val="20"/>
                <w:color w:val="auto"/>
              </w:rPr>
            </w:pPr>
            <w:r>
              <w:rPr>
                <w:rFonts w:ascii="Arial" w:cs="Arial" w:eastAsia="Arial" w:hAnsi="Arial"/>
                <w:sz w:val="18"/>
                <w:szCs w:val="18"/>
                <w:color w:val="auto"/>
                <w:w w:val="96"/>
              </w:rPr>
              <w:t>Inline XBRL Taxonomy Extension Calculation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101.DEF</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Definition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101.LAB</w:t>
            </w:r>
          </w:p>
        </w:tc>
        <w:tc>
          <w:tcPr>
            <w:tcW w:w="5100" w:type="dxa"/>
            <w:vAlign w:val="bottom"/>
            <w:gridSpan w:val="14"/>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101.PRE</w:t>
            </w:r>
          </w:p>
        </w:tc>
        <w:tc>
          <w:tcPr>
            <w:tcW w:w="5100" w:type="dxa"/>
            <w:vAlign w:val="bottom"/>
            <w:gridSpan w:val="14"/>
          </w:tcPr>
          <w:p>
            <w:pPr>
              <w:spacing w:after="0"/>
              <w:rPr>
                <w:sz w:val="20"/>
                <w:szCs w:val="20"/>
                <w:color w:val="auto"/>
              </w:rPr>
            </w:pPr>
            <w:r>
              <w:rPr>
                <w:rFonts w:ascii="Arial" w:cs="Arial" w:eastAsia="Arial" w:hAnsi="Arial"/>
                <w:sz w:val="18"/>
                <w:szCs w:val="18"/>
                <w:color w:val="auto"/>
                <w:w w:val="94"/>
              </w:rPr>
              <w:t>Inline XBRL Taxonomy Extension Presentation Linkbase Document</w:t>
            </w:r>
          </w:p>
        </w:tc>
        <w:tc>
          <w:tcPr>
            <w:tcW w:w="6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0" w:type="dxa"/>
            <w:vAlign w:val="bottom"/>
          </w:tcPr>
          <w:p>
            <w:pPr>
              <w:spacing w:after="0"/>
              <w:rPr>
                <w:sz w:val="24"/>
                <w:szCs w:val="24"/>
                <w:color w:val="auto"/>
              </w:rPr>
            </w:pPr>
          </w:p>
        </w:tc>
      </w:tr>
    </w:tbl>
    <w:p>
      <w:pPr>
        <w:spacing w:after="0" w:line="107" w:lineRule="exact"/>
        <w:rPr>
          <w:sz w:val="20"/>
          <w:szCs w:val="20"/>
          <w:color w:val="auto"/>
        </w:rPr>
      </w:pPr>
    </w:p>
    <w:p>
      <w:pPr>
        <w:ind w:left="1140" w:right="4120" w:hanging="1114"/>
        <w:spacing w:after="0" w:line="235" w:lineRule="auto"/>
        <w:tabs>
          <w:tab w:leader="none" w:pos="11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cover page for this Form 10-Q, formatted in Inline XBRL (included in Exhibit 101)</w:t>
      </w:r>
    </w:p>
    <w:p>
      <w:pPr>
        <w:spacing w:after="0" w:line="364" w:lineRule="exact"/>
        <w:rPr>
          <w:sz w:val="20"/>
          <w:szCs w:val="20"/>
          <w:color w:val="auto"/>
        </w:rPr>
      </w:pPr>
    </w:p>
    <w:p>
      <w:pPr>
        <w:ind w:left="600" w:right="100" w:hanging="574"/>
        <w:spacing w:after="0" w:line="235" w:lineRule="auto"/>
        <w:tabs>
          <w:tab w:leader="none" w:pos="6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jc w:val="both"/>
        <w:ind w:left="600" w:hanging="574"/>
        <w:spacing w:after="0" w:line="219" w:lineRule="auto"/>
        <w:tabs>
          <w:tab w:leader="none" w:pos="6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340" w:hanging="574"/>
        <w:spacing w:after="0" w:line="257" w:lineRule="auto"/>
        <w:tabs>
          <w:tab w:leader="none" w:pos="600" w:val="left"/>
        </w:tabs>
        <w:numPr>
          <w:ilvl w:val="0"/>
          <w:numId w:val="23"/>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10/5/2021</w:t>
      </w:r>
    </w:p>
    <w:p>
      <w:pPr>
        <w:spacing w:after="0" w:line="333"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11/5/2021</w:t>
      </w:r>
    </w:p>
    <w:p>
      <w:pPr>
        <w:spacing w:after="0" w:line="30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12/22/2020</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29"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29"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ectPr>
          <w:pgSz w:w="11900" w:h="16838" w:orient="portrait"/>
          <w:cols w:equalWidth="0" w:num="2">
            <w:col w:w="9740" w:space="260"/>
            <w:col w:w="1040"/>
          </w:cols>
          <w:pgMar w:left="320" w:top="130" w:right="539" w:bottom="1440" w:gutter="0" w:footer="0" w:header="0"/>
          <w:type w:val="continuous"/>
        </w:sectPr>
      </w:pPr>
    </w:p>
    <w:bookmarkStart w:id="68" w:name="page69"/>
    <w:bookmarkEnd w:id="68"/>
    <w:p>
      <w:pPr>
        <w:spacing w:after="0"/>
        <w:rPr>
          <w:rFonts w:ascii="Arial" w:cs="Arial" w:eastAsia="Arial" w:hAnsi="Arial"/>
          <w:sz w:val="16"/>
          <w:szCs w:val="16"/>
          <w:u w:val="single" w:color="auto"/>
          <w:color w:val="0000FF"/>
        </w:rPr>
      </w:pPr>
      <w:hyperlink w:anchor="page1">
        <w:r>
          <w:rPr>
            <w:rFonts w:ascii="Arial" w:cs="Arial" w:eastAsia="Arial" w:hAnsi="Arial"/>
            <w:sz w:val="16"/>
            <w:szCs w:val="16"/>
            <w:u w:val="single" w:color="auto"/>
            <w:color w:val="0000FF"/>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5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s>
        <w:rPr>
          <w:sz w:val="20"/>
          <w:szCs w:val="20"/>
          <w:color w:val="auto"/>
        </w:rPr>
      </w:pPr>
      <w:r>
        <w:rPr>
          <w:rFonts w:ascii="Arial" w:cs="Arial" w:eastAsia="Arial" w:hAnsi="Arial"/>
          <w:sz w:val="18"/>
          <w:szCs w:val="18"/>
          <w:color w:val="auto"/>
        </w:rPr>
        <w:t>Date: May 27,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14605</wp:posOffset>
            </wp:positionV>
            <wp:extent cx="256286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34">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2"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0680"/>
          </w:cols>
          <w:pgMar w:left="320" w:top="130" w:right="89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10.7.7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34290</wp:posOffset>
            </wp:positionV>
            <wp:extent cx="6789420" cy="120015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5">
                      <a:extLst>
                        <a:ext uri="{28A0092B-C50C-407E-A947-70E740481C1C}"/>
                      </a:extLst>
                    </a:blip>
                    <a:srcRect/>
                    <a:stretch>
                      <a:fillRect/>
                    </a:stretch>
                  </pic:blipFill>
                  <pic:spPr bwMode="auto">
                    <a:xfrm>
                      <a:off x="0" y="0"/>
                      <a:ext cx="6789420" cy="12001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Notice of Grant</w:t>
      </w:r>
    </w:p>
    <w:p>
      <w:pPr>
        <w:sectPr>
          <w:pgSz w:w="11900" w:h="16838" w:orient="portrait"/>
          <w:cols w:equalWidth="0" w:num="1">
            <w:col w:w="11240"/>
          </w:cols>
          <w:pgMar w:left="320" w:top="769" w:right="339" w:bottom="1440" w:gutter="0" w:footer="0" w:header="0"/>
        </w:sectPr>
      </w:pPr>
    </w:p>
    <w:p>
      <w:pPr>
        <w:spacing w:after="0" w:line="30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br w:type="column"/>
      </w:r>
    </w:p>
    <w:p>
      <w:pPr>
        <w:spacing w:after="0" w:line="263" w:lineRule="exact"/>
        <w:rPr>
          <w:sz w:val="20"/>
          <w:szCs w:val="20"/>
          <w:color w:val="auto"/>
        </w:rPr>
      </w:pPr>
    </w:p>
    <w:p>
      <w:pPr>
        <w:spacing w:after="0"/>
        <w:rPr>
          <w:sz w:val="20"/>
          <w:szCs w:val="20"/>
          <w:color w:val="auto"/>
        </w:rPr>
      </w:pPr>
      <w:r>
        <w:rPr>
          <w:rFonts w:ascii="Arial" w:cs="Arial" w:eastAsia="Arial" w:hAnsi="Arial"/>
          <w:sz w:val="17"/>
          <w:szCs w:val="17"/>
          <w:color w:val="auto"/>
        </w:rPr>
        <w:t>%%FIRST_NAME%-% %%MIDDLE_NAME%-%</w:t>
      </w:r>
    </w:p>
    <w:p>
      <w:pPr>
        <w:spacing w:after="0"/>
        <w:rPr>
          <w:sz w:val="20"/>
          <w:szCs w:val="20"/>
          <w:color w:val="auto"/>
        </w:rPr>
      </w:pPr>
      <w:r>
        <w:rPr>
          <w:rFonts w:ascii="Arial" w:cs="Arial" w:eastAsia="Arial" w:hAnsi="Arial"/>
          <w:sz w:val="18"/>
          <w:szCs w:val="18"/>
          <w:color w:val="auto"/>
        </w:rPr>
        <w:t>%%LAST_NAME%-%</w:t>
      </w:r>
    </w:p>
    <w:p>
      <w:pPr>
        <w:spacing w:after="0" w:line="1" w:lineRule="exact"/>
        <w:rPr>
          <w:sz w:val="20"/>
          <w:szCs w:val="20"/>
          <w:color w:val="auto"/>
        </w:rPr>
      </w:pPr>
    </w:p>
    <w:p>
      <w:pPr>
        <w:sectPr>
          <w:pgSz w:w="11900" w:h="16838" w:orient="portrait"/>
          <w:cols w:equalWidth="0" w:num="2">
            <w:col w:w="3060" w:space="720"/>
            <w:col w:w="7460"/>
          </w:cols>
          <w:pgMar w:left="320" w:top="769" w:right="339" w:bottom="1440" w:gutter="0" w:footer="0" w:header="0"/>
          <w:type w:val="continuous"/>
        </w:sectPr>
      </w:pPr>
    </w:p>
    <w:p>
      <w:pPr>
        <w:ind w:left="3780"/>
        <w:spacing w:after="0" w:line="201" w:lineRule="auto"/>
        <w:rPr>
          <w:sz w:val="20"/>
          <w:szCs w:val="20"/>
          <w:color w:val="auto"/>
        </w:rPr>
      </w:pPr>
      <w:r>
        <w:rPr>
          <w:rFonts w:ascii="Arial" w:cs="Arial" w:eastAsia="Arial" w:hAnsi="Arial"/>
          <w:sz w:val="16"/>
          <w:szCs w:val="16"/>
          <w:color w:val="auto"/>
        </w:rPr>
        <w:t>%%ADDRESS_LINE_1%-%</w:t>
      </w:r>
    </w:p>
    <w:p>
      <w:pPr>
        <w:ind w:left="3780"/>
        <w:spacing w:after="0" w:line="197" w:lineRule="auto"/>
        <w:rPr>
          <w:sz w:val="20"/>
          <w:szCs w:val="20"/>
          <w:color w:val="auto"/>
        </w:rPr>
      </w:pPr>
      <w:r>
        <w:rPr>
          <w:rFonts w:ascii="Arial" w:cs="Arial" w:eastAsia="Arial" w:hAnsi="Arial"/>
          <w:sz w:val="20"/>
          <w:szCs w:val="20"/>
          <w:color w:val="auto"/>
        </w:rPr>
        <w:t>%%ADDRESS_LINE_2%-%</w:t>
      </w:r>
    </w:p>
    <w:p>
      <w:pPr>
        <w:spacing w:after="0" w:line="1" w:lineRule="exact"/>
        <w:rPr>
          <w:sz w:val="20"/>
          <w:szCs w:val="20"/>
          <w:color w:val="auto"/>
        </w:rPr>
      </w:pPr>
    </w:p>
    <w:p>
      <w:pPr>
        <w:ind w:left="3780"/>
        <w:spacing w:after="0"/>
        <w:rPr>
          <w:sz w:val="20"/>
          <w:szCs w:val="20"/>
          <w:color w:val="auto"/>
        </w:rPr>
      </w:pPr>
      <w:r>
        <w:rPr>
          <w:rFonts w:ascii="Arial" w:cs="Arial" w:eastAsia="Arial" w:hAnsi="Arial"/>
          <w:sz w:val="19"/>
          <w:szCs w:val="19"/>
          <w:color w:val="auto"/>
        </w:rPr>
        <w:t>%%CITY%-%, %%STATE%-% %%ZIPCODE%-%</w:t>
      </w:r>
    </w:p>
    <w:p>
      <w:pPr>
        <w:sectPr>
          <w:pgSz w:w="11900" w:h="16838" w:orient="portrait"/>
          <w:cols w:equalWidth="0" w:num="1">
            <w:col w:w="11240"/>
          </w:cols>
          <w:pgMar w:left="320" w:top="769" w:right="339" w:bottom="1440" w:gutter="0" w:footer="0" w:header="0"/>
          <w:type w:val="continuous"/>
        </w:sectPr>
      </w:pPr>
    </w:p>
    <w:p>
      <w:pPr>
        <w:spacing w:after="0" w:line="2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ID:</w:t>
      </w:r>
    </w:p>
    <w:p>
      <w:pPr>
        <w:spacing w:after="0" w:line="2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Grant Date:</w:t>
      </w:r>
    </w:p>
    <w:p>
      <w:pPr>
        <w:spacing w:after="0" w:line="2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Grant Number:</w:t>
      </w:r>
    </w:p>
    <w:p>
      <w:pPr>
        <w:spacing w:after="0" w:line="20" w:lineRule="exact"/>
        <w:rPr>
          <w:sz w:val="20"/>
          <w:szCs w:val="20"/>
          <w:color w:val="auto"/>
        </w:rPr>
      </w:pPr>
      <w:r>
        <w:rPr>
          <w:sz w:val="20"/>
          <w:szCs w:val="20"/>
          <w:color w:val="auto"/>
        </w:rPr>
        <w:br w:type="column"/>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%%EMPLOYEE_IDENTIFIER%-%</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%%OPTION_DATE,’Month DD, YYYY’%-%</w:t>
      </w:r>
    </w:p>
    <w:p>
      <w:pPr>
        <w:spacing w:after="0" w:line="34" w:lineRule="exact"/>
        <w:rPr>
          <w:sz w:val="20"/>
          <w:szCs w:val="20"/>
          <w:color w:val="auto"/>
        </w:rPr>
      </w:pPr>
    </w:p>
    <w:p>
      <w:pPr>
        <w:spacing w:after="0"/>
        <w:rPr>
          <w:sz w:val="20"/>
          <w:szCs w:val="20"/>
          <w:color w:val="auto"/>
        </w:rPr>
      </w:pPr>
      <w:r>
        <w:rPr>
          <w:rFonts w:ascii="Arial" w:cs="Arial" w:eastAsia="Arial" w:hAnsi="Arial"/>
          <w:sz w:val="18"/>
          <w:szCs w:val="18"/>
          <w:color w:val="auto"/>
        </w:rPr>
        <w:t>%%OPTION_NUMBER%-%</w:t>
      </w:r>
    </w:p>
    <w:p>
      <w:pPr>
        <w:spacing w:after="0" w:line="20" w:lineRule="exact"/>
        <w:rPr>
          <w:sz w:val="20"/>
          <w:szCs w:val="20"/>
          <w:color w:val="auto"/>
        </w:rPr>
      </w:pPr>
    </w:p>
    <w:p>
      <w:pPr>
        <w:sectPr>
          <w:pgSz w:w="11900" w:h="16838" w:orient="portrait"/>
          <w:cols w:equalWidth="0" w:num="2">
            <w:col w:w="3060" w:space="720"/>
            <w:col w:w="7460"/>
          </w:cols>
          <w:pgMar w:left="320" w:top="769" w:right="339" w:bottom="1440" w:gutter="0" w:footer="0" w:header="0"/>
          <w:type w:val="continuous"/>
        </w:sectPr>
      </w:pPr>
    </w:p>
    <w:p>
      <w:pPr>
        <w:spacing w:after="0" w:line="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Plan: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%%EQUITY_PLAN%-%</w:t>
      </w:r>
    </w:p>
    <w:p>
      <w:pPr>
        <w:spacing w:after="0" w:line="200" w:lineRule="exact"/>
        <w:rPr>
          <w:sz w:val="20"/>
          <w:szCs w:val="20"/>
          <w:color w:val="auto"/>
        </w:rPr>
      </w:pPr>
    </w:p>
    <w:p>
      <w:pPr>
        <w:sectPr>
          <w:pgSz w:w="11900" w:h="16838" w:orient="portrait"/>
          <w:cols w:equalWidth="0" w:num="2">
            <w:col w:w="3060" w:space="720"/>
            <w:col w:w="7460"/>
          </w:cols>
          <w:pgMar w:left="320" w:top="769" w:right="339" w:bottom="1440" w:gutter="0" w:footer="0" w:header="0"/>
          <w:type w:val="continuous"/>
        </w:sectPr>
      </w:pPr>
    </w:p>
    <w:p>
      <w:pPr>
        <w:spacing w:after="0" w:line="102" w:lineRule="exact"/>
        <w:rPr>
          <w:sz w:val="20"/>
          <w:szCs w:val="20"/>
          <w:color w:val="auto"/>
        </w:rPr>
      </w:pPr>
    </w:p>
    <w:p>
      <w:pPr>
        <w:ind w:right="480"/>
        <w:spacing w:after="0"/>
        <w:rPr>
          <w:sz w:val="20"/>
          <w:szCs w:val="20"/>
          <w:color w:val="auto"/>
        </w:rPr>
      </w:pPr>
      <w:r>
        <w:rPr>
          <w:rFonts w:ascii="Arial" w:cs="Arial" w:eastAsia="Arial" w:hAnsi="Arial"/>
          <w:sz w:val="18"/>
          <w:szCs w:val="18"/>
          <w:color w:val="auto"/>
        </w:rPr>
        <w:t xml:space="preserve">You have been granted a Performance Restricted Stock Unit (RSU) award for the number of shares in the range set forth on </w:t>
      </w:r>
      <w:r>
        <w:rPr>
          <w:rFonts w:ascii="Arial" w:cs="Arial" w:eastAsia="Arial" w:hAnsi="Arial"/>
          <w:sz w:val="18"/>
          <w:szCs w:val="18"/>
          <w:b w:val="1"/>
          <w:bCs w:val="1"/>
          <w:u w:val="single" w:color="auto"/>
          <w:color w:val="auto"/>
        </w:rPr>
        <w:t>Exhibit A</w:t>
      </w:r>
      <w:r>
        <w:rPr>
          <w:rFonts w:ascii="Arial" w:cs="Arial" w:eastAsia="Arial" w:hAnsi="Arial"/>
          <w:sz w:val="18"/>
          <w:szCs w:val="18"/>
          <w:color w:val="auto"/>
        </w:rPr>
        <w:t xml:space="preserve">, subject to the performance metrics set forth on </w:t>
      </w:r>
      <w:r>
        <w:rPr>
          <w:rFonts w:ascii="Arial" w:cs="Arial" w:eastAsia="Arial" w:hAnsi="Arial"/>
          <w:sz w:val="18"/>
          <w:szCs w:val="18"/>
          <w:b w:val="1"/>
          <w:bCs w:val="1"/>
          <w:u w:val="single" w:color="auto"/>
          <w:color w:val="auto"/>
        </w:rPr>
        <w:t>Exhibit B</w:t>
      </w:r>
      <w:r>
        <w:rPr>
          <w:rFonts w:ascii="Arial" w:cs="Arial" w:eastAsia="Arial" w:hAnsi="Arial"/>
          <w:sz w:val="18"/>
          <w:szCs w:val="18"/>
          <w:color w:val="auto"/>
        </w:rPr>
        <w:t>.</w:t>
      </w:r>
    </w:p>
    <w:p>
      <w:pPr>
        <w:spacing w:after="0" w:line="202" w:lineRule="exact"/>
        <w:rPr>
          <w:sz w:val="20"/>
          <w:szCs w:val="20"/>
          <w:color w:val="auto"/>
        </w:rPr>
      </w:pPr>
    </w:p>
    <w:p>
      <w:pPr>
        <w:ind w:right="100"/>
        <w:spacing w:after="0" w:line="213" w:lineRule="auto"/>
        <w:rPr>
          <w:sz w:val="20"/>
          <w:szCs w:val="20"/>
          <w:color w:val="auto"/>
        </w:rPr>
      </w:pPr>
      <w:r>
        <w:rPr>
          <w:rFonts w:ascii="Arial" w:cs="Arial" w:eastAsia="Arial" w:hAnsi="Arial"/>
          <w:sz w:val="18"/>
          <w:szCs w:val="18"/>
          <w:color w:val="auto"/>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By signing this document, you hereby acknowledge receipt of a copy of the Grant Documents, and agree that:</w:t>
      </w:r>
    </w:p>
    <w:p>
      <w:pPr>
        <w:spacing w:after="0" w:line="212" w:lineRule="exact"/>
        <w:rPr>
          <w:sz w:val="20"/>
          <w:szCs w:val="20"/>
          <w:color w:val="auto"/>
        </w:rPr>
      </w:pPr>
    </w:p>
    <w:p>
      <w:pPr>
        <w:ind w:left="280" w:hanging="272"/>
        <w:spacing w:after="0"/>
        <w:tabs>
          <w:tab w:leader="none" w:pos="2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these Performance-based RSUs are granted under and governed by the terms and conditions of the Grant Documents;</w:t>
      </w:r>
    </w:p>
    <w:p>
      <w:pPr>
        <w:spacing w:after="0" w:line="211" w:lineRule="exact"/>
        <w:rPr>
          <w:rFonts w:ascii="Arial" w:cs="Arial" w:eastAsia="Arial" w:hAnsi="Arial"/>
          <w:sz w:val="18"/>
          <w:szCs w:val="18"/>
          <w:color w:val="auto"/>
        </w:rPr>
      </w:pPr>
    </w:p>
    <w:p>
      <w:pPr>
        <w:ind w:left="280" w:hanging="272"/>
        <w:spacing w:after="0"/>
        <w:tabs>
          <w:tab w:leader="none" w:pos="2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you have carefully read, fully understand and agree to all of the terms and conditions described in the Grant Documents;</w:t>
      </w:r>
    </w:p>
    <w:p>
      <w:pPr>
        <w:spacing w:after="0" w:line="211" w:lineRule="exact"/>
        <w:rPr>
          <w:rFonts w:ascii="Arial" w:cs="Arial" w:eastAsia="Arial" w:hAnsi="Arial"/>
          <w:sz w:val="18"/>
          <w:szCs w:val="18"/>
          <w:color w:val="auto"/>
        </w:rPr>
      </w:pPr>
    </w:p>
    <w:p>
      <w:pPr>
        <w:ind w:right="160" w:firstLine="8"/>
        <w:spacing w:after="0" w:line="219" w:lineRule="auto"/>
        <w:tabs>
          <w:tab w:leader="none" w:pos="2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you understand and agree that the Grant Documents constitute the entire understanding between you and the Company regarding this Performance-based RSU, and that any prior agreements, commitments or negotiations concerning this grant are replaced and superseded; and</w:t>
      </w:r>
    </w:p>
    <w:p>
      <w:pPr>
        <w:spacing w:after="0" w:line="202" w:lineRule="exact"/>
        <w:rPr>
          <w:rFonts w:ascii="Arial" w:cs="Arial" w:eastAsia="Arial" w:hAnsi="Arial"/>
          <w:sz w:val="18"/>
          <w:szCs w:val="18"/>
          <w:color w:val="auto"/>
        </w:rPr>
      </w:pPr>
    </w:p>
    <w:p>
      <w:pPr>
        <w:ind w:right="260" w:firstLine="8"/>
        <w:spacing w:after="0" w:line="227" w:lineRule="auto"/>
        <w:tabs>
          <w:tab w:leader="none" w:pos="270" w:val="left"/>
        </w:tabs>
        <w:numPr>
          <w:ilvl w:val="0"/>
          <w:numId w:val="24"/>
        </w:numPr>
        <w:rPr>
          <w:rFonts w:ascii="Arial" w:cs="Arial" w:eastAsia="Arial" w:hAnsi="Arial"/>
          <w:sz w:val="18"/>
          <w:szCs w:val="18"/>
          <w:color w:val="auto"/>
        </w:rPr>
      </w:pPr>
      <w:r>
        <w:rPr>
          <w:rFonts w:ascii="Arial" w:cs="Arial" w:eastAsia="Arial" w:hAnsi="Arial"/>
          <w:sz w:val="18"/>
          <w:szCs w:val="18"/>
          <w:color w:val="auto"/>
        </w:rPr>
        <w:t>you have been given an opportunity to consult legal counsel with respect to all matters relating to this Performance-based RSU prior to signing this Notice of Grant and that you have either consulted such counsel or voluntarily declined to consult such counsel.</w:t>
      </w:r>
    </w:p>
    <w:p>
      <w:pPr>
        <w:spacing w:after="0" w:line="202" w:lineRule="exact"/>
        <w:rPr>
          <w:sz w:val="20"/>
          <w:szCs w:val="20"/>
          <w:color w:val="auto"/>
        </w:rPr>
      </w:pPr>
    </w:p>
    <w:p>
      <w:pPr>
        <w:ind w:right="180"/>
        <w:spacing w:after="0" w:line="241" w:lineRule="auto"/>
        <w:rPr>
          <w:sz w:val="20"/>
          <w:szCs w:val="20"/>
          <w:color w:val="auto"/>
        </w:rPr>
      </w:pPr>
      <w:r>
        <w:rPr>
          <w:rFonts w:ascii="Arial" w:cs="Arial" w:eastAsia="Arial" w:hAnsi="Arial"/>
          <w:sz w:val="17"/>
          <w:szCs w:val="17"/>
          <w:color w:val="auto"/>
        </w:rPr>
        <w:t>The Stock Unit Agreement, the Appendix and the Plan are available on the Company’s website at https://intranet/stockselfservice or by request from the Company’s Stock Administration Department. You hereby agree that these documents are deemed to be delivered to you.</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000080"/>
        </w:rPr>
        <w:t>Regards,</w:t>
      </w:r>
    </w:p>
    <w:p>
      <w:pPr>
        <w:spacing w:after="0"/>
        <w:rPr>
          <w:sz w:val="20"/>
          <w:szCs w:val="20"/>
          <w:color w:val="auto"/>
        </w:rPr>
      </w:pPr>
      <w:r>
        <w:rPr>
          <w:rFonts w:ascii="Arial" w:cs="Arial" w:eastAsia="Arial" w:hAnsi="Arial"/>
          <w:sz w:val="22"/>
          <w:szCs w:val="22"/>
          <w:b w:val="1"/>
          <w:bCs w:val="1"/>
          <w:color w:val="000080"/>
        </w:rPr>
        <w:t>Marvell Stock Administration</w:t>
      </w:r>
    </w:p>
    <w:p>
      <w:pPr>
        <w:sectPr>
          <w:pgSz w:w="11900" w:h="16838" w:orient="portrait"/>
          <w:cols w:equalWidth="0" w:num="1">
            <w:col w:w="11240"/>
          </w:cols>
          <w:pgMar w:left="320" w:top="769" w:right="339" w:bottom="1440" w:gutter="0" w:footer="0" w:header="0"/>
          <w:type w:val="continuous"/>
        </w:sectPr>
      </w:pPr>
    </w:p>
    <w:bookmarkStart w:id="70" w:name="page71"/>
    <w:bookmarkEnd w:id="70"/>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ind w:left="80"/>
        <w:spacing w:after="0"/>
        <w:rPr>
          <w:sz w:val="20"/>
          <w:szCs w:val="20"/>
          <w:color w:val="auto"/>
        </w:rPr>
      </w:pPr>
      <w:r>
        <w:rPr>
          <w:rFonts w:ascii="Arial" w:cs="Arial" w:eastAsia="Arial" w:hAnsi="Arial"/>
          <w:sz w:val="18"/>
          <w:szCs w:val="18"/>
          <w:color w:val="auto"/>
        </w:rPr>
        <w:t>Grant Number:</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Grant date: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Grant date Fair Market Value per share: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Grant Price: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Number of shares in range:</w:t>
      </w:r>
    </w:p>
    <w:p>
      <w:pPr>
        <w:spacing w:after="0" w:line="198" w:lineRule="exact"/>
        <w:rPr>
          <w:sz w:val="20"/>
          <w:szCs w:val="20"/>
          <w:color w:val="auto"/>
        </w:rPr>
      </w:pPr>
    </w:p>
    <w:p>
      <w:pPr>
        <w:ind w:left="80"/>
        <w:spacing w:after="0"/>
        <w:rPr>
          <w:sz w:val="20"/>
          <w:szCs w:val="20"/>
          <w:color w:val="auto"/>
        </w:rPr>
      </w:pPr>
      <w:r>
        <w:rPr>
          <w:rFonts w:ascii="Arial" w:cs="Arial" w:eastAsia="Arial" w:hAnsi="Arial"/>
          <w:sz w:val="17"/>
          <w:szCs w:val="17"/>
          <w:color w:val="auto"/>
        </w:rPr>
        <w:t>Number of shares at Target (payable at 100%):</w:t>
      </w:r>
    </w:p>
    <w:p>
      <w:pPr>
        <w:spacing w:after="0" w:line="200" w:lineRule="exact"/>
        <w:rPr>
          <w:sz w:val="20"/>
          <w:szCs w:val="20"/>
          <w:color w:val="auto"/>
        </w:rPr>
      </w:pPr>
    </w:p>
    <w:p>
      <w:pPr>
        <w:spacing w:after="0" w:line="388" w:lineRule="exact"/>
        <w:rPr>
          <w:sz w:val="20"/>
          <w:szCs w:val="20"/>
          <w:color w:val="auto"/>
        </w:rPr>
      </w:pPr>
    </w:p>
    <w:p>
      <w:pPr>
        <w:ind w:left="80"/>
        <w:spacing w:after="0"/>
        <w:rPr>
          <w:sz w:val="20"/>
          <w:szCs w:val="20"/>
          <w:color w:val="auto"/>
        </w:rPr>
      </w:pPr>
      <w:r>
        <w:rPr>
          <w:rFonts w:ascii="Arial" w:cs="Arial" w:eastAsia="Arial" w:hAnsi="Arial"/>
          <w:sz w:val="18"/>
          <w:szCs w:val="18"/>
          <w:color w:val="auto"/>
        </w:rPr>
        <w:t>Grant Type: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Vesting schedule: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Vesting commencement date:</w:t>
      </w:r>
    </w:p>
    <w:p>
      <w:pPr>
        <w:spacing w:after="0" w:line="198" w:lineRule="exact"/>
        <w:rPr>
          <w:sz w:val="20"/>
          <w:szCs w:val="20"/>
          <w:color w:val="auto"/>
        </w:rPr>
      </w:pPr>
    </w:p>
    <w:p>
      <w:pPr>
        <w:ind w:left="80"/>
        <w:spacing w:after="0"/>
        <w:rPr>
          <w:sz w:val="20"/>
          <w:szCs w:val="20"/>
          <w:color w:val="auto"/>
        </w:rPr>
      </w:pPr>
      <w:r>
        <w:rPr>
          <w:rFonts w:ascii="Arial" w:cs="Arial" w:eastAsia="Arial" w:hAnsi="Arial"/>
          <w:sz w:val="18"/>
          <w:szCs w:val="18"/>
          <w:color w:val="auto"/>
        </w:rPr>
        <w:t>Vesting date:</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Performance metrics:</w:t>
      </w:r>
    </w:p>
    <w:p>
      <w:pPr>
        <w:spacing w:after="0" w:line="23" w:lineRule="exact"/>
        <w:rPr>
          <w:sz w:val="20"/>
          <w:szCs w:val="20"/>
          <w:color w:val="auto"/>
        </w:rPr>
      </w:pPr>
    </w:p>
    <w:p>
      <w:pPr>
        <w:ind w:left="80"/>
        <w:spacing w:after="0"/>
        <w:rPr>
          <w:sz w:val="20"/>
          <w:szCs w:val="20"/>
          <w:color w:val="auto"/>
        </w:rPr>
      </w:pPr>
      <w:r>
        <w:rPr>
          <w:rFonts w:ascii="Arial" w:cs="Arial" w:eastAsia="Arial" w:hAnsi="Arial"/>
          <w:sz w:val="18"/>
          <w:szCs w:val="18"/>
          <w:color w:val="auto"/>
        </w:rPr>
        <w:t>Performance measurement start date:</w:t>
      </w:r>
    </w:p>
    <w:p>
      <w:pPr>
        <w:spacing w:after="0" w:line="266" w:lineRule="exact"/>
        <w:rPr>
          <w:sz w:val="20"/>
          <w:szCs w:val="20"/>
          <w:color w:val="auto"/>
        </w:rPr>
      </w:pPr>
    </w:p>
    <w:p>
      <w:pPr>
        <w:ind w:left="80"/>
        <w:spacing w:after="0"/>
        <w:rPr>
          <w:sz w:val="20"/>
          <w:szCs w:val="20"/>
          <w:color w:val="auto"/>
        </w:rPr>
      </w:pPr>
      <w:r>
        <w:rPr>
          <w:rFonts w:ascii="Arial" w:cs="Arial" w:eastAsia="Arial" w:hAnsi="Arial"/>
          <w:sz w:val="18"/>
          <w:szCs w:val="18"/>
          <w:color w:val="auto"/>
        </w:rPr>
        <w:t>Performance measurement end date: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Arial" w:cs="Arial" w:eastAsia="Arial" w:hAnsi="Arial"/>
          <w:sz w:val="18"/>
          <w:szCs w:val="18"/>
          <w:color w:val="auto"/>
        </w:rPr>
        <w:t>Page 2 of 3</w:t>
      </w:r>
    </w:p>
    <w:p>
      <w:pPr>
        <w:spacing w:after="0" w:line="20" w:lineRule="exact"/>
        <w:rPr>
          <w:sz w:val="20"/>
          <w:szCs w:val="20"/>
          <w:color w:val="auto"/>
        </w:rPr>
      </w:pPr>
      <w:r>
        <w:rPr>
          <w:sz w:val="20"/>
          <w:szCs w:val="20"/>
          <w:color w:val="auto"/>
        </w:rPr>
        <w:br w:type="column"/>
      </w:r>
    </w:p>
    <w:p>
      <w:pPr>
        <w:jc w:val="right"/>
        <w:spacing w:after="0"/>
        <w:rPr>
          <w:sz w:val="20"/>
          <w:szCs w:val="20"/>
          <w:color w:val="auto"/>
        </w:rPr>
      </w:pPr>
      <w:r>
        <w:rPr>
          <w:rFonts w:ascii="Arial" w:cs="Arial" w:eastAsia="Arial" w:hAnsi="Arial"/>
          <w:sz w:val="18"/>
          <w:szCs w:val="18"/>
          <w:b w:val="1"/>
          <w:bCs w:val="1"/>
          <w:color w:val="auto"/>
        </w:rPr>
        <w:t>Exhibit 10.7.7</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 A</w:t>
      </w:r>
    </w:p>
    <w:p>
      <w:pPr>
        <w:spacing w:after="0" w:line="278" w:lineRule="exact"/>
        <w:rPr>
          <w:sz w:val="20"/>
          <w:szCs w:val="20"/>
          <w:color w:val="auto"/>
        </w:rPr>
      </w:pPr>
    </w:p>
    <w:p>
      <w:pPr>
        <w:jc w:val="right"/>
        <w:ind w:right="860"/>
        <w:spacing w:after="0"/>
        <w:rPr>
          <w:sz w:val="20"/>
          <w:szCs w:val="20"/>
          <w:color w:val="auto"/>
        </w:rPr>
      </w:pPr>
      <w:r>
        <w:rPr>
          <w:rFonts w:ascii="Arial" w:cs="Arial" w:eastAsia="Arial" w:hAnsi="Arial"/>
          <w:sz w:val="18"/>
          <w:szCs w:val="18"/>
          <w:color w:val="auto"/>
        </w:rPr>
        <w:t>%%OPTION_NUMBER%-%</w:t>
      </w:r>
    </w:p>
    <w:p>
      <w:pPr>
        <w:spacing w:after="0" w:line="23" w:lineRule="exact"/>
        <w:rPr>
          <w:sz w:val="20"/>
          <w:szCs w:val="20"/>
          <w:color w:val="auto"/>
        </w:rPr>
      </w:pPr>
    </w:p>
    <w:p>
      <w:pPr>
        <w:jc w:val="right"/>
        <w:ind w:right="860"/>
        <w:spacing w:after="0"/>
        <w:rPr>
          <w:sz w:val="20"/>
          <w:szCs w:val="20"/>
          <w:color w:val="auto"/>
        </w:rPr>
      </w:pPr>
      <w:r>
        <w:rPr>
          <w:rFonts w:ascii="Arial" w:cs="Arial" w:eastAsia="Arial" w:hAnsi="Arial"/>
          <w:sz w:val="18"/>
          <w:szCs w:val="18"/>
          <w:color w:val="auto"/>
        </w:rPr>
        <w:t>%%OPTION_DATE,’Month DD, YYYY’%-%</w:t>
      </w:r>
    </w:p>
    <w:p>
      <w:pPr>
        <w:spacing w:after="0" w:line="23" w:lineRule="exact"/>
        <w:rPr>
          <w:sz w:val="20"/>
          <w:szCs w:val="20"/>
          <w:color w:val="auto"/>
        </w:rPr>
      </w:pPr>
    </w:p>
    <w:p>
      <w:pPr>
        <w:jc w:val="right"/>
        <w:ind w:right="860"/>
        <w:spacing w:after="0"/>
        <w:rPr>
          <w:sz w:val="20"/>
          <w:szCs w:val="20"/>
          <w:color w:val="auto"/>
        </w:rPr>
      </w:pPr>
      <w:r>
        <w:rPr>
          <w:rFonts w:ascii="Arial" w:cs="Arial" w:eastAsia="Arial" w:hAnsi="Arial"/>
          <w:sz w:val="18"/>
          <w:szCs w:val="18"/>
          <w:color w:val="auto"/>
        </w:rPr>
        <w:t>%%MARKET_VALUE%-%</w:t>
      </w:r>
    </w:p>
    <w:p>
      <w:pPr>
        <w:spacing w:after="0" w:line="23" w:lineRule="exact"/>
        <w:rPr>
          <w:sz w:val="20"/>
          <w:szCs w:val="20"/>
          <w:color w:val="auto"/>
        </w:rPr>
      </w:pPr>
    </w:p>
    <w:p>
      <w:pPr>
        <w:jc w:val="right"/>
        <w:ind w:right="860"/>
        <w:spacing w:after="0"/>
        <w:rPr>
          <w:sz w:val="20"/>
          <w:szCs w:val="20"/>
          <w:color w:val="auto"/>
        </w:rPr>
      </w:pPr>
      <w:r>
        <w:rPr>
          <w:rFonts w:ascii="Arial" w:cs="Arial" w:eastAsia="Arial" w:hAnsi="Arial"/>
          <w:sz w:val="18"/>
          <w:szCs w:val="18"/>
          <w:color w:val="auto"/>
        </w:rPr>
        <w:t>$0.00</w:t>
      </w:r>
    </w:p>
    <w:p>
      <w:pPr>
        <w:spacing w:after="0" w:line="10"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0% to 200% of Target</w:t>
      </w:r>
    </w:p>
    <w:p>
      <w:pPr>
        <w:spacing w:after="0" w:line="4" w:lineRule="exact"/>
        <w:rPr>
          <w:sz w:val="20"/>
          <w:szCs w:val="20"/>
          <w:color w:val="auto"/>
        </w:rPr>
      </w:pPr>
    </w:p>
    <w:p>
      <w:pPr>
        <w:ind w:left="2380"/>
        <w:spacing w:after="0"/>
        <w:rPr>
          <w:sz w:val="20"/>
          <w:szCs w:val="20"/>
          <w:color w:val="auto"/>
        </w:rPr>
      </w:pPr>
      <w:r>
        <w:rPr>
          <w:rFonts w:ascii="Arial" w:cs="Arial" w:eastAsia="Arial" w:hAnsi="Arial"/>
          <w:sz w:val="18"/>
          <w:szCs w:val="18"/>
          <w:color w:val="auto"/>
        </w:rPr>
        <w:t>%%TOTAL_SHARES_GRANTED,</w:t>
      </w:r>
    </w:p>
    <w:p>
      <w:pPr>
        <w:ind w:left="3680"/>
        <w:spacing w:after="0"/>
        <w:rPr>
          <w:sz w:val="20"/>
          <w:szCs w:val="20"/>
          <w:color w:val="auto"/>
        </w:rPr>
      </w:pPr>
      <w:r>
        <w:rPr>
          <w:rFonts w:ascii="Arial" w:cs="Arial" w:eastAsia="Arial" w:hAnsi="Arial"/>
          <w:sz w:val="18"/>
          <w:szCs w:val="18"/>
          <w:color w:val="auto"/>
        </w:rPr>
        <w:t>’999,999,999’%-%</w:t>
      </w:r>
    </w:p>
    <w:p>
      <w:pPr>
        <w:spacing w:after="0" w:line="200" w:lineRule="exact"/>
        <w:rPr>
          <w:sz w:val="20"/>
          <w:szCs w:val="20"/>
          <w:color w:val="auto"/>
        </w:rPr>
      </w:pPr>
    </w:p>
    <w:p>
      <w:pPr>
        <w:spacing w:after="0" w:line="376" w:lineRule="exact"/>
        <w:rPr>
          <w:sz w:val="20"/>
          <w:szCs w:val="20"/>
          <w:color w:val="auto"/>
        </w:rPr>
      </w:pPr>
    </w:p>
    <w:p>
      <w:pPr>
        <w:jc w:val="both"/>
        <w:ind w:left="1240" w:right="860" w:firstLine="1366"/>
        <w:spacing w:after="0" w:line="281" w:lineRule="auto"/>
        <w:rPr>
          <w:sz w:val="20"/>
          <w:szCs w:val="20"/>
          <w:color w:val="auto"/>
        </w:rPr>
      </w:pPr>
      <w:r>
        <w:rPr>
          <w:rFonts w:ascii="Arial" w:cs="Arial" w:eastAsia="Arial" w:hAnsi="Arial"/>
          <w:sz w:val="17"/>
          <w:szCs w:val="17"/>
          <w:color w:val="auto"/>
        </w:rPr>
        <w:t>Total Shareholder Return (TSR) Cliff vest at end of 3 years from the date of grant %%VEST_BASE_DATE, ’Month DD, YYYY %-%</w:t>
      </w:r>
    </w:p>
    <w:p>
      <w:pPr>
        <w:spacing w:after="0" w:line="2" w:lineRule="exact"/>
        <w:rPr>
          <w:sz w:val="20"/>
          <w:szCs w:val="20"/>
          <w:color w:val="auto"/>
        </w:rPr>
      </w:pPr>
    </w:p>
    <w:p>
      <w:pPr>
        <w:jc w:val="right"/>
        <w:ind w:left="1140" w:right="860"/>
        <w:spacing w:after="0" w:line="227" w:lineRule="auto"/>
        <w:rPr>
          <w:sz w:val="20"/>
          <w:szCs w:val="20"/>
          <w:color w:val="auto"/>
        </w:rPr>
      </w:pPr>
      <w:r>
        <w:rPr>
          <w:rFonts w:ascii="Arial" w:cs="Arial" w:eastAsia="Arial" w:hAnsi="Arial"/>
          <w:sz w:val="18"/>
          <w:szCs w:val="18"/>
          <w:color w:val="auto"/>
        </w:rPr>
        <w:t>%%VEST_DATE_PERIOD1,’Month DD, YYYY’%-%</w:t>
      </w:r>
    </w:p>
    <w:p>
      <w:pPr>
        <w:spacing w:after="0" w:line="1" w:lineRule="exact"/>
        <w:rPr>
          <w:sz w:val="20"/>
          <w:szCs w:val="20"/>
          <w:color w:val="auto"/>
        </w:rPr>
      </w:pPr>
    </w:p>
    <w:p>
      <w:pPr>
        <w:jc w:val="right"/>
        <w:ind w:right="860"/>
        <w:spacing w:after="0"/>
        <w:rPr>
          <w:sz w:val="20"/>
          <w:szCs w:val="20"/>
          <w:color w:val="auto"/>
        </w:rPr>
      </w:pPr>
      <w:r>
        <w:rPr>
          <w:rFonts w:ascii="Arial" w:cs="Arial" w:eastAsia="Arial" w:hAnsi="Arial"/>
          <w:sz w:val="18"/>
          <w:szCs w:val="18"/>
          <w:b w:val="1"/>
          <w:bCs w:val="1"/>
          <w:color w:val="auto"/>
        </w:rPr>
        <w:t>See Exhibit B</w:t>
      </w:r>
    </w:p>
    <w:p>
      <w:pPr>
        <w:spacing w:after="0" w:line="35" w:lineRule="exact"/>
        <w:rPr>
          <w:sz w:val="20"/>
          <w:szCs w:val="20"/>
          <w:color w:val="auto"/>
        </w:rPr>
      </w:pPr>
    </w:p>
    <w:p>
      <w:pPr>
        <w:jc w:val="right"/>
        <w:ind w:right="860"/>
        <w:spacing w:after="0"/>
        <w:rPr>
          <w:sz w:val="20"/>
          <w:szCs w:val="20"/>
          <w:color w:val="auto"/>
        </w:rPr>
      </w:pPr>
      <w:r>
        <w:rPr>
          <w:rFonts w:ascii="Arial" w:cs="Arial" w:eastAsia="Arial" w:hAnsi="Arial"/>
          <w:sz w:val="18"/>
          <w:szCs w:val="18"/>
          <w:color w:val="auto"/>
        </w:rPr>
        <w:t>4/15/2021</w:t>
      </w:r>
    </w:p>
    <w:p>
      <w:pPr>
        <w:spacing w:after="0" w:line="266" w:lineRule="exact"/>
        <w:rPr>
          <w:sz w:val="20"/>
          <w:szCs w:val="20"/>
          <w:color w:val="auto"/>
        </w:rPr>
      </w:pPr>
    </w:p>
    <w:p>
      <w:pPr>
        <w:ind w:left="4440"/>
        <w:spacing w:after="0"/>
        <w:rPr>
          <w:sz w:val="20"/>
          <w:szCs w:val="20"/>
          <w:color w:val="auto"/>
        </w:rPr>
      </w:pPr>
      <w:r>
        <w:rPr>
          <w:rFonts w:ascii="Arial" w:cs="Arial" w:eastAsia="Arial" w:hAnsi="Arial"/>
          <w:sz w:val="18"/>
          <w:szCs w:val="18"/>
          <w:color w:val="auto"/>
        </w:rPr>
        <w:t>4/5/2024</w:t>
      </w:r>
    </w:p>
    <w:p>
      <w:pPr>
        <w:sectPr>
          <w:pgSz w:w="11900" w:h="16838" w:orient="portrait"/>
          <w:cols w:equalWidth="0" w:num="2">
            <w:col w:w="4520" w:space="720"/>
            <w:col w:w="6000"/>
          </w:cols>
          <w:pgMar w:left="320" w:top="769" w:right="33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10.7.7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20"/>
          <w:szCs w:val="20"/>
          <w:b w:val="1"/>
          <w:bCs w:val="1"/>
          <w:u w:val="single" w:color="auto"/>
          <w:color w:val="auto"/>
        </w:rPr>
        <w:t>Exhibit B</w:t>
      </w:r>
    </w:p>
    <w:p>
      <w:pPr>
        <w:spacing w:after="0" w:line="188" w:lineRule="exact"/>
        <w:rPr>
          <w:sz w:val="20"/>
          <w:szCs w:val="20"/>
          <w:color w:val="auto"/>
        </w:rPr>
      </w:pPr>
    </w:p>
    <w:p>
      <w:pPr>
        <w:ind w:right="40"/>
        <w:spacing w:after="0" w:line="216" w:lineRule="auto"/>
        <w:rPr>
          <w:sz w:val="20"/>
          <w:szCs w:val="20"/>
          <w:color w:val="auto"/>
        </w:rPr>
      </w:pPr>
      <w:r>
        <w:rPr>
          <w:rFonts w:ascii="Arial" w:cs="Arial" w:eastAsia="Arial" w:hAnsi="Arial"/>
          <w:sz w:val="20"/>
          <w:szCs w:val="20"/>
          <w:b w:val="1"/>
          <w:bCs w:val="1"/>
          <w:u w:val="single" w:color="auto"/>
          <w:color w:val="auto"/>
        </w:rPr>
        <w:t>TSR Objectives</w:t>
      </w:r>
      <w:r>
        <w:rPr>
          <w:rFonts w:ascii="Arial" w:cs="Arial" w:eastAsia="Arial" w:hAnsi="Arial"/>
          <w:sz w:val="20"/>
          <w:szCs w:val="20"/>
          <w:b w:val="1"/>
          <w:bCs w:val="1"/>
          <w:color w:val="auto"/>
        </w:rPr>
        <w:t xml:space="preserve">– </w:t>
      </w:r>
      <w:r>
        <w:rPr>
          <w:rFonts w:ascii="Arial" w:cs="Arial" w:eastAsia="Arial" w:hAnsi="Arial"/>
          <w:sz w:val="20"/>
          <w:szCs w:val="20"/>
          <w:color w:val="auto"/>
        </w:rPr>
        <w:t>Based on achievement relating to the relative total shareholder return of the Company’s Common Shares as</w:t>
      </w:r>
      <w:r>
        <w:rPr>
          <w:rFonts w:ascii="Arial" w:cs="Arial" w:eastAsia="Arial" w:hAnsi="Arial"/>
          <w:sz w:val="20"/>
          <w:szCs w:val="20"/>
          <w:b w:val="1"/>
          <w:bCs w:val="1"/>
          <w:color w:val="auto"/>
        </w:rPr>
        <w:t xml:space="preserve"> </w:t>
      </w:r>
      <w:r>
        <w:rPr>
          <w:rFonts w:ascii="Arial" w:cs="Arial" w:eastAsia="Arial" w:hAnsi="Arial"/>
          <w:sz w:val="20"/>
          <w:szCs w:val="20"/>
          <w:color w:val="auto"/>
        </w:rPr>
        <w:t>compared to the total shareholder return of the S&amp;P 500 Index over the performance period, provided that you continue to serve as a service provider through the third anniversary of the vesting start date. The ECC will determine the amount of achievement (or non-achievement) of the TSR Objectives prior to the vesting date.</w:t>
      </w:r>
    </w:p>
    <w:p>
      <w:pPr>
        <w:spacing w:after="0" w:line="171" w:lineRule="exact"/>
        <w:rPr>
          <w:sz w:val="20"/>
          <w:szCs w:val="20"/>
          <w:color w:val="auto"/>
        </w:rPr>
      </w:pPr>
    </w:p>
    <w:p>
      <w:pPr>
        <w:ind w:right="100"/>
        <w:spacing w:after="0" w:line="209" w:lineRule="auto"/>
        <w:rPr>
          <w:sz w:val="20"/>
          <w:szCs w:val="20"/>
          <w:color w:val="auto"/>
        </w:rPr>
      </w:pPr>
      <w:r>
        <w:rPr>
          <w:rFonts w:ascii="Arial" w:cs="Arial" w:eastAsia="Arial" w:hAnsi="Arial"/>
          <w:sz w:val="20"/>
          <w:szCs w:val="20"/>
          <w:b w:val="1"/>
          <w:bCs w:val="1"/>
          <w:u w:val="single" w:color="auto"/>
          <w:color w:val="auto"/>
        </w:rPr>
        <w:t>Calculation Methodology</w:t>
      </w:r>
      <w:r>
        <w:rPr>
          <w:rFonts w:ascii="Arial" w:cs="Arial" w:eastAsia="Arial" w:hAnsi="Arial"/>
          <w:sz w:val="20"/>
          <w:szCs w:val="20"/>
          <w:b w:val="1"/>
          <w:bCs w:val="1"/>
          <w:color w:val="auto"/>
        </w:rPr>
        <w:t xml:space="preserve"> </w:t>
      </w:r>
      <w:r>
        <w:rPr>
          <w:rFonts w:ascii="Arial" w:cs="Arial" w:eastAsia="Arial" w:hAnsi="Arial"/>
          <w:sz w:val="20"/>
          <w:szCs w:val="20"/>
          <w:color w:val="auto"/>
        </w:rPr>
        <w:t>– Stock price growth adjusted for reinvested dividends during the performance period. The start and</w:t>
      </w:r>
      <w:r>
        <w:rPr>
          <w:rFonts w:ascii="Arial" w:cs="Arial" w:eastAsia="Arial" w:hAnsi="Arial"/>
          <w:sz w:val="20"/>
          <w:szCs w:val="20"/>
          <w:b w:val="1"/>
          <w:bCs w:val="1"/>
          <w:color w:val="auto"/>
        </w:rPr>
        <w:t xml:space="preserve"> </w:t>
      </w:r>
      <w:r>
        <w:rPr>
          <w:rFonts w:ascii="Arial" w:cs="Arial" w:eastAsia="Arial" w:hAnsi="Arial"/>
          <w:sz w:val="20"/>
          <w:szCs w:val="20"/>
          <w:color w:val="auto"/>
        </w:rPr>
        <w:t>end stock prices shall be based on the average stock price over the preceding 120-trading days.</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20"/>
          <w:szCs w:val="20"/>
          <w:b w:val="1"/>
          <w:bCs w:val="1"/>
          <w:u w:val="single" w:color="auto"/>
          <w:color w:val="auto"/>
        </w:rPr>
        <w:t>Performance-Payout Schedule</w:t>
      </w:r>
    </w:p>
    <w:p>
      <w:pPr>
        <w:spacing w:after="0" w:line="226" w:lineRule="exact"/>
        <w:rPr>
          <w:sz w:val="20"/>
          <w:szCs w:val="20"/>
          <w:color w:val="auto"/>
        </w:rPr>
      </w:pPr>
    </w:p>
    <w:tbl>
      <w:tblPr>
        <w:tblLayout w:type="fixed"/>
        <w:tblInd w:w="1270" w:type="dxa"/>
        <w:tblCellMar>
          <w:top w:w="0" w:type="dxa"/>
          <w:left w:w="0" w:type="dxa"/>
          <w:bottom w:w="0" w:type="dxa"/>
          <w:right w:w="0" w:type="dxa"/>
        </w:tblCellMar>
      </w:tblPr>
      <w:tr>
        <w:trPr>
          <w:trHeight w:val="297"/>
        </w:trPr>
        <w:tc>
          <w:tcPr>
            <w:tcW w:w="234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0"/>
                <w:szCs w:val="20"/>
                <w:b w:val="1"/>
                <w:bCs w:val="1"/>
                <w:color w:val="auto"/>
              </w:rPr>
              <w:t>Performance Level</w:t>
            </w:r>
          </w:p>
        </w:tc>
        <w:tc>
          <w:tcPr>
            <w:tcW w:w="294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20"/>
                <w:szCs w:val="20"/>
                <w:b w:val="1"/>
                <w:bCs w:val="1"/>
                <w:color w:val="auto"/>
              </w:rPr>
              <w:t>Versus the S&amp;P 500 Index</w:t>
            </w:r>
          </w:p>
        </w:tc>
        <w:tc>
          <w:tcPr>
            <w:tcW w:w="1920" w:type="dxa"/>
            <w:vAlign w:val="bottom"/>
            <w:tcBorders>
              <w:top w:val="single" w:sz="8" w:color="auto"/>
              <w:bottom w:val="single" w:sz="8" w:color="auto"/>
              <w:right w:val="single" w:sz="8" w:color="auto"/>
            </w:tcBorders>
          </w:tcPr>
          <w:p>
            <w:pPr>
              <w:ind w:left="80"/>
              <w:spacing w:after="0"/>
              <w:rPr>
                <w:sz w:val="20"/>
                <w:szCs w:val="20"/>
                <w:color w:val="auto"/>
              </w:rPr>
            </w:pPr>
            <w:r>
              <w:rPr>
                <w:rFonts w:ascii="Arial" w:cs="Arial" w:eastAsia="Arial" w:hAnsi="Arial"/>
                <w:sz w:val="20"/>
                <w:szCs w:val="20"/>
                <w:b w:val="1"/>
                <w:bCs w:val="1"/>
                <w:color w:val="auto"/>
              </w:rPr>
              <w:t>Payout</w:t>
            </w:r>
          </w:p>
        </w:tc>
      </w:tr>
      <w:tr>
        <w:trPr>
          <w:trHeight w:val="237"/>
        </w:trPr>
        <w:tc>
          <w:tcPr>
            <w:tcW w:w="23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0"/>
                <w:szCs w:val="20"/>
                <w:b w:val="1"/>
                <w:bCs w:val="1"/>
                <w:color w:val="auto"/>
              </w:rPr>
              <w:t>Maximum</w:t>
            </w:r>
          </w:p>
        </w:tc>
        <w:tc>
          <w:tcPr>
            <w:tcW w:w="29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0"/>
                <w:szCs w:val="20"/>
                <w:b w:val="1"/>
                <w:bCs w:val="1"/>
                <w:color w:val="auto"/>
              </w:rPr>
              <w:t>+33% over</w:t>
            </w:r>
          </w:p>
        </w:tc>
        <w:tc>
          <w:tcPr>
            <w:tcW w:w="192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20"/>
                <w:szCs w:val="20"/>
                <w:b w:val="1"/>
                <w:bCs w:val="1"/>
                <w:color w:val="auto"/>
              </w:rPr>
              <w:t>200% of Target</w:t>
            </w:r>
          </w:p>
        </w:tc>
      </w:tr>
      <w:tr>
        <w:trPr>
          <w:trHeight w:val="237"/>
        </w:trPr>
        <w:tc>
          <w:tcPr>
            <w:tcW w:w="23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0"/>
                <w:szCs w:val="20"/>
                <w:b w:val="1"/>
                <w:bCs w:val="1"/>
                <w:color w:val="auto"/>
              </w:rPr>
              <w:t>Target</w:t>
            </w:r>
          </w:p>
        </w:tc>
        <w:tc>
          <w:tcPr>
            <w:tcW w:w="29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0"/>
                <w:szCs w:val="20"/>
                <w:b w:val="1"/>
                <w:bCs w:val="1"/>
                <w:color w:val="auto"/>
              </w:rPr>
              <w:t>Equal to S&amp;P 500</w:t>
            </w:r>
          </w:p>
        </w:tc>
        <w:tc>
          <w:tcPr>
            <w:tcW w:w="192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20"/>
                <w:szCs w:val="20"/>
                <w:b w:val="1"/>
                <w:bCs w:val="1"/>
                <w:color w:val="auto"/>
              </w:rPr>
              <w:t>100% of Target</w:t>
            </w:r>
          </w:p>
        </w:tc>
      </w:tr>
      <w:tr>
        <w:trPr>
          <w:trHeight w:val="270"/>
        </w:trPr>
        <w:tc>
          <w:tcPr>
            <w:tcW w:w="23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0"/>
                <w:szCs w:val="20"/>
                <w:b w:val="1"/>
                <w:bCs w:val="1"/>
                <w:color w:val="auto"/>
              </w:rPr>
              <w:t>Minimum</w:t>
            </w:r>
          </w:p>
        </w:tc>
        <w:tc>
          <w:tcPr>
            <w:tcW w:w="29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0"/>
                <w:szCs w:val="20"/>
                <w:b w:val="1"/>
                <w:bCs w:val="1"/>
                <w:color w:val="auto"/>
              </w:rPr>
              <w:t>-33% under</w:t>
            </w:r>
          </w:p>
        </w:tc>
        <w:tc>
          <w:tcPr>
            <w:tcW w:w="192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20"/>
                <w:szCs w:val="20"/>
                <w:b w:val="1"/>
                <w:bCs w:val="1"/>
                <w:color w:val="auto"/>
              </w:rPr>
              <w:t>0% of Target</w:t>
            </w:r>
          </w:p>
        </w:tc>
      </w:tr>
    </w:tbl>
    <w:p>
      <w:pPr>
        <w:spacing w:after="0" w:line="320" w:lineRule="exact"/>
        <w:rPr>
          <w:sz w:val="20"/>
          <w:szCs w:val="20"/>
          <w:color w:val="auto"/>
        </w:rPr>
      </w:pPr>
    </w:p>
    <w:p>
      <w:pPr>
        <w:ind w:right="220"/>
        <w:spacing w:after="0" w:line="222" w:lineRule="auto"/>
        <w:rPr>
          <w:sz w:val="20"/>
          <w:szCs w:val="20"/>
          <w:color w:val="auto"/>
        </w:rPr>
      </w:pPr>
      <w:r>
        <w:rPr>
          <w:rFonts w:ascii="Arial" w:cs="Arial" w:eastAsia="Arial" w:hAnsi="Arial"/>
          <w:sz w:val="20"/>
          <w:szCs w:val="20"/>
          <w:color w:val="auto"/>
        </w:rPr>
        <w:t>Actual performance will be calculated using a straight-line interpolation between the above performance levels. The number of shares awarded will be rounded up to nearest whole share.</w:t>
      </w:r>
    </w:p>
    <w:p>
      <w:pPr>
        <w:spacing w:after="0" w:line="199" w:lineRule="exact"/>
        <w:rPr>
          <w:sz w:val="20"/>
          <w:szCs w:val="20"/>
          <w:color w:val="auto"/>
        </w:rPr>
      </w:pPr>
    </w:p>
    <w:p>
      <w:pPr>
        <w:spacing w:after="0"/>
        <w:rPr>
          <w:sz w:val="20"/>
          <w:szCs w:val="20"/>
          <w:color w:val="auto"/>
        </w:rPr>
      </w:pPr>
      <w:r>
        <w:rPr>
          <w:rFonts w:ascii="Arial" w:cs="Arial" w:eastAsia="Arial" w:hAnsi="Arial"/>
          <w:sz w:val="20"/>
          <w:szCs w:val="20"/>
          <w:b w:val="1"/>
          <w:bCs w:val="1"/>
          <w:u w:val="single" w:color="auto"/>
          <w:color w:val="auto"/>
        </w:rPr>
        <w:t>Change in Control</w:t>
      </w:r>
      <w:r>
        <w:rPr>
          <w:rFonts w:ascii="Arial" w:cs="Arial" w:eastAsia="Arial" w:hAnsi="Arial"/>
          <w:sz w:val="20"/>
          <w:szCs w:val="20"/>
          <w:b w:val="1"/>
          <w:bCs w:val="1"/>
          <w:color w:val="auto"/>
        </w:rPr>
        <w:t xml:space="preserve"> </w:t>
      </w:r>
      <w:r>
        <w:rPr>
          <w:rFonts w:ascii="Arial" w:cs="Arial" w:eastAsia="Arial" w:hAnsi="Arial"/>
          <w:sz w:val="20"/>
          <w:szCs w:val="20"/>
          <w:color w:val="auto"/>
        </w:rPr>
        <w:t>–</w:t>
      </w:r>
    </w:p>
    <w:p>
      <w:pPr>
        <w:spacing w:after="0" w:line="172" w:lineRule="exact"/>
        <w:rPr>
          <w:sz w:val="20"/>
          <w:szCs w:val="20"/>
          <w:color w:val="auto"/>
        </w:rPr>
      </w:pPr>
    </w:p>
    <w:p>
      <w:pPr>
        <w:ind w:right="40"/>
        <w:spacing w:after="0" w:line="254" w:lineRule="auto"/>
        <w:rPr>
          <w:sz w:val="20"/>
          <w:szCs w:val="20"/>
          <w:color w:val="auto"/>
        </w:rPr>
      </w:pPr>
      <w:r>
        <w:rPr>
          <w:rFonts w:ascii="Arial" w:cs="Arial" w:eastAsia="Arial" w:hAnsi="Arial"/>
          <w:sz w:val="20"/>
          <w:szCs w:val="20"/>
          <w:color w:val="auto"/>
        </w:rPr>
        <w:t>Upon a Change in Control (as defined in the Plan) that occurs during the performance period, the performance period will be truncated to end upon the closing of the Change in Control (the “Change in Control Performance Period”), and the Company total stockholder return will be measured against the S&amp;P 500 Index for the Change in Control Performance Period and the applicable payout will be measured in accordance with the Performance-Payout Schedule above (such Common Shares earned pursuant to the table above, “Earned Shares”). For the avoidance of doubt, the Company’s stock price for the Change in Control date will be the price payable to Company’s stockholders at the closing of the Change in Control, rather than over the preceding 120-trading days, and it will be compared against the S&amp;P Index during the Change in Control Performance Period which starts on the Performance measurement start date and ends using the 120-day average closing price of the S&amp;P 500 Index ending on the closing of the Change in Control.</w:t>
      </w:r>
    </w:p>
    <w:p>
      <w:pPr>
        <w:spacing w:after="0" w:line="145" w:lineRule="exact"/>
        <w:rPr>
          <w:sz w:val="20"/>
          <w:szCs w:val="20"/>
          <w:color w:val="auto"/>
        </w:rPr>
      </w:pPr>
    </w:p>
    <w:p>
      <w:pPr>
        <w:ind w:right="40"/>
        <w:spacing w:after="0" w:line="255" w:lineRule="auto"/>
        <w:rPr>
          <w:sz w:val="20"/>
          <w:szCs w:val="20"/>
          <w:color w:val="auto"/>
        </w:rPr>
      </w:pPr>
      <w:r>
        <w:rPr>
          <w:rFonts w:ascii="Arial" w:cs="Arial" w:eastAsia="Arial" w:hAnsi="Arial"/>
          <w:sz w:val="20"/>
          <w:szCs w:val="20"/>
          <w:color w:val="auto"/>
        </w:rPr>
        <w:t>Once the payout is determined, a pro-rata portion of the Earned Shares will vest upon the Change in Control based on the portion of days served in the 3-year performance period through the Change in Control, provided that you continue to serve as a service provider through the closing of the Change in Control. The balance of the remaining portion of the Earned Shares that did not vest at the Change in Control will vest on the last day of the performance period, provided that you continue to serve as a service provider on the Vesting date.</w:t>
      </w:r>
    </w:p>
    <w:p>
      <w:pPr>
        <w:spacing w:after="0" w:line="142" w:lineRule="exact"/>
        <w:rPr>
          <w:sz w:val="20"/>
          <w:szCs w:val="20"/>
          <w:color w:val="auto"/>
        </w:rPr>
      </w:pPr>
    </w:p>
    <w:p>
      <w:pPr>
        <w:ind w:right="80"/>
        <w:spacing w:after="0" w:line="256" w:lineRule="auto"/>
        <w:rPr>
          <w:sz w:val="20"/>
          <w:szCs w:val="20"/>
          <w:color w:val="auto"/>
        </w:rPr>
      </w:pPr>
      <w:r>
        <w:rPr>
          <w:rFonts w:ascii="Arial" w:cs="Arial" w:eastAsia="Arial" w:hAnsi="Arial"/>
          <w:sz w:val="20"/>
          <w:szCs w:val="20"/>
          <w:color w:val="auto"/>
        </w:rPr>
        <w:t>Notwithstanding the standard post-Change in Control time-vesting above, if within the 24 month period following the Change in Control, your service is terminated without Cause (as defined in the Company’s Change in Control Severance Plan), then 100% of the remaining unvested Earned Shares will accelerate and become fully vested, subject to your execution of a customary release of claims.</w:t>
      </w:r>
    </w:p>
    <w:p>
      <w:pPr>
        <w:spacing w:after="0" w:line="99" w:lineRule="exact"/>
        <w:rPr>
          <w:sz w:val="20"/>
          <w:szCs w:val="20"/>
          <w:color w:val="auto"/>
        </w:rPr>
      </w:pPr>
    </w:p>
    <w:p>
      <w:pPr>
        <w:ind w:right="340"/>
        <w:spacing w:after="0" w:line="222" w:lineRule="auto"/>
        <w:rPr>
          <w:sz w:val="20"/>
          <w:szCs w:val="20"/>
          <w:color w:val="auto"/>
        </w:rPr>
      </w:pPr>
      <w:r>
        <w:rPr>
          <w:rFonts w:ascii="Arial" w:cs="Arial" w:eastAsia="Arial" w:hAnsi="Arial"/>
          <w:sz w:val="20"/>
          <w:szCs w:val="20"/>
          <w:color w:val="auto"/>
        </w:rPr>
        <w:t>Notwithstanding the above, a separate agreement entered into with the grantee with superior benefits than those above shall control and will apply in lieu of the above Change in Control terms.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Page 3 of 3</w:t>
      </w:r>
    </w:p>
    <w:p>
      <w:pPr>
        <w:sectPr>
          <w:pgSz w:w="11900" w:h="16838" w:orient="portrait"/>
          <w:cols w:equalWidth="0" w:num="1">
            <w:col w:w="11240"/>
          </w:cols>
          <w:pgMar w:left="320" w:top="769" w:right="339" w:bottom="1440" w:gutter="0" w:footer="0" w:header="0"/>
        </w:sectPr>
      </w:pPr>
    </w:p>
    <w:bookmarkStart w:id="72" w:name="page73"/>
    <w:bookmarkEnd w:id="7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ind w:left="20" w:right="1120"/>
        <w:spacing w:after="0" w:line="219" w:lineRule="auto"/>
        <w:rPr>
          <w:sz w:val="20"/>
          <w:szCs w:val="20"/>
          <w:color w:val="auto"/>
        </w:rPr>
      </w:pPr>
      <w:r>
        <w:rPr>
          <w:rFonts w:ascii="Arial" w:cs="Arial" w:eastAsia="Arial" w:hAnsi="Arial"/>
          <w:sz w:val="21"/>
          <w:szCs w:val="21"/>
          <w:b w:val="1"/>
          <w:bCs w:val="1"/>
          <w:color w:val="auto"/>
        </w:rPr>
        <w:t>Notice of Grant of Performance- based Restricted Stock Units and Agreement</w:t>
      </w:r>
    </w:p>
    <w:p>
      <w:pPr>
        <w:spacing w:after="0" w:line="200" w:lineRule="exact"/>
        <w:rPr>
          <w:sz w:val="20"/>
          <w:szCs w:val="20"/>
          <w:color w:val="auto"/>
        </w:rPr>
      </w:pPr>
    </w:p>
    <w:p>
      <w:pPr>
        <w:spacing w:after="0" w:line="257"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Name</w:t>
      </w:r>
    </w:p>
    <w:p>
      <w:pPr>
        <w:spacing w:after="0" w:line="32"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Address</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City, State, Zip Code</w:t>
      </w:r>
    </w:p>
    <w:p>
      <w:pPr>
        <w:spacing w:after="0" w:line="20" w:lineRule="exact"/>
        <w:rPr>
          <w:sz w:val="20"/>
          <w:szCs w:val="20"/>
          <w:color w:val="auto"/>
        </w:rPr>
      </w:pPr>
      <w:r>
        <w:rPr>
          <w:sz w:val="20"/>
          <w:szCs w:val="20"/>
          <w:color w:val="auto"/>
        </w:rPr>
        <w:br w:type="column"/>
      </w:r>
    </w:p>
    <w:p>
      <w:pPr>
        <w:jc w:val="right"/>
        <w:spacing w:after="0"/>
        <w:rPr>
          <w:sz w:val="20"/>
          <w:szCs w:val="20"/>
          <w:color w:val="auto"/>
        </w:rPr>
      </w:pPr>
      <w:r>
        <w:rPr>
          <w:rFonts w:ascii="Arial" w:cs="Arial" w:eastAsia="Arial" w:hAnsi="Arial"/>
          <w:sz w:val="18"/>
          <w:szCs w:val="18"/>
          <w:b w:val="1"/>
          <w:bCs w:val="1"/>
          <w:color w:val="auto"/>
        </w:rPr>
        <w:t>Exhibit 10.7.8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Marvell Technology, Inc.</w:t>
      </w:r>
    </w:p>
    <w:p>
      <w:pPr>
        <w:spacing w:after="0" w:line="206" w:lineRule="auto"/>
        <w:rPr>
          <w:sz w:val="20"/>
          <w:szCs w:val="20"/>
          <w:color w:val="auto"/>
        </w:rPr>
      </w:pPr>
      <w:r>
        <w:rPr>
          <w:rFonts w:ascii="Arial" w:cs="Arial" w:eastAsia="Arial" w:hAnsi="Arial"/>
          <w:sz w:val="15"/>
          <w:szCs w:val="15"/>
          <w:color w:val="auto"/>
        </w:rPr>
        <w:t>ID: 85-3971597</w:t>
      </w:r>
    </w:p>
    <w:p>
      <w:pPr>
        <w:spacing w:after="0" w:line="207" w:lineRule="auto"/>
        <w:rPr>
          <w:sz w:val="20"/>
          <w:szCs w:val="20"/>
          <w:color w:val="auto"/>
        </w:rPr>
      </w:pPr>
      <w:r>
        <w:rPr>
          <w:rFonts w:ascii="Arial" w:cs="Arial" w:eastAsia="Arial" w:hAnsi="Arial"/>
          <w:sz w:val="15"/>
          <w:szCs w:val="15"/>
          <w:color w:val="auto"/>
        </w:rPr>
        <w:t>1000 N. West Street, Suite 1200</w:t>
      </w:r>
    </w:p>
    <w:p>
      <w:pPr>
        <w:spacing w:after="0"/>
        <w:rPr>
          <w:sz w:val="20"/>
          <w:szCs w:val="20"/>
          <w:color w:val="auto"/>
        </w:rPr>
      </w:pPr>
      <w:r>
        <w:rPr>
          <w:rFonts w:ascii="Arial" w:cs="Arial" w:eastAsia="Arial" w:hAnsi="Arial"/>
          <w:sz w:val="15"/>
          <w:szCs w:val="15"/>
          <w:color w:val="auto"/>
        </w:rPr>
        <w:t>Wilmington, Delaware 19801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tbl>
      <w:tblPr>
        <w:tblLayout w:type="fixed"/>
        <w:tblInd w:w="1780" w:type="dxa"/>
        <w:tblCellMar>
          <w:top w:w="0" w:type="dxa"/>
          <w:left w:w="0" w:type="dxa"/>
          <w:bottom w:w="0" w:type="dxa"/>
          <w:right w:w="0" w:type="dxa"/>
        </w:tblCellMar>
      </w:tblPr>
      <w:tr>
        <w:trPr>
          <w:trHeight w:val="243"/>
        </w:trPr>
        <w:tc>
          <w:tcPr>
            <w:tcW w:w="1840" w:type="dxa"/>
            <w:vAlign w:val="bottom"/>
          </w:tcPr>
          <w:p>
            <w:pPr>
              <w:spacing w:after="0"/>
              <w:rPr>
                <w:sz w:val="20"/>
                <w:szCs w:val="20"/>
                <w:color w:val="auto"/>
              </w:rPr>
            </w:pPr>
            <w:r>
              <w:rPr>
                <w:rFonts w:ascii="Arial" w:cs="Arial" w:eastAsia="Arial" w:hAnsi="Arial"/>
                <w:sz w:val="18"/>
                <w:szCs w:val="18"/>
                <w:b w:val="1"/>
                <w:bCs w:val="1"/>
                <w:color w:val="auto"/>
              </w:rPr>
              <w:t>Award Number:</w:t>
            </w:r>
          </w:p>
        </w:tc>
        <w:tc>
          <w:tcPr>
            <w:tcW w:w="1320" w:type="dxa"/>
            <w:vAlign w:val="bottom"/>
          </w:tcPr>
          <w:p>
            <w:pPr>
              <w:ind w:left="500"/>
              <w:spacing w:after="0"/>
              <w:rPr>
                <w:sz w:val="20"/>
                <w:szCs w:val="20"/>
                <w:color w:val="auto"/>
              </w:rPr>
            </w:pPr>
            <w:r>
              <w:rPr>
                <w:rFonts w:ascii="Arial" w:cs="Arial" w:eastAsia="Arial" w:hAnsi="Arial"/>
                <w:sz w:val="18"/>
                <w:szCs w:val="18"/>
                <w:b w:val="1"/>
                <w:bCs w:val="1"/>
                <w:color w:val="auto"/>
                <w:w w:val="98"/>
              </w:rPr>
              <w:t>T0000000</w:t>
            </w:r>
          </w:p>
        </w:tc>
      </w:tr>
      <w:tr>
        <w:trPr>
          <w:trHeight w:val="239"/>
        </w:trPr>
        <w:tc>
          <w:tcPr>
            <w:tcW w:w="1840" w:type="dxa"/>
            <w:vAlign w:val="bottom"/>
          </w:tcPr>
          <w:p>
            <w:pPr>
              <w:spacing w:after="0"/>
              <w:rPr>
                <w:sz w:val="20"/>
                <w:szCs w:val="20"/>
                <w:color w:val="auto"/>
              </w:rPr>
            </w:pPr>
            <w:r>
              <w:rPr>
                <w:rFonts w:ascii="Arial" w:cs="Arial" w:eastAsia="Arial" w:hAnsi="Arial"/>
                <w:sz w:val="18"/>
                <w:szCs w:val="18"/>
                <w:b w:val="1"/>
                <w:bCs w:val="1"/>
                <w:color w:val="auto"/>
              </w:rPr>
              <w:t>Plan:</w:t>
            </w:r>
          </w:p>
        </w:tc>
        <w:tc>
          <w:tcPr>
            <w:tcW w:w="1320" w:type="dxa"/>
            <w:vAlign w:val="bottom"/>
          </w:tcPr>
          <w:p>
            <w:pPr>
              <w:ind w:left="500"/>
              <w:spacing w:after="0"/>
              <w:rPr>
                <w:sz w:val="20"/>
                <w:szCs w:val="20"/>
                <w:color w:val="auto"/>
              </w:rPr>
            </w:pPr>
            <w:r>
              <w:rPr>
                <w:rFonts w:ascii="Arial" w:cs="Arial" w:eastAsia="Arial" w:hAnsi="Arial"/>
                <w:sz w:val="18"/>
                <w:szCs w:val="18"/>
                <w:b w:val="1"/>
                <w:bCs w:val="1"/>
                <w:color w:val="auto"/>
              </w:rPr>
              <w:t>1995</w:t>
            </w:r>
          </w:p>
        </w:tc>
      </w:tr>
      <w:tr>
        <w:trPr>
          <w:trHeight w:val="257"/>
        </w:trPr>
        <w:tc>
          <w:tcPr>
            <w:tcW w:w="1840" w:type="dxa"/>
            <w:vAlign w:val="bottom"/>
          </w:tcPr>
          <w:p>
            <w:pPr>
              <w:spacing w:after="0"/>
              <w:rPr>
                <w:sz w:val="20"/>
                <w:szCs w:val="20"/>
                <w:color w:val="auto"/>
              </w:rPr>
            </w:pPr>
            <w:r>
              <w:rPr>
                <w:rFonts w:ascii="Arial" w:cs="Arial" w:eastAsia="Arial" w:hAnsi="Arial"/>
                <w:sz w:val="18"/>
                <w:szCs w:val="18"/>
                <w:b w:val="1"/>
                <w:bCs w:val="1"/>
                <w:color w:val="auto"/>
              </w:rPr>
              <w:t>ID:</w:t>
            </w:r>
          </w:p>
        </w:tc>
        <w:tc>
          <w:tcPr>
            <w:tcW w:w="1320" w:type="dxa"/>
            <w:vAlign w:val="bottom"/>
          </w:tcPr>
          <w:p>
            <w:pPr>
              <w:ind w:left="500"/>
              <w:spacing w:after="0"/>
              <w:rPr>
                <w:sz w:val="20"/>
                <w:szCs w:val="20"/>
                <w:color w:val="auto"/>
              </w:rPr>
            </w:pPr>
            <w:r>
              <w:rPr>
                <w:rFonts w:ascii="Arial" w:cs="Arial" w:eastAsia="Arial" w:hAnsi="Arial"/>
                <w:sz w:val="18"/>
                <w:szCs w:val="18"/>
                <w:b w:val="1"/>
                <w:bCs w:val="1"/>
                <w:color w:val="auto"/>
              </w:rPr>
              <w:t>XXXX</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-2585085</wp:posOffset>
            </wp:positionH>
            <wp:positionV relativeFrom="paragraph">
              <wp:posOffset>291465</wp:posOffset>
            </wp:positionV>
            <wp:extent cx="7132320"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36">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360" w:space="720"/>
            <w:col w:w="7160"/>
          </w:cols>
          <w:pgMar w:left="320" w:top="108"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color w:val="auto"/>
        </w:rPr>
        <w:t>Effective _____, 2022, you have been granted a Performance-based Restricted Stock Unit (RSU) award for the number of shares in the</w:t>
      </w:r>
    </w:p>
    <w:p>
      <w:pPr>
        <w:spacing w:after="0"/>
        <w:rPr>
          <w:sz w:val="20"/>
          <w:szCs w:val="20"/>
          <w:color w:val="auto"/>
        </w:rPr>
      </w:pPr>
      <w:r>
        <w:rPr>
          <w:rFonts w:ascii="Arial" w:cs="Arial" w:eastAsia="Arial" w:hAnsi="Arial"/>
          <w:sz w:val="18"/>
          <w:szCs w:val="18"/>
          <w:color w:val="auto"/>
        </w:rPr>
        <w:t xml:space="preserve">range set forth on </w:t>
      </w:r>
      <w:r>
        <w:rPr>
          <w:rFonts w:ascii="Arial" w:cs="Arial" w:eastAsia="Arial" w:hAnsi="Arial"/>
          <w:sz w:val="18"/>
          <w:szCs w:val="18"/>
          <w:b w:val="1"/>
          <w:bCs w:val="1"/>
          <w:u w:val="single" w:color="auto"/>
          <w:color w:val="auto"/>
        </w:rPr>
        <w:t>Exhibit A</w:t>
      </w:r>
      <w:r>
        <w:rPr>
          <w:rFonts w:ascii="Arial" w:cs="Arial" w:eastAsia="Arial" w:hAnsi="Arial"/>
          <w:sz w:val="18"/>
          <w:szCs w:val="18"/>
          <w:color w:val="auto"/>
        </w:rPr>
        <w:t xml:space="preserve">, subject to the performance metrics set forth on </w:t>
      </w:r>
      <w:r>
        <w:rPr>
          <w:rFonts w:ascii="Arial" w:cs="Arial" w:eastAsia="Arial" w:hAnsi="Arial"/>
          <w:sz w:val="18"/>
          <w:szCs w:val="18"/>
          <w:b w:val="1"/>
          <w:bCs w:val="1"/>
          <w:u w:val="single" w:color="auto"/>
          <w:color w:val="auto"/>
        </w:rPr>
        <w:t>Exhibit B</w:t>
      </w:r>
      <w:r>
        <w:rPr>
          <w:rFonts w:ascii="Arial" w:cs="Arial" w:eastAsia="Arial" w:hAnsi="Arial"/>
          <w:sz w:val="18"/>
          <w:szCs w:val="18"/>
          <w:color w:val="auto"/>
        </w:rPr>
        <w:t>.</w:t>
      </w:r>
    </w:p>
    <w:p>
      <w:pPr>
        <w:spacing w:after="0" w:line="212" w:lineRule="exact"/>
        <w:rPr>
          <w:sz w:val="20"/>
          <w:szCs w:val="20"/>
          <w:color w:val="auto"/>
        </w:rPr>
      </w:pPr>
    </w:p>
    <w:p>
      <w:pPr>
        <w:ind w:right="100"/>
        <w:spacing w:after="0" w:line="213" w:lineRule="auto"/>
        <w:rPr>
          <w:sz w:val="20"/>
          <w:szCs w:val="20"/>
          <w:color w:val="auto"/>
        </w:rPr>
      </w:pPr>
      <w:r>
        <w:rPr>
          <w:rFonts w:ascii="Arial" w:cs="Arial" w:eastAsia="Arial" w:hAnsi="Arial"/>
          <w:sz w:val="18"/>
          <w:szCs w:val="18"/>
          <w:color w:val="auto"/>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By signing this document, you hereby acknowledge receipt of a copy of the Grant Documents, and agree that:</w:t>
      </w:r>
    </w:p>
    <w:p>
      <w:pPr>
        <w:spacing w:after="0" w:line="212" w:lineRule="exact"/>
        <w:rPr>
          <w:sz w:val="20"/>
          <w:szCs w:val="20"/>
          <w:color w:val="auto"/>
        </w:rPr>
      </w:pPr>
    </w:p>
    <w:p>
      <w:pPr>
        <w:ind w:left="280" w:hanging="272"/>
        <w:spacing w:after="0"/>
        <w:tabs>
          <w:tab w:leader="none" w:pos="2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these Performance-based RSUs are granted under and governed by the terms and conditions of the Grant Documents;</w:t>
      </w:r>
    </w:p>
    <w:p>
      <w:pPr>
        <w:spacing w:after="0" w:line="211" w:lineRule="exact"/>
        <w:rPr>
          <w:rFonts w:ascii="Arial" w:cs="Arial" w:eastAsia="Arial" w:hAnsi="Arial"/>
          <w:sz w:val="18"/>
          <w:szCs w:val="18"/>
          <w:color w:val="auto"/>
        </w:rPr>
      </w:pPr>
    </w:p>
    <w:p>
      <w:pPr>
        <w:ind w:left="280" w:hanging="272"/>
        <w:spacing w:after="0"/>
        <w:tabs>
          <w:tab w:leader="none" w:pos="2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have carefully read, fully understand, and agree to all of the terms and conditions described in the Grant Documents;</w:t>
      </w:r>
    </w:p>
    <w:p>
      <w:pPr>
        <w:spacing w:after="0" w:line="211" w:lineRule="exact"/>
        <w:rPr>
          <w:rFonts w:ascii="Arial" w:cs="Arial" w:eastAsia="Arial" w:hAnsi="Arial"/>
          <w:sz w:val="18"/>
          <w:szCs w:val="18"/>
          <w:color w:val="auto"/>
        </w:rPr>
      </w:pPr>
    </w:p>
    <w:p>
      <w:pPr>
        <w:ind w:right="120" w:firstLine="8"/>
        <w:spacing w:after="0" w:line="219" w:lineRule="auto"/>
        <w:tabs>
          <w:tab w:leader="none" w:pos="2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understand and agree that the Grant Documents constitute the entire understanding between you and the Company regarding this Performance-based RSU, and that any prior agreements, commitments, or negotiations concerning this grant are replaced and superseded; and</w:t>
      </w:r>
    </w:p>
    <w:p>
      <w:pPr>
        <w:spacing w:after="0" w:line="202" w:lineRule="exact"/>
        <w:rPr>
          <w:rFonts w:ascii="Arial" w:cs="Arial" w:eastAsia="Arial" w:hAnsi="Arial"/>
          <w:sz w:val="18"/>
          <w:szCs w:val="18"/>
          <w:color w:val="auto"/>
        </w:rPr>
      </w:pPr>
    </w:p>
    <w:p>
      <w:pPr>
        <w:ind w:right="260" w:firstLine="8"/>
        <w:spacing w:after="0" w:line="227" w:lineRule="auto"/>
        <w:tabs>
          <w:tab w:leader="none" w:pos="27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have been given an opportunity to consult legal counsel with respect to all matters relating to this Performance-based RSU prior to signing this Notice of Grant and that you have either consulted such counsel or voluntarily declined to consult such counsel.</w:t>
      </w:r>
    </w:p>
    <w:p>
      <w:pPr>
        <w:spacing w:after="0" w:line="202" w:lineRule="exact"/>
        <w:rPr>
          <w:sz w:val="20"/>
          <w:szCs w:val="20"/>
          <w:color w:val="auto"/>
        </w:rPr>
      </w:pPr>
    </w:p>
    <w:p>
      <w:pPr>
        <w:ind w:right="460"/>
        <w:spacing w:after="0"/>
        <w:rPr>
          <w:sz w:val="20"/>
          <w:szCs w:val="20"/>
          <w:color w:val="auto"/>
        </w:rPr>
      </w:pPr>
      <w:r>
        <w:rPr>
          <w:rFonts w:ascii="Arial" w:cs="Arial" w:eastAsia="Arial" w:hAnsi="Arial"/>
          <w:sz w:val="18"/>
          <w:szCs w:val="18"/>
          <w:color w:val="auto"/>
        </w:rPr>
        <w:t>The Stock Unit Agreement, the Appendix and the Plan are available on the Company’s website at https://intranet/stockselfservice or by request from the Company’s Stock Administration Department. If you have an account at E*TRADE, then you will also find copies of the documents at E*TRADE. You hereby agree that these documents are deemed to be delivered to you. Date</w:t>
      </w:r>
    </w:p>
    <w:p>
      <w:pPr>
        <w:spacing w:after="0" w:line="42" w:lineRule="exact"/>
        <w:rPr>
          <w:sz w:val="20"/>
          <w:szCs w:val="20"/>
          <w:color w:val="auto"/>
        </w:rPr>
      </w:pPr>
    </w:p>
    <w:p>
      <w:pPr>
        <w:spacing w:after="0"/>
        <w:rPr>
          <w:sz w:val="20"/>
          <w:szCs w:val="20"/>
          <w:color w:val="auto"/>
        </w:rPr>
      </w:pPr>
      <w:r>
        <w:rPr>
          <w:rFonts w:ascii="Arial" w:cs="Arial" w:eastAsia="Arial" w:hAnsi="Arial"/>
          <w:sz w:val="17"/>
          <w:szCs w:val="17"/>
          <w:color w:val="auto"/>
        </w:rPr>
        <w:t>Mitchell Gaynor</w:t>
      </w:r>
    </w:p>
    <w:p>
      <w:pPr>
        <w:spacing w:after="0" w:line="198" w:lineRule="auto"/>
        <w:rPr>
          <w:sz w:val="20"/>
          <w:szCs w:val="20"/>
          <w:color w:val="auto"/>
        </w:rPr>
      </w:pPr>
      <w:r>
        <w:rPr>
          <w:rFonts w:ascii="Arial" w:cs="Arial" w:eastAsia="Arial" w:hAnsi="Arial"/>
          <w:sz w:val="17"/>
          <w:szCs w:val="17"/>
          <w:color w:val="auto"/>
        </w:rPr>
        <w:t>EVP, Chief Administration and Legal Officer</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color w:val="auto"/>
        </w:rPr>
        <w:t>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377190</wp:posOffset>
            </wp:positionV>
            <wp:extent cx="71323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7">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1240"/>
          </w:cols>
          <w:pgMar w:left="320" w:top="108" w:right="339" w:bottom="1440" w:gutter="0" w:footer="0" w:header="0"/>
          <w:type w:val="continuous"/>
        </w:sectPr>
      </w:pPr>
    </w:p>
    <w:bookmarkStart w:id="73" w:name="page74"/>
    <w:bookmarkEnd w:id="73"/>
    <w:tbl>
      <w:tblPr>
        <w:tblLayout w:type="fixed"/>
        <w:tblInd w:w="0" w:type="dxa"/>
        <w:tblCellMar>
          <w:top w:w="0" w:type="dxa"/>
          <w:left w:w="0" w:type="dxa"/>
          <w:bottom w:w="0" w:type="dxa"/>
          <w:right w:w="0" w:type="dxa"/>
        </w:tblCellMar>
      </w:tblPr>
      <w:tr>
        <w:trPr>
          <w:trHeight w:val="207"/>
        </w:trPr>
        <w:tc>
          <w:tcPr>
            <w:tcW w:w="5240" w:type="dxa"/>
            <w:vAlign w:val="bottom"/>
          </w:tcPr>
          <w:p>
            <w:pPr>
              <w:spacing w:after="0"/>
              <w:rPr>
                <w:sz w:val="17"/>
                <w:szCs w:val="17"/>
                <w:color w:val="auto"/>
              </w:rPr>
            </w:pPr>
          </w:p>
        </w:tc>
        <w:tc>
          <w:tcPr>
            <w:tcW w:w="5580" w:type="dxa"/>
            <w:vAlign w:val="bottom"/>
            <w:gridSpan w:val="2"/>
          </w:tcPr>
          <w:p>
            <w:pPr>
              <w:jc w:val="right"/>
              <w:ind w:right="4710"/>
              <w:spacing w:after="0"/>
              <w:rPr>
                <w:sz w:val="20"/>
                <w:szCs w:val="20"/>
                <w:color w:val="auto"/>
              </w:rPr>
            </w:pPr>
            <w:r>
              <w:rPr>
                <w:rFonts w:ascii="Arial" w:cs="Arial" w:eastAsia="Arial" w:hAnsi="Arial"/>
                <w:sz w:val="18"/>
                <w:szCs w:val="18"/>
                <w:b w:val="1"/>
                <w:bCs w:val="1"/>
                <w:color w:val="auto"/>
                <w:w w:val="97"/>
              </w:rPr>
              <w:t>Exhibit A</w:t>
            </w:r>
          </w:p>
        </w:tc>
      </w:tr>
      <w:tr>
        <w:trPr>
          <w:trHeight w:val="263"/>
        </w:trPr>
        <w:tc>
          <w:tcPr>
            <w:tcW w:w="5240" w:type="dxa"/>
            <w:vAlign w:val="bottom"/>
          </w:tcPr>
          <w:p>
            <w:pPr>
              <w:spacing w:after="0"/>
              <w:rPr>
                <w:sz w:val="22"/>
                <w:szCs w:val="22"/>
                <w:color w:val="auto"/>
              </w:rPr>
            </w:pPr>
          </w:p>
        </w:tc>
        <w:tc>
          <w:tcPr>
            <w:tcW w:w="780" w:type="dxa"/>
            <w:vAlign w:val="bottom"/>
            <w:tcBorders>
              <w:top w:val="single" w:sz="8" w:color="auto"/>
            </w:tcBorders>
          </w:tcPr>
          <w:p>
            <w:pPr>
              <w:spacing w:after="0"/>
              <w:rPr>
                <w:sz w:val="22"/>
                <w:szCs w:val="22"/>
                <w:color w:val="auto"/>
              </w:rPr>
            </w:pPr>
          </w:p>
        </w:tc>
        <w:tc>
          <w:tcPr>
            <w:tcW w:w="4800" w:type="dxa"/>
            <w:vAlign w:val="bottom"/>
          </w:tcPr>
          <w:p>
            <w:pPr>
              <w:spacing w:after="0"/>
              <w:rPr>
                <w:sz w:val="22"/>
                <w:szCs w:val="22"/>
                <w:color w:val="auto"/>
              </w:rPr>
            </w:pPr>
          </w:p>
        </w:tc>
      </w:tr>
      <w:tr>
        <w:trPr>
          <w:trHeight w:val="229"/>
        </w:trPr>
        <w:tc>
          <w:tcPr>
            <w:tcW w:w="5240" w:type="dxa"/>
            <w:vAlign w:val="bottom"/>
            <w:shd w:val="clear" w:color="auto" w:fill="DBE5F1"/>
          </w:tcPr>
          <w:p>
            <w:pPr>
              <w:ind w:left="20"/>
              <w:spacing w:after="0"/>
              <w:rPr>
                <w:sz w:val="20"/>
                <w:szCs w:val="20"/>
                <w:color w:val="auto"/>
              </w:rPr>
            </w:pPr>
            <w:r>
              <w:rPr>
                <w:rFonts w:ascii="Arial" w:cs="Arial" w:eastAsia="Arial" w:hAnsi="Arial"/>
                <w:sz w:val="18"/>
                <w:szCs w:val="18"/>
                <w:color w:val="auto"/>
              </w:rPr>
              <w:t>Grant Number:</w:t>
            </w:r>
          </w:p>
        </w:tc>
        <w:tc>
          <w:tcPr>
            <w:tcW w:w="780" w:type="dxa"/>
            <w:vAlign w:val="bottom"/>
            <w:shd w:val="clear" w:color="auto" w:fill="DBE5F1"/>
          </w:tcPr>
          <w:p>
            <w:pPr>
              <w:spacing w:after="0"/>
              <w:rPr>
                <w:sz w:val="19"/>
                <w:szCs w:val="19"/>
                <w:color w:val="auto"/>
              </w:rPr>
            </w:pPr>
          </w:p>
        </w:tc>
        <w:tc>
          <w:tcPr>
            <w:tcW w:w="4800" w:type="dxa"/>
            <w:vAlign w:val="bottom"/>
            <w:shd w:val="clear" w:color="auto" w:fill="DBE5F1"/>
          </w:tcPr>
          <w:p>
            <w:pPr>
              <w:jc w:val="right"/>
              <w:spacing w:after="0"/>
              <w:rPr>
                <w:sz w:val="20"/>
                <w:szCs w:val="20"/>
                <w:color w:val="auto"/>
              </w:rPr>
            </w:pPr>
            <w:r>
              <w:rPr>
                <w:rFonts w:ascii="Arial" w:cs="Arial" w:eastAsia="Arial" w:hAnsi="Arial"/>
                <w:sz w:val="18"/>
                <w:szCs w:val="18"/>
                <w:color w:val="auto"/>
              </w:rPr>
              <w:t>T0000000</w:t>
            </w:r>
          </w:p>
        </w:tc>
      </w:tr>
      <w:tr>
        <w:trPr>
          <w:trHeight w:val="230"/>
        </w:trPr>
        <w:tc>
          <w:tcPr>
            <w:tcW w:w="5240" w:type="dxa"/>
            <w:vAlign w:val="bottom"/>
          </w:tcPr>
          <w:p>
            <w:pPr>
              <w:ind w:left="20"/>
              <w:spacing w:after="0"/>
              <w:rPr>
                <w:sz w:val="20"/>
                <w:szCs w:val="20"/>
                <w:color w:val="auto"/>
              </w:rPr>
            </w:pPr>
            <w:r>
              <w:rPr>
                <w:rFonts w:ascii="Arial" w:cs="Arial" w:eastAsia="Arial" w:hAnsi="Arial"/>
                <w:sz w:val="18"/>
                <w:szCs w:val="18"/>
                <w:color w:val="auto"/>
              </w:rPr>
              <w:t>Grant date:</w:t>
            </w:r>
          </w:p>
        </w:tc>
        <w:tc>
          <w:tcPr>
            <w:tcW w:w="5580" w:type="dxa"/>
            <w:vAlign w:val="bottom"/>
            <w:gridSpan w:val="2"/>
          </w:tcPr>
          <w:p>
            <w:pPr>
              <w:jc w:val="right"/>
              <w:spacing w:after="0"/>
              <w:rPr>
                <w:sz w:val="20"/>
                <w:szCs w:val="20"/>
                <w:color w:val="auto"/>
              </w:rPr>
            </w:pPr>
            <w:r>
              <w:rPr>
                <w:rFonts w:ascii="Arial" w:cs="Arial" w:eastAsia="Arial" w:hAnsi="Arial"/>
                <w:sz w:val="18"/>
                <w:szCs w:val="18"/>
                <w:color w:val="auto"/>
              </w:rPr>
              <w:t>04/15/2022</w:t>
            </w:r>
          </w:p>
        </w:tc>
      </w:tr>
      <w:tr>
        <w:trPr>
          <w:trHeight w:val="229"/>
        </w:trPr>
        <w:tc>
          <w:tcPr>
            <w:tcW w:w="5240" w:type="dxa"/>
            <w:vAlign w:val="bottom"/>
            <w:shd w:val="clear" w:color="auto" w:fill="DBE5F1"/>
          </w:tcPr>
          <w:p>
            <w:pPr>
              <w:ind w:left="20"/>
              <w:spacing w:after="0"/>
              <w:rPr>
                <w:sz w:val="20"/>
                <w:szCs w:val="20"/>
                <w:color w:val="auto"/>
              </w:rPr>
            </w:pPr>
            <w:r>
              <w:rPr>
                <w:rFonts w:ascii="Arial" w:cs="Arial" w:eastAsia="Arial" w:hAnsi="Arial"/>
                <w:sz w:val="18"/>
                <w:szCs w:val="18"/>
                <w:color w:val="auto"/>
              </w:rPr>
              <w:t>Grant date Fair Market Value per share:</w:t>
            </w:r>
          </w:p>
        </w:tc>
        <w:tc>
          <w:tcPr>
            <w:tcW w:w="780" w:type="dxa"/>
            <w:vAlign w:val="bottom"/>
            <w:shd w:val="clear" w:color="auto" w:fill="DBE5F1"/>
          </w:tcPr>
          <w:p>
            <w:pPr>
              <w:spacing w:after="0"/>
              <w:rPr>
                <w:sz w:val="19"/>
                <w:szCs w:val="19"/>
                <w:color w:val="auto"/>
              </w:rPr>
            </w:pPr>
          </w:p>
        </w:tc>
        <w:tc>
          <w:tcPr>
            <w:tcW w:w="4800" w:type="dxa"/>
            <w:vAlign w:val="bottom"/>
            <w:shd w:val="clear" w:color="auto" w:fill="DBE5F1"/>
          </w:tcPr>
          <w:p>
            <w:pPr>
              <w:jc w:val="right"/>
              <w:spacing w:after="0"/>
              <w:rPr>
                <w:sz w:val="20"/>
                <w:szCs w:val="20"/>
                <w:color w:val="auto"/>
              </w:rPr>
            </w:pPr>
            <w:r>
              <w:rPr>
                <w:rFonts w:ascii="Arial" w:cs="Arial" w:eastAsia="Arial" w:hAnsi="Arial"/>
                <w:sz w:val="18"/>
                <w:szCs w:val="18"/>
                <w:color w:val="auto"/>
              </w:rPr>
              <w:t>$XX.XX</w:t>
            </w:r>
          </w:p>
        </w:tc>
      </w:tr>
      <w:tr>
        <w:trPr>
          <w:trHeight w:val="229"/>
        </w:trPr>
        <w:tc>
          <w:tcPr>
            <w:tcW w:w="5240" w:type="dxa"/>
            <w:vAlign w:val="bottom"/>
          </w:tcPr>
          <w:p>
            <w:pPr>
              <w:ind w:left="20"/>
              <w:spacing w:after="0"/>
              <w:rPr>
                <w:sz w:val="20"/>
                <w:szCs w:val="20"/>
                <w:color w:val="auto"/>
              </w:rPr>
            </w:pPr>
            <w:r>
              <w:rPr>
                <w:rFonts w:ascii="Arial" w:cs="Arial" w:eastAsia="Arial" w:hAnsi="Arial"/>
                <w:sz w:val="18"/>
                <w:szCs w:val="18"/>
                <w:color w:val="auto"/>
              </w:rPr>
              <w:t>Grant Price:</w:t>
            </w:r>
          </w:p>
        </w:tc>
        <w:tc>
          <w:tcPr>
            <w:tcW w:w="5580" w:type="dxa"/>
            <w:vAlign w:val="bottom"/>
            <w:gridSpan w:val="2"/>
          </w:tcPr>
          <w:p>
            <w:pPr>
              <w:jc w:val="right"/>
              <w:spacing w:after="0"/>
              <w:rPr>
                <w:sz w:val="20"/>
                <w:szCs w:val="20"/>
                <w:color w:val="auto"/>
              </w:rPr>
            </w:pPr>
            <w:r>
              <w:rPr>
                <w:rFonts w:ascii="Arial" w:cs="Arial" w:eastAsia="Arial" w:hAnsi="Arial"/>
                <w:sz w:val="18"/>
                <w:szCs w:val="18"/>
                <w:color w:val="auto"/>
              </w:rPr>
              <w:t>$0.00</w:t>
            </w:r>
          </w:p>
        </w:tc>
      </w:tr>
      <w:tr>
        <w:trPr>
          <w:trHeight w:val="176"/>
        </w:trPr>
        <w:tc>
          <w:tcPr>
            <w:tcW w:w="5240" w:type="dxa"/>
            <w:vAlign w:val="bottom"/>
            <w:shd w:val="clear" w:color="auto" w:fill="DBE5F1"/>
          </w:tcPr>
          <w:p>
            <w:pPr>
              <w:spacing w:after="0"/>
              <w:rPr>
                <w:sz w:val="15"/>
                <w:szCs w:val="15"/>
                <w:color w:val="auto"/>
              </w:rPr>
            </w:pPr>
          </w:p>
        </w:tc>
        <w:tc>
          <w:tcPr>
            <w:tcW w:w="780" w:type="dxa"/>
            <w:vAlign w:val="bottom"/>
            <w:shd w:val="clear" w:color="auto" w:fill="DBE5F1"/>
          </w:tcPr>
          <w:p>
            <w:pPr>
              <w:spacing w:after="0"/>
              <w:rPr>
                <w:sz w:val="15"/>
                <w:szCs w:val="15"/>
                <w:color w:val="auto"/>
              </w:rPr>
            </w:pPr>
          </w:p>
        </w:tc>
        <w:tc>
          <w:tcPr>
            <w:tcW w:w="4800" w:type="dxa"/>
            <w:vAlign w:val="bottom"/>
            <w:shd w:val="clear" w:color="auto" w:fill="DBE5F1"/>
          </w:tcPr>
          <w:p>
            <w:pPr>
              <w:jc w:val="right"/>
              <w:spacing w:after="0" w:line="176" w:lineRule="exact"/>
              <w:rPr>
                <w:sz w:val="20"/>
                <w:szCs w:val="20"/>
                <w:color w:val="auto"/>
              </w:rPr>
            </w:pPr>
            <w:r>
              <w:rPr>
                <w:rFonts w:ascii="Arial" w:cs="Arial" w:eastAsia="Arial" w:hAnsi="Arial"/>
                <w:sz w:val="18"/>
                <w:szCs w:val="18"/>
                <w:b w:val="1"/>
                <w:bCs w:val="1"/>
                <w:color w:val="auto"/>
              </w:rPr>
              <w:t>0% to 250% of Target</w:t>
            </w:r>
          </w:p>
        </w:tc>
      </w:tr>
      <w:tr>
        <w:trPr>
          <w:trHeight w:val="176"/>
        </w:trPr>
        <w:tc>
          <w:tcPr>
            <w:tcW w:w="5240" w:type="dxa"/>
            <w:vAlign w:val="bottom"/>
            <w:shd w:val="clear" w:color="auto" w:fill="DBE5F1"/>
          </w:tcPr>
          <w:p>
            <w:pPr>
              <w:spacing w:after="0"/>
              <w:rPr>
                <w:sz w:val="15"/>
                <w:szCs w:val="15"/>
                <w:color w:val="auto"/>
              </w:rPr>
            </w:pPr>
          </w:p>
        </w:tc>
        <w:tc>
          <w:tcPr>
            <w:tcW w:w="780" w:type="dxa"/>
            <w:vAlign w:val="bottom"/>
            <w:shd w:val="clear" w:color="auto" w:fill="DBE5F1"/>
          </w:tcPr>
          <w:p>
            <w:pPr>
              <w:spacing w:after="0"/>
              <w:rPr>
                <w:sz w:val="15"/>
                <w:szCs w:val="15"/>
                <w:color w:val="auto"/>
              </w:rPr>
            </w:pPr>
          </w:p>
        </w:tc>
        <w:tc>
          <w:tcPr>
            <w:tcW w:w="4800" w:type="dxa"/>
            <w:vAlign w:val="bottom"/>
            <w:shd w:val="clear" w:color="auto" w:fill="DBE5F1"/>
          </w:tcPr>
          <w:p>
            <w:pPr>
              <w:jc w:val="right"/>
              <w:spacing w:after="0" w:line="176" w:lineRule="exact"/>
              <w:rPr>
                <w:sz w:val="20"/>
                <w:szCs w:val="20"/>
                <w:color w:val="auto"/>
              </w:rPr>
            </w:pPr>
            <w:r>
              <w:rPr>
                <w:rFonts w:ascii="Arial" w:cs="Arial" w:eastAsia="Arial" w:hAnsi="Arial"/>
                <w:sz w:val="18"/>
                <w:szCs w:val="18"/>
                <w:b w:val="1"/>
                <w:bCs w:val="1"/>
                <w:color w:val="auto"/>
              </w:rPr>
              <w:t>(200% is the Maximum for the TSR</w:t>
            </w:r>
          </w:p>
        </w:tc>
      </w:tr>
      <w:tr>
        <w:trPr>
          <w:trHeight w:val="175"/>
        </w:trPr>
        <w:tc>
          <w:tcPr>
            <w:tcW w:w="5240" w:type="dxa"/>
            <w:vAlign w:val="bottom"/>
            <w:shd w:val="clear" w:color="auto" w:fill="DBE5F1"/>
          </w:tcPr>
          <w:p>
            <w:pPr>
              <w:ind w:left="20"/>
              <w:spacing w:after="0" w:line="176" w:lineRule="exact"/>
              <w:rPr>
                <w:sz w:val="20"/>
                <w:szCs w:val="20"/>
                <w:color w:val="auto"/>
              </w:rPr>
            </w:pPr>
            <w:r>
              <w:rPr>
                <w:rFonts w:ascii="Arial" w:cs="Arial" w:eastAsia="Arial" w:hAnsi="Arial"/>
                <w:sz w:val="18"/>
                <w:szCs w:val="18"/>
                <w:color w:val="auto"/>
              </w:rPr>
              <w:t>Number of shares in range:</w:t>
            </w:r>
          </w:p>
        </w:tc>
        <w:tc>
          <w:tcPr>
            <w:tcW w:w="780" w:type="dxa"/>
            <w:vAlign w:val="bottom"/>
            <w:shd w:val="clear" w:color="auto" w:fill="DBE5F1"/>
          </w:tcPr>
          <w:p>
            <w:pPr>
              <w:spacing w:after="0"/>
              <w:rPr>
                <w:sz w:val="15"/>
                <w:szCs w:val="15"/>
                <w:color w:val="auto"/>
              </w:rPr>
            </w:pPr>
          </w:p>
        </w:tc>
        <w:tc>
          <w:tcPr>
            <w:tcW w:w="4800" w:type="dxa"/>
            <w:vAlign w:val="bottom"/>
            <w:shd w:val="clear" w:color="auto" w:fill="DBE5F1"/>
          </w:tcPr>
          <w:p>
            <w:pPr>
              <w:jc w:val="right"/>
              <w:spacing w:after="0" w:line="176" w:lineRule="exact"/>
              <w:rPr>
                <w:sz w:val="20"/>
                <w:szCs w:val="20"/>
                <w:color w:val="auto"/>
              </w:rPr>
            </w:pPr>
            <w:r>
              <w:rPr>
                <w:rFonts w:ascii="Arial" w:cs="Arial" w:eastAsia="Arial" w:hAnsi="Arial"/>
                <w:sz w:val="18"/>
                <w:szCs w:val="18"/>
                <w:b w:val="1"/>
                <w:bCs w:val="1"/>
                <w:color w:val="auto"/>
              </w:rPr>
              <w:t>component and the product of the</w:t>
            </w:r>
          </w:p>
        </w:tc>
      </w:tr>
      <w:tr>
        <w:trPr>
          <w:trHeight w:val="176"/>
        </w:trPr>
        <w:tc>
          <w:tcPr>
            <w:tcW w:w="5240" w:type="dxa"/>
            <w:vAlign w:val="bottom"/>
            <w:shd w:val="clear" w:color="auto" w:fill="DBE5F1"/>
          </w:tcPr>
          <w:p>
            <w:pPr>
              <w:spacing w:after="0"/>
              <w:rPr>
                <w:sz w:val="15"/>
                <w:szCs w:val="15"/>
                <w:color w:val="auto"/>
              </w:rPr>
            </w:pPr>
          </w:p>
        </w:tc>
        <w:tc>
          <w:tcPr>
            <w:tcW w:w="780" w:type="dxa"/>
            <w:vAlign w:val="bottom"/>
            <w:shd w:val="clear" w:color="auto" w:fill="DBE5F1"/>
          </w:tcPr>
          <w:p>
            <w:pPr>
              <w:spacing w:after="0"/>
              <w:rPr>
                <w:sz w:val="15"/>
                <w:szCs w:val="15"/>
                <w:color w:val="auto"/>
              </w:rPr>
            </w:pPr>
          </w:p>
        </w:tc>
        <w:tc>
          <w:tcPr>
            <w:tcW w:w="4800" w:type="dxa"/>
            <w:vAlign w:val="bottom"/>
            <w:shd w:val="clear" w:color="auto" w:fill="DBE5F1"/>
          </w:tcPr>
          <w:p>
            <w:pPr>
              <w:jc w:val="right"/>
              <w:spacing w:after="0" w:line="176" w:lineRule="exact"/>
              <w:rPr>
                <w:sz w:val="20"/>
                <w:szCs w:val="20"/>
                <w:color w:val="auto"/>
              </w:rPr>
            </w:pPr>
            <w:r>
              <w:rPr>
                <w:rFonts w:ascii="Arial" w:cs="Arial" w:eastAsia="Arial" w:hAnsi="Arial"/>
                <w:sz w:val="18"/>
                <w:szCs w:val="18"/>
                <w:b w:val="1"/>
                <w:bCs w:val="1"/>
                <w:color w:val="auto"/>
              </w:rPr>
              <w:t>TSR * the Multiplier can’t exceed</w:t>
            </w:r>
          </w:p>
        </w:tc>
      </w:tr>
      <w:tr>
        <w:trPr>
          <w:trHeight w:val="229"/>
        </w:trPr>
        <w:tc>
          <w:tcPr>
            <w:tcW w:w="5240" w:type="dxa"/>
            <w:vAlign w:val="bottom"/>
            <w:shd w:val="clear" w:color="auto" w:fill="DBE5F1"/>
          </w:tcPr>
          <w:p>
            <w:pPr>
              <w:spacing w:after="0"/>
              <w:rPr>
                <w:sz w:val="19"/>
                <w:szCs w:val="19"/>
                <w:color w:val="auto"/>
              </w:rPr>
            </w:pPr>
          </w:p>
        </w:tc>
        <w:tc>
          <w:tcPr>
            <w:tcW w:w="5580" w:type="dxa"/>
            <w:vAlign w:val="bottom"/>
            <w:gridSpan w:val="2"/>
            <w:shd w:val="clear" w:color="auto" w:fill="DBE5F1"/>
          </w:tcPr>
          <w:p>
            <w:pPr>
              <w:jc w:val="right"/>
              <w:spacing w:after="0"/>
              <w:rPr>
                <w:sz w:val="20"/>
                <w:szCs w:val="20"/>
                <w:color w:val="auto"/>
              </w:rPr>
            </w:pPr>
            <w:r>
              <w:rPr>
                <w:rFonts w:ascii="Arial" w:cs="Arial" w:eastAsia="Arial" w:hAnsi="Arial"/>
                <w:sz w:val="18"/>
                <w:szCs w:val="18"/>
                <w:b w:val="1"/>
                <w:bCs w:val="1"/>
                <w:color w:val="auto"/>
              </w:rPr>
              <w:t>250%)</w:t>
            </w:r>
          </w:p>
        </w:tc>
      </w:tr>
    </w:tbl>
    <w:p>
      <w:pPr>
        <w:spacing w:after="0" w:line="13" w:lineRule="exact"/>
        <w:rPr>
          <w:sz w:val="20"/>
          <w:szCs w:val="20"/>
          <w:color w:val="auto"/>
        </w:rPr>
      </w:pPr>
    </w:p>
    <w:p>
      <w:pPr>
        <w:sectPr>
          <w:pgSz w:w="11900" w:h="16838" w:orient="portrait"/>
          <w:cols w:equalWidth="0" w:num="1">
            <w:col w:w="10820"/>
          </w:cols>
          <w:pgMar w:left="320" w:top="1391" w:right="759" w:bottom="1440" w:gutter="0" w:footer="0" w:header="0"/>
        </w:sectPr>
      </w:pPr>
    </w:p>
    <w:p>
      <w:pPr>
        <w:ind w:left="20"/>
        <w:spacing w:after="0"/>
        <w:rPr>
          <w:sz w:val="20"/>
          <w:szCs w:val="20"/>
          <w:color w:val="auto"/>
        </w:rPr>
      </w:pPr>
      <w:r>
        <w:rPr>
          <w:rFonts w:ascii="Arial" w:cs="Arial" w:eastAsia="Arial" w:hAnsi="Arial"/>
          <w:sz w:val="17"/>
          <w:szCs w:val="17"/>
          <w:color w:val="auto"/>
        </w:rPr>
        <w:t>Number of shares at Target (payable at 100% of TSR component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6866255" cy="29972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38">
                      <a:extLst>
                        <a:ext uri="{28A0092B-C50C-407E-A947-70E740481C1C}"/>
                      </a:extLst>
                    </a:blip>
                    <a:srcRect/>
                    <a:stretch>
                      <a:fillRect/>
                    </a:stretch>
                  </pic:blipFill>
                  <pic:spPr bwMode="auto">
                    <a:xfrm>
                      <a:off x="0" y="0"/>
                      <a:ext cx="6866255" cy="299720"/>
                    </a:xfrm>
                    <a:prstGeom prst="rect">
                      <a:avLst/>
                    </a:prstGeom>
                    <a:noFill/>
                  </pic:spPr>
                </pic:pic>
              </a:graphicData>
            </a:graphic>
          </wp:anchor>
        </w:drawing>
      </w:r>
    </w:p>
    <w:p>
      <w:pPr>
        <w:spacing w:after="0" w:line="257" w:lineRule="exact"/>
        <w:rPr>
          <w:sz w:val="20"/>
          <w:szCs w:val="20"/>
          <w:color w:val="auto"/>
        </w:rPr>
      </w:pPr>
    </w:p>
    <w:p>
      <w:pPr>
        <w:ind w:left="80"/>
        <w:spacing w:after="0"/>
        <w:rPr>
          <w:sz w:val="20"/>
          <w:szCs w:val="20"/>
          <w:color w:val="auto"/>
        </w:rPr>
      </w:pPr>
      <w:r>
        <w:rPr>
          <w:rFonts w:ascii="Arial" w:cs="Arial" w:eastAsia="Arial" w:hAnsi="Arial"/>
          <w:sz w:val="18"/>
          <w:szCs w:val="18"/>
          <w:color w:val="auto"/>
        </w:rPr>
        <w:t>Number of shares at Maximum (payable at 250% of Target):</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Grant Type: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6866255" cy="25717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39">
                      <a:extLst>
                        <a:ext uri="{28A0092B-C50C-407E-A947-70E740481C1C}"/>
                      </a:extLst>
                    </a:blip>
                    <a:srcRect/>
                    <a:stretch>
                      <a:fillRect/>
                    </a:stretch>
                  </pic:blipFill>
                  <pic:spPr bwMode="auto">
                    <a:xfrm>
                      <a:off x="0" y="0"/>
                      <a:ext cx="6866255" cy="257175"/>
                    </a:xfrm>
                    <a:prstGeom prst="rect">
                      <a:avLst/>
                    </a:prstGeom>
                    <a:noFill/>
                  </pic:spPr>
                </pic:pic>
              </a:graphicData>
            </a:graphic>
          </wp:anchor>
        </w:drawing>
      </w:r>
    </w:p>
    <w:p>
      <w:pPr>
        <w:spacing w:after="0" w:line="84" w:lineRule="exact"/>
        <w:rPr>
          <w:sz w:val="20"/>
          <w:szCs w:val="20"/>
          <w:color w:val="auto"/>
        </w:rPr>
      </w:pPr>
    </w:p>
    <w:p>
      <w:pPr>
        <w:ind w:left="20"/>
        <w:spacing w:after="0"/>
        <w:rPr>
          <w:sz w:val="20"/>
          <w:szCs w:val="20"/>
          <w:color w:val="auto"/>
        </w:rPr>
      </w:pPr>
      <w:r>
        <w:rPr>
          <w:rFonts w:ascii="Arial" w:cs="Arial" w:eastAsia="Arial" w:hAnsi="Arial"/>
          <w:sz w:val="18"/>
          <w:szCs w:val="18"/>
          <w:color w:val="auto"/>
        </w:rPr>
        <w:t>Vesting schedule:</w:t>
      </w:r>
    </w:p>
    <w:p>
      <w:pPr>
        <w:spacing w:after="0" w:line="20" w:lineRule="exact"/>
        <w:rPr>
          <w:sz w:val="20"/>
          <w:szCs w:val="20"/>
          <w:color w:val="auto"/>
        </w:rPr>
      </w:pPr>
      <w:r>
        <w:rPr>
          <w:sz w:val="20"/>
          <w:szCs w:val="20"/>
          <w:color w:val="auto"/>
        </w:rPr>
        <w:br w:type="column"/>
      </w:r>
    </w:p>
    <w:p>
      <w:pPr>
        <w:jc w:val="right"/>
        <w:ind w:right="60"/>
        <w:spacing w:after="0"/>
        <w:rPr>
          <w:sz w:val="20"/>
          <w:szCs w:val="20"/>
          <w:color w:val="auto"/>
        </w:rPr>
      </w:pPr>
      <w:r>
        <w:rPr>
          <w:rFonts w:ascii="Arial" w:cs="Arial" w:eastAsia="Arial" w:hAnsi="Arial"/>
          <w:sz w:val="18"/>
          <w:szCs w:val="18"/>
          <w:color w:val="auto"/>
        </w:rPr>
        <w:t>X,XXX</w:t>
      </w:r>
    </w:p>
    <w:p>
      <w:pPr>
        <w:spacing w:after="0" w:line="266"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X,XXX</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Total Stockholder Return (TSR)</w:t>
      </w:r>
    </w:p>
    <w:p>
      <w:pPr>
        <w:spacing w:after="0" w:line="23" w:lineRule="exact"/>
        <w:rPr>
          <w:sz w:val="20"/>
          <w:szCs w:val="20"/>
          <w:color w:val="auto"/>
        </w:rPr>
      </w:pPr>
    </w:p>
    <w:p>
      <w:pPr>
        <w:jc w:val="right"/>
        <w:ind w:right="60"/>
        <w:spacing w:after="0" w:line="227" w:lineRule="auto"/>
        <w:rPr>
          <w:sz w:val="20"/>
          <w:szCs w:val="20"/>
          <w:color w:val="auto"/>
        </w:rPr>
      </w:pPr>
      <w:r>
        <w:rPr>
          <w:rFonts w:ascii="Arial" w:cs="Arial" w:eastAsia="Arial" w:hAnsi="Arial"/>
          <w:sz w:val="18"/>
          <w:szCs w:val="18"/>
          <w:color w:val="auto"/>
        </w:rPr>
        <w:t>If earned, cliff vest at end of 3 years from the date of grant</w:t>
      </w:r>
    </w:p>
    <w:p>
      <w:pPr>
        <w:spacing w:after="0" w:line="13" w:lineRule="exact"/>
        <w:rPr>
          <w:sz w:val="20"/>
          <w:szCs w:val="20"/>
          <w:color w:val="auto"/>
        </w:rPr>
      </w:pPr>
    </w:p>
    <w:p>
      <w:pPr>
        <w:sectPr>
          <w:pgSz w:w="11900" w:h="16838" w:orient="portrait"/>
          <w:cols w:equalWidth="0" w:num="2">
            <w:col w:w="7180" w:space="720"/>
            <w:col w:w="2920"/>
          </w:cols>
          <w:pgMar w:left="320" w:top="1391" w:right="759" w:bottom="1440" w:gutter="0" w:footer="0" w:header="0"/>
          <w:type w:val="continuous"/>
        </w:sectPr>
      </w:pPr>
    </w:p>
    <w:tbl>
      <w:tblPr>
        <w:tblLayout w:type="fixed"/>
        <w:tblInd w:w="0" w:type="dxa"/>
        <w:tblCellMar>
          <w:top w:w="0" w:type="dxa"/>
          <w:left w:w="0" w:type="dxa"/>
          <w:bottom w:w="0" w:type="dxa"/>
          <w:right w:w="0" w:type="dxa"/>
        </w:tblCellMar>
      </w:tblPr>
      <w:tr>
        <w:trPr>
          <w:trHeight w:val="217"/>
        </w:trPr>
        <w:tc>
          <w:tcPr>
            <w:tcW w:w="6340" w:type="dxa"/>
            <w:vAlign w:val="bottom"/>
          </w:tcPr>
          <w:p>
            <w:pPr>
              <w:ind w:left="20"/>
              <w:spacing w:after="0"/>
              <w:rPr>
                <w:sz w:val="20"/>
                <w:szCs w:val="20"/>
                <w:color w:val="auto"/>
              </w:rPr>
            </w:pPr>
            <w:r>
              <w:rPr>
                <w:rFonts w:ascii="Arial" w:cs="Arial" w:eastAsia="Arial" w:hAnsi="Arial"/>
                <w:sz w:val="18"/>
                <w:szCs w:val="18"/>
                <w:color w:val="auto"/>
              </w:rPr>
              <w:t>Vesting commencement date:</w:t>
            </w:r>
          </w:p>
        </w:tc>
        <w:tc>
          <w:tcPr>
            <w:tcW w:w="4480" w:type="dxa"/>
            <w:vAlign w:val="bottom"/>
          </w:tcPr>
          <w:p>
            <w:pPr>
              <w:jc w:val="right"/>
              <w:spacing w:after="0"/>
              <w:rPr>
                <w:sz w:val="20"/>
                <w:szCs w:val="20"/>
                <w:color w:val="auto"/>
              </w:rPr>
            </w:pPr>
            <w:r>
              <w:rPr>
                <w:rFonts w:ascii="Arial" w:cs="Arial" w:eastAsia="Arial" w:hAnsi="Arial"/>
                <w:sz w:val="18"/>
                <w:szCs w:val="18"/>
                <w:color w:val="auto"/>
              </w:rPr>
              <w:t>04/15/2022</w:t>
            </w:r>
          </w:p>
        </w:tc>
      </w:tr>
      <w:tr>
        <w:trPr>
          <w:trHeight w:val="230"/>
        </w:trPr>
        <w:tc>
          <w:tcPr>
            <w:tcW w:w="6340" w:type="dxa"/>
            <w:vAlign w:val="bottom"/>
            <w:shd w:val="clear" w:color="auto" w:fill="DBE5F1"/>
          </w:tcPr>
          <w:p>
            <w:pPr>
              <w:ind w:left="20"/>
              <w:spacing w:after="0"/>
              <w:rPr>
                <w:sz w:val="20"/>
                <w:szCs w:val="20"/>
                <w:color w:val="auto"/>
              </w:rPr>
            </w:pPr>
            <w:r>
              <w:rPr>
                <w:rFonts w:ascii="Arial" w:cs="Arial" w:eastAsia="Arial" w:hAnsi="Arial"/>
                <w:sz w:val="18"/>
                <w:szCs w:val="18"/>
                <w:color w:val="auto"/>
              </w:rPr>
              <w:t>Vesting date:</w:t>
            </w:r>
          </w:p>
        </w:tc>
        <w:tc>
          <w:tcPr>
            <w:tcW w:w="4480" w:type="dxa"/>
            <w:vAlign w:val="bottom"/>
            <w:shd w:val="clear" w:color="auto" w:fill="DBE5F1"/>
          </w:tcPr>
          <w:p>
            <w:pPr>
              <w:jc w:val="right"/>
              <w:spacing w:after="0"/>
              <w:rPr>
                <w:sz w:val="20"/>
                <w:szCs w:val="20"/>
                <w:color w:val="auto"/>
              </w:rPr>
            </w:pPr>
            <w:r>
              <w:rPr>
                <w:rFonts w:ascii="Arial" w:cs="Arial" w:eastAsia="Arial" w:hAnsi="Arial"/>
                <w:sz w:val="18"/>
                <w:szCs w:val="18"/>
                <w:color w:val="auto"/>
              </w:rPr>
              <w:t>04/15/2025</w:t>
            </w:r>
          </w:p>
        </w:tc>
      </w:tr>
      <w:tr>
        <w:trPr>
          <w:trHeight w:val="229"/>
        </w:trPr>
        <w:tc>
          <w:tcPr>
            <w:tcW w:w="6340" w:type="dxa"/>
            <w:vAlign w:val="bottom"/>
          </w:tcPr>
          <w:p>
            <w:pPr>
              <w:ind w:left="20"/>
              <w:spacing w:after="0"/>
              <w:rPr>
                <w:sz w:val="20"/>
                <w:szCs w:val="20"/>
                <w:color w:val="auto"/>
              </w:rPr>
            </w:pPr>
            <w:r>
              <w:rPr>
                <w:rFonts w:ascii="Arial" w:cs="Arial" w:eastAsia="Arial" w:hAnsi="Arial"/>
                <w:sz w:val="18"/>
                <w:szCs w:val="18"/>
                <w:color w:val="auto"/>
              </w:rPr>
              <w:t>Performance metrics:</w:t>
            </w:r>
          </w:p>
        </w:tc>
        <w:tc>
          <w:tcPr>
            <w:tcW w:w="4480" w:type="dxa"/>
            <w:vAlign w:val="bottom"/>
          </w:tcPr>
          <w:p>
            <w:pPr>
              <w:jc w:val="right"/>
              <w:spacing w:after="0"/>
              <w:rPr>
                <w:sz w:val="20"/>
                <w:szCs w:val="20"/>
                <w:color w:val="auto"/>
              </w:rPr>
            </w:pPr>
            <w:r>
              <w:rPr>
                <w:rFonts w:ascii="Arial" w:cs="Arial" w:eastAsia="Arial" w:hAnsi="Arial"/>
                <w:sz w:val="18"/>
                <w:szCs w:val="18"/>
                <w:b w:val="1"/>
                <w:bCs w:val="1"/>
                <w:color w:val="auto"/>
              </w:rPr>
              <w:t>See Exhibit B</w:t>
            </w:r>
          </w:p>
        </w:tc>
      </w:tr>
      <w:tr>
        <w:trPr>
          <w:trHeight w:val="229"/>
        </w:trPr>
        <w:tc>
          <w:tcPr>
            <w:tcW w:w="6340" w:type="dxa"/>
            <w:vAlign w:val="bottom"/>
            <w:shd w:val="clear" w:color="auto" w:fill="DBE5F1"/>
          </w:tcPr>
          <w:p>
            <w:pPr>
              <w:ind w:left="20"/>
              <w:spacing w:after="0"/>
              <w:rPr>
                <w:sz w:val="20"/>
                <w:szCs w:val="20"/>
                <w:color w:val="auto"/>
              </w:rPr>
            </w:pPr>
            <w:r>
              <w:rPr>
                <w:rFonts w:ascii="Arial" w:cs="Arial" w:eastAsia="Arial" w:hAnsi="Arial"/>
                <w:sz w:val="18"/>
                <w:szCs w:val="18"/>
                <w:color w:val="auto"/>
              </w:rPr>
              <w:t>Performance measurement start date:</w:t>
            </w:r>
          </w:p>
        </w:tc>
        <w:tc>
          <w:tcPr>
            <w:tcW w:w="4480" w:type="dxa"/>
            <w:vAlign w:val="bottom"/>
            <w:shd w:val="clear" w:color="auto" w:fill="DBE5F1"/>
          </w:tcPr>
          <w:p>
            <w:pPr>
              <w:jc w:val="right"/>
              <w:spacing w:after="0"/>
              <w:rPr>
                <w:sz w:val="20"/>
                <w:szCs w:val="20"/>
                <w:color w:val="auto"/>
              </w:rPr>
            </w:pPr>
            <w:r>
              <w:rPr>
                <w:rFonts w:ascii="Arial" w:cs="Arial" w:eastAsia="Arial" w:hAnsi="Arial"/>
                <w:sz w:val="18"/>
                <w:szCs w:val="18"/>
                <w:color w:val="auto"/>
              </w:rPr>
              <w:t>04/15/2022</w:t>
            </w:r>
          </w:p>
        </w:tc>
      </w:tr>
      <w:tr>
        <w:trPr>
          <w:trHeight w:val="230"/>
        </w:trPr>
        <w:tc>
          <w:tcPr>
            <w:tcW w:w="6340" w:type="dxa"/>
            <w:vAlign w:val="bottom"/>
          </w:tcPr>
          <w:p>
            <w:pPr>
              <w:ind w:left="20"/>
              <w:spacing w:after="0"/>
              <w:rPr>
                <w:sz w:val="20"/>
                <w:szCs w:val="20"/>
                <w:color w:val="auto"/>
              </w:rPr>
            </w:pPr>
            <w:r>
              <w:rPr>
                <w:rFonts w:ascii="Arial" w:cs="Arial" w:eastAsia="Arial" w:hAnsi="Arial"/>
                <w:sz w:val="18"/>
                <w:szCs w:val="18"/>
                <w:color w:val="auto"/>
              </w:rPr>
              <w:t>Performance measurement end date:</w:t>
            </w:r>
          </w:p>
        </w:tc>
        <w:tc>
          <w:tcPr>
            <w:tcW w:w="4480" w:type="dxa"/>
            <w:vAlign w:val="bottom"/>
          </w:tcPr>
          <w:p>
            <w:pPr>
              <w:jc w:val="right"/>
              <w:spacing w:after="0"/>
              <w:rPr>
                <w:sz w:val="20"/>
                <w:szCs w:val="20"/>
                <w:color w:val="auto"/>
              </w:rPr>
            </w:pPr>
            <w:r>
              <w:rPr>
                <w:rFonts w:ascii="Arial" w:cs="Arial" w:eastAsia="Arial" w:hAnsi="Arial"/>
                <w:sz w:val="18"/>
                <w:szCs w:val="18"/>
                <w:color w:val="auto"/>
              </w:rPr>
              <w:t>04/05/2025</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spacing w:after="0"/>
        <w:rPr>
          <w:sz w:val="20"/>
          <w:szCs w:val="20"/>
          <w:color w:val="auto"/>
        </w:rPr>
      </w:pPr>
      <w:r>
        <w:rPr>
          <w:rFonts w:ascii="Arial" w:cs="Arial" w:eastAsia="Arial" w:hAnsi="Arial"/>
          <w:sz w:val="18"/>
          <w:szCs w:val="18"/>
          <w:color w:val="auto"/>
        </w:rPr>
        <w:t>Page 2 of 3</w:t>
      </w:r>
    </w:p>
    <w:p>
      <w:pPr>
        <w:sectPr>
          <w:pgSz w:w="11900" w:h="16838" w:orient="portrait"/>
          <w:cols w:equalWidth="0" w:num="1">
            <w:col w:w="10820"/>
          </w:cols>
          <w:pgMar w:left="320" w:top="1391" w:right="759" w:bottom="1440" w:gutter="0" w:footer="0" w:header="0"/>
          <w:type w:val="continuous"/>
        </w:sectPr>
      </w:pPr>
    </w:p>
    <w:bookmarkStart w:id="74" w:name="page75"/>
    <w:bookmarkEnd w:id="74"/>
    <w:p>
      <w:pPr>
        <w:jc w:val="right"/>
        <w:spacing w:after="0"/>
        <w:rPr>
          <w:sz w:val="20"/>
          <w:szCs w:val="20"/>
          <w:color w:val="auto"/>
        </w:rPr>
      </w:pPr>
      <w:r>
        <w:rPr>
          <w:rFonts w:ascii="Arial" w:cs="Arial" w:eastAsia="Arial" w:hAnsi="Arial"/>
          <w:sz w:val="18"/>
          <w:szCs w:val="18"/>
          <w:b w:val="1"/>
          <w:bCs w:val="1"/>
          <w:color w:val="auto"/>
        </w:rPr>
        <w:t>Exhibit 10.7.8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u w:val="single" w:color="auto"/>
          <w:color w:val="auto"/>
        </w:rPr>
        <w:t>Exhibit B</w:t>
      </w:r>
    </w:p>
    <w:p>
      <w:pPr>
        <w:spacing w:after="0" w:line="206" w:lineRule="exact"/>
        <w:rPr>
          <w:sz w:val="20"/>
          <w:szCs w:val="20"/>
          <w:color w:val="auto"/>
        </w:rPr>
      </w:pPr>
    </w:p>
    <w:p>
      <w:pPr>
        <w:ind w:left="20" w:right="160"/>
        <w:spacing w:after="0" w:line="230" w:lineRule="auto"/>
        <w:rPr>
          <w:sz w:val="20"/>
          <w:szCs w:val="20"/>
          <w:color w:val="auto"/>
        </w:rPr>
      </w:pPr>
      <w:r>
        <w:rPr>
          <w:rFonts w:ascii="Arial" w:cs="Arial" w:eastAsia="Arial" w:hAnsi="Arial"/>
          <w:sz w:val="21"/>
          <w:szCs w:val="21"/>
          <w:b w:val="1"/>
          <w:bCs w:val="1"/>
          <w:u w:val="single" w:color="auto"/>
          <w:color w:val="auto"/>
        </w:rPr>
        <w:t>TSR Objectives</w:t>
      </w:r>
      <w:r>
        <w:rPr>
          <w:rFonts w:ascii="Arial" w:cs="Arial" w:eastAsia="Arial" w:hAnsi="Arial"/>
          <w:sz w:val="18"/>
          <w:szCs w:val="18"/>
          <w:b w:val="1"/>
          <w:bCs w:val="1"/>
          <w:color w:val="auto"/>
        </w:rPr>
        <w:t>–</w:t>
      </w:r>
      <w:r>
        <w:rPr>
          <w:rFonts w:ascii="Arial" w:cs="Arial" w:eastAsia="Arial" w:hAnsi="Arial"/>
          <w:sz w:val="21"/>
          <w:szCs w:val="21"/>
          <w:b w:val="1"/>
          <w:bCs w:val="1"/>
          <w:color w:val="auto"/>
        </w:rPr>
        <w:t xml:space="preserve"> </w:t>
      </w:r>
      <w:r>
        <w:rPr>
          <w:rFonts w:ascii="Arial" w:cs="Arial" w:eastAsia="Arial" w:hAnsi="Arial"/>
          <w:sz w:val="21"/>
          <w:szCs w:val="21"/>
          <w:color w:val="auto"/>
        </w:rPr>
        <w:t>Based on achievement relating to the relative total stockholder return of the Company’s Common Shares as</w:t>
      </w:r>
      <w:r>
        <w:rPr>
          <w:rFonts w:ascii="Arial" w:cs="Arial" w:eastAsia="Arial" w:hAnsi="Arial"/>
          <w:sz w:val="21"/>
          <w:szCs w:val="21"/>
          <w:b w:val="1"/>
          <w:bCs w:val="1"/>
          <w:color w:val="auto"/>
        </w:rPr>
        <w:t xml:space="preserve"> </w:t>
      </w:r>
      <w:r>
        <w:rPr>
          <w:rFonts w:ascii="Arial" w:cs="Arial" w:eastAsia="Arial" w:hAnsi="Arial"/>
          <w:sz w:val="21"/>
          <w:szCs w:val="21"/>
          <w:color w:val="auto"/>
        </w:rPr>
        <w:t>compared to the total stockholder return of the S&amp;P 500 Index over the performance period, provided that you continue to serve as a service provider through the third anniversary of the Vesting commencement date. The ECC will certify the amount of achievement (or non-achievement) of the TSR Objectives prior to the Vesting date.</w:t>
      </w:r>
    </w:p>
    <w:p>
      <w:pPr>
        <w:spacing w:after="0" w:line="181" w:lineRule="exact"/>
        <w:rPr>
          <w:sz w:val="20"/>
          <w:szCs w:val="20"/>
          <w:color w:val="auto"/>
        </w:rPr>
      </w:pPr>
    </w:p>
    <w:p>
      <w:pPr>
        <w:ind w:left="20" w:right="200"/>
        <w:spacing w:after="0" w:line="271" w:lineRule="auto"/>
        <w:rPr>
          <w:sz w:val="20"/>
          <w:szCs w:val="20"/>
          <w:color w:val="auto"/>
        </w:rPr>
      </w:pPr>
      <w:r>
        <w:rPr>
          <w:rFonts w:ascii="Arial" w:cs="Arial" w:eastAsia="Arial" w:hAnsi="Arial"/>
          <w:sz w:val="19"/>
          <w:szCs w:val="19"/>
          <w:b w:val="1"/>
          <w:bCs w:val="1"/>
          <w:u w:val="single" w:color="auto"/>
          <w:color w:val="auto"/>
        </w:rPr>
        <w:t>Calculation Methodology</w:t>
      </w:r>
      <w:r>
        <w:rPr>
          <w:rFonts w:ascii="Arial" w:cs="Arial" w:eastAsia="Arial" w:hAnsi="Arial"/>
          <w:sz w:val="19"/>
          <w:szCs w:val="19"/>
          <w:b w:val="1"/>
          <w:bCs w:val="1"/>
          <w:color w:val="auto"/>
        </w:rPr>
        <w:t xml:space="preserve"> </w:t>
      </w:r>
      <w:r>
        <w:rPr>
          <w:rFonts w:ascii="Arial" w:cs="Arial" w:eastAsia="Arial" w:hAnsi="Arial"/>
          <w:sz w:val="19"/>
          <w:szCs w:val="19"/>
          <w:color w:val="auto"/>
        </w:rPr>
        <w:t>– Stock price growth adjusted for reinvested dividends during the performance period. The start and</w:t>
      </w:r>
      <w:r>
        <w:rPr>
          <w:rFonts w:ascii="Arial" w:cs="Arial" w:eastAsia="Arial" w:hAnsi="Arial"/>
          <w:sz w:val="19"/>
          <w:szCs w:val="19"/>
          <w:b w:val="1"/>
          <w:bCs w:val="1"/>
          <w:color w:val="auto"/>
        </w:rPr>
        <w:t xml:space="preserve"> </w:t>
      </w:r>
      <w:r>
        <w:rPr>
          <w:rFonts w:ascii="Arial" w:cs="Arial" w:eastAsia="Arial" w:hAnsi="Arial"/>
          <w:sz w:val="19"/>
          <w:szCs w:val="19"/>
          <w:color w:val="auto"/>
        </w:rPr>
        <w:t>end prices of the Company’s common stock and of the S&amp;P 500 Index shall be based on the average closing prices during the preceding 120-trading days before the Performance measurement start date and before the Performance measurement end date</w:t>
      </w:r>
    </w:p>
    <w:p>
      <w:pPr>
        <w:spacing w:after="0" w:line="151" w:lineRule="exact"/>
        <w:rPr>
          <w:sz w:val="20"/>
          <w:szCs w:val="20"/>
          <w:color w:val="auto"/>
        </w:rPr>
      </w:pPr>
    </w:p>
    <w:p>
      <w:pPr>
        <w:ind w:left="20"/>
        <w:spacing w:after="0"/>
        <w:rPr>
          <w:sz w:val="20"/>
          <w:szCs w:val="20"/>
          <w:color w:val="auto"/>
        </w:rPr>
      </w:pPr>
      <w:r>
        <w:rPr>
          <w:rFonts w:ascii="Arial" w:cs="Arial" w:eastAsia="Arial" w:hAnsi="Arial"/>
          <w:sz w:val="22"/>
          <w:szCs w:val="22"/>
          <w:b w:val="1"/>
          <w:bCs w:val="1"/>
          <w:u w:val="single" w:color="auto"/>
          <w:color w:val="auto"/>
        </w:rPr>
        <w:t>Performance-Payout Schedule:</w:t>
      </w:r>
    </w:p>
    <w:p>
      <w:pPr>
        <w:spacing w:after="0" w:line="254" w:lineRule="exact"/>
        <w:rPr>
          <w:sz w:val="20"/>
          <w:szCs w:val="20"/>
          <w:color w:val="auto"/>
        </w:rPr>
      </w:pPr>
    </w:p>
    <w:tbl>
      <w:tblPr>
        <w:tblLayout w:type="fixed"/>
        <w:tblInd w:w="10" w:type="dxa"/>
        <w:tblCellMar>
          <w:top w:w="0" w:type="dxa"/>
          <w:left w:w="0" w:type="dxa"/>
          <w:bottom w:w="0" w:type="dxa"/>
          <w:right w:w="0" w:type="dxa"/>
        </w:tblCellMar>
      </w:tblPr>
      <w:tr>
        <w:trPr>
          <w:trHeight w:val="324"/>
        </w:trPr>
        <w:tc>
          <w:tcPr>
            <w:tcW w:w="294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2"/>
                <w:szCs w:val="22"/>
                <w:b w:val="1"/>
                <w:bCs w:val="1"/>
                <w:color w:val="auto"/>
              </w:rPr>
              <w:t>Performance Level</w:t>
            </w:r>
          </w:p>
        </w:tc>
        <w:tc>
          <w:tcPr>
            <w:tcW w:w="372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Versus the S&amp;P 500 Index</w:t>
            </w:r>
          </w:p>
        </w:tc>
        <w:tc>
          <w:tcPr>
            <w:tcW w:w="228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Payout</w:t>
            </w:r>
          </w:p>
        </w:tc>
      </w:tr>
      <w:tr>
        <w:trPr>
          <w:trHeight w:val="263"/>
        </w:trPr>
        <w:tc>
          <w:tcPr>
            <w:tcW w:w="29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2"/>
                <w:szCs w:val="22"/>
                <w:b w:val="1"/>
                <w:bCs w:val="1"/>
                <w:color w:val="auto"/>
              </w:rPr>
              <w:t>Maximum</w:t>
            </w:r>
          </w:p>
        </w:tc>
        <w:tc>
          <w:tcPr>
            <w:tcW w:w="372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+33% over</w:t>
            </w:r>
          </w:p>
        </w:tc>
        <w:tc>
          <w:tcPr>
            <w:tcW w:w="228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200% of Target</w:t>
            </w:r>
          </w:p>
        </w:tc>
      </w:tr>
      <w:tr>
        <w:trPr>
          <w:trHeight w:val="263"/>
        </w:trPr>
        <w:tc>
          <w:tcPr>
            <w:tcW w:w="29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2"/>
                <w:szCs w:val="22"/>
                <w:b w:val="1"/>
                <w:bCs w:val="1"/>
                <w:color w:val="auto"/>
              </w:rPr>
              <w:t>Target</w:t>
            </w:r>
          </w:p>
        </w:tc>
        <w:tc>
          <w:tcPr>
            <w:tcW w:w="372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Equal to S&amp;P 500</w:t>
            </w:r>
          </w:p>
        </w:tc>
        <w:tc>
          <w:tcPr>
            <w:tcW w:w="228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100% of Target</w:t>
            </w:r>
          </w:p>
        </w:tc>
      </w:tr>
      <w:tr>
        <w:trPr>
          <w:trHeight w:val="298"/>
        </w:trPr>
        <w:tc>
          <w:tcPr>
            <w:tcW w:w="294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2"/>
                <w:szCs w:val="22"/>
                <w:b w:val="1"/>
                <w:bCs w:val="1"/>
                <w:color w:val="auto"/>
              </w:rPr>
              <w:t>Minimum</w:t>
            </w:r>
          </w:p>
        </w:tc>
        <w:tc>
          <w:tcPr>
            <w:tcW w:w="372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-33% under</w:t>
            </w:r>
          </w:p>
        </w:tc>
        <w:tc>
          <w:tcPr>
            <w:tcW w:w="228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0% of Target</w:t>
            </w:r>
          </w:p>
        </w:tc>
      </w:tr>
    </w:tbl>
    <w:p>
      <w:pPr>
        <w:spacing w:after="0" w:line="303" w:lineRule="exact"/>
        <w:rPr>
          <w:sz w:val="20"/>
          <w:szCs w:val="20"/>
          <w:color w:val="auto"/>
        </w:rPr>
      </w:pPr>
    </w:p>
    <w:p>
      <w:pPr>
        <w:ind w:left="20" w:right="240"/>
        <w:spacing w:after="0" w:line="232" w:lineRule="auto"/>
        <w:rPr>
          <w:sz w:val="20"/>
          <w:szCs w:val="20"/>
          <w:color w:val="auto"/>
        </w:rPr>
      </w:pPr>
      <w:r>
        <w:rPr>
          <w:rFonts w:ascii="Arial" w:cs="Arial" w:eastAsia="Arial" w:hAnsi="Arial"/>
          <w:sz w:val="22"/>
          <w:szCs w:val="22"/>
          <w:color w:val="auto"/>
        </w:rPr>
        <w:t>Actual performance will be calculated using a straight-line interpolation between the above performance levels (rounding up to the nearest percent). The number of shares awarded will be rounded up to nearest whole share.</w:t>
      </w:r>
    </w:p>
    <w:p>
      <w:pPr>
        <w:spacing w:after="0" w:line="180" w:lineRule="exact"/>
        <w:rPr>
          <w:sz w:val="20"/>
          <w:szCs w:val="20"/>
          <w:color w:val="auto"/>
        </w:rPr>
      </w:pPr>
    </w:p>
    <w:p>
      <w:pPr>
        <w:ind w:left="20"/>
        <w:spacing w:after="0"/>
        <w:rPr>
          <w:sz w:val="20"/>
          <w:szCs w:val="20"/>
          <w:color w:val="auto"/>
        </w:rPr>
      </w:pPr>
      <w:r>
        <w:rPr>
          <w:rFonts w:ascii="Arial" w:cs="Arial" w:eastAsia="Arial" w:hAnsi="Arial"/>
          <w:sz w:val="22"/>
          <w:szCs w:val="22"/>
          <w:b w:val="1"/>
          <w:bCs w:val="1"/>
          <w:u w:val="single" w:color="auto"/>
          <w:color w:val="auto"/>
        </w:rPr>
        <w:t>Non-GAAP EPS CAGR Multiplier</w:t>
      </w:r>
      <w:r>
        <w:rPr>
          <w:rFonts w:ascii="Arial" w:cs="Arial" w:eastAsia="Arial" w:hAnsi="Arial"/>
          <w:sz w:val="22"/>
          <w:szCs w:val="22"/>
          <w:b w:val="1"/>
          <w:bCs w:val="1"/>
          <w:color w:val="auto"/>
        </w:rPr>
        <w:t xml:space="preserve"> </w:t>
      </w:r>
      <w:r>
        <w:rPr>
          <w:rFonts w:ascii="Arial" w:cs="Arial" w:eastAsia="Arial" w:hAnsi="Arial"/>
          <w:sz w:val="22"/>
          <w:szCs w:val="22"/>
          <w:color w:val="auto"/>
        </w:rPr>
        <w:t>(the “Multiplier”) –</w:t>
      </w:r>
    </w:p>
    <w:p>
      <w:pPr>
        <w:spacing w:after="0" w:line="212" w:lineRule="exact"/>
        <w:rPr>
          <w:sz w:val="20"/>
          <w:szCs w:val="20"/>
          <w:color w:val="auto"/>
        </w:rPr>
      </w:pPr>
    </w:p>
    <w:p>
      <w:pPr>
        <w:ind w:left="20" w:right="60"/>
        <w:spacing w:after="0" w:line="221" w:lineRule="auto"/>
        <w:rPr>
          <w:sz w:val="20"/>
          <w:szCs w:val="20"/>
          <w:color w:val="auto"/>
        </w:rPr>
      </w:pPr>
      <w:r>
        <w:rPr>
          <w:rFonts w:ascii="Arial" w:cs="Arial" w:eastAsia="Arial" w:hAnsi="Arial"/>
          <w:sz w:val="21"/>
          <w:szCs w:val="21"/>
          <w:color w:val="auto"/>
        </w:rPr>
        <w:t>For purposes of this agreement, “Non-GAAP EPS” will be calculated in accordance with how such term is calculated in the Company’s quarterly earnings press releases, and with respect to each company in the Peer Group, “Non-GAAP EPS” will be calculated in accordance with how such term is calculated by such peer company in its quarterly earnings press releases. If a peer company stops providing Non-GAAP EPS in a quarterly earnings report then it will be excluded from the Peer Group. The applicable performance period (the “Multiplier Performance Period”) for the Multiplier will be the 2-year period including the Company’s fiscal years 2023 through 2024 and/or calendar year 2022 through 2023 for the companies in the Company’s compensation peer group approved on February 16, 2022 (the “Peer Group”). For the avoidance of doubt, the Company will solely rely on publicly released Non-GAAP EPS calculations for each peer company without making any adjustments or alternation to such number.</w:t>
      </w:r>
    </w:p>
    <w:p>
      <w:pPr>
        <w:spacing w:after="0" w:line="186" w:lineRule="exact"/>
        <w:rPr>
          <w:sz w:val="20"/>
          <w:szCs w:val="20"/>
          <w:color w:val="auto"/>
        </w:rPr>
      </w:pPr>
    </w:p>
    <w:p>
      <w:pPr>
        <w:ind w:left="20" w:right="20"/>
        <w:spacing w:after="0" w:line="252" w:lineRule="auto"/>
        <w:rPr>
          <w:sz w:val="20"/>
          <w:szCs w:val="20"/>
          <w:color w:val="auto"/>
        </w:rPr>
      </w:pPr>
      <w:r>
        <w:rPr>
          <w:rFonts w:ascii="Arial" w:cs="Arial" w:eastAsia="Arial" w:hAnsi="Arial"/>
          <w:sz w:val="19"/>
          <w:szCs w:val="19"/>
          <w:color w:val="auto"/>
        </w:rPr>
        <w:t>As the Company’s earnings releases generally are issued about one (1) month later than many peer companies, the Company (for purposes of the calculation each quarter) shall rely on the earnings press release issued by each company in the Peer Group that is released immediately prior to the Company’s earnings press release. For example, if a peer company releases earnings April 30 for calendar year Q1 and July 30 for calendar year Q2, the Company shall compare its fiscal year Q1 earnings release issued on or about May 26 to the April 30 earnings release issued by the peer company.</w:t>
      </w:r>
    </w:p>
    <w:p>
      <w:pPr>
        <w:spacing w:after="0" w:line="176" w:lineRule="exact"/>
        <w:rPr>
          <w:sz w:val="20"/>
          <w:szCs w:val="20"/>
          <w:color w:val="auto"/>
        </w:rPr>
      </w:pPr>
    </w:p>
    <w:p>
      <w:pPr>
        <w:ind w:left="20" w:right="260"/>
        <w:spacing w:after="0" w:line="223" w:lineRule="auto"/>
        <w:rPr>
          <w:sz w:val="20"/>
          <w:szCs w:val="20"/>
          <w:color w:val="auto"/>
        </w:rPr>
      </w:pPr>
      <w:r>
        <w:rPr>
          <w:rFonts w:ascii="Arial" w:cs="Arial" w:eastAsia="Arial" w:hAnsi="Arial"/>
          <w:sz w:val="22"/>
          <w:szCs w:val="22"/>
          <w:color w:val="auto"/>
        </w:rPr>
        <w:t>For the Multiplier Performance Period, the Non-GAAP EPS compound annual growth rate (“Non-GAAP EPS CAGR”) for the Company will be determined and measured against the Non-GAAP EPS CAGR for the companies in the Peer Group, as measured in the table below.</w:t>
      </w:r>
    </w:p>
    <w:p>
      <w:pPr>
        <w:sectPr>
          <w:pgSz w:w="11900" w:h="16838" w:orient="portrait"/>
          <w:cols w:equalWidth="0" w:num="1">
            <w:col w:w="11260"/>
          </w:cols>
          <w:pgMar w:left="300" w:top="108" w:right="339" w:bottom="1440" w:gutter="0" w:footer="0" w:header="0"/>
        </w:sectPr>
      </w:pPr>
    </w:p>
    <w:bookmarkStart w:id="75" w:name="page76"/>
    <w:bookmarkEnd w:id="75"/>
    <w:p>
      <w:pPr>
        <w:jc w:val="right"/>
        <w:spacing w:after="0"/>
        <w:rPr>
          <w:sz w:val="20"/>
          <w:szCs w:val="20"/>
          <w:color w:val="auto"/>
        </w:rPr>
      </w:pPr>
      <w:r>
        <w:rPr>
          <w:rFonts w:ascii="Arial" w:cs="Arial" w:eastAsia="Arial" w:hAnsi="Arial"/>
          <w:sz w:val="18"/>
          <w:szCs w:val="18"/>
          <w:b w:val="1"/>
          <w:bCs w:val="1"/>
          <w:color w:val="auto"/>
        </w:rPr>
        <w:t>Exhibit 10.7.8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tbl>
      <w:tblPr>
        <w:tblLayout w:type="fixed"/>
        <w:tblInd w:w="10" w:type="dxa"/>
        <w:tblCellMar>
          <w:top w:w="0" w:type="dxa"/>
          <w:left w:w="0" w:type="dxa"/>
          <w:bottom w:w="0" w:type="dxa"/>
          <w:right w:w="0" w:type="dxa"/>
        </w:tblCellMar>
      </w:tblPr>
      <w:tr>
        <w:trPr>
          <w:trHeight w:val="324"/>
        </w:trPr>
        <w:tc>
          <w:tcPr>
            <w:tcW w:w="466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22"/>
                <w:szCs w:val="22"/>
                <w:b w:val="1"/>
                <w:bCs w:val="1"/>
                <w:color w:val="auto"/>
              </w:rPr>
              <w:t>Percentile Rank in Peer Group</w:t>
            </w:r>
          </w:p>
        </w:tc>
        <w:tc>
          <w:tcPr>
            <w:tcW w:w="164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Multiplier</w:t>
            </w:r>
          </w:p>
        </w:tc>
      </w:tr>
      <w:tr>
        <w:trPr>
          <w:trHeight w:val="263"/>
        </w:trPr>
        <w:tc>
          <w:tcPr>
            <w:tcW w:w="4660" w:type="dxa"/>
            <w:vAlign w:val="bottom"/>
            <w:tcBorders>
              <w:left w:val="single" w:sz="8" w:color="auto"/>
              <w:bottom w:val="single" w:sz="8" w:color="auto"/>
              <w:right w:val="single" w:sz="8" w:color="auto"/>
            </w:tcBorders>
          </w:tcPr>
          <w:p>
            <w:pPr>
              <w:ind w:left="120"/>
              <w:spacing w:after="0" w:line="263" w:lineRule="exact"/>
              <w:rPr>
                <w:sz w:val="20"/>
                <w:szCs w:val="20"/>
                <w:color w:val="auto"/>
              </w:rPr>
            </w:pPr>
            <w:r>
              <w:rPr>
                <w:rFonts w:ascii="Arial" w:cs="Arial" w:eastAsia="Arial" w:hAnsi="Arial"/>
                <w:sz w:val="22"/>
                <w:szCs w:val="22"/>
                <w:b w:val="1"/>
                <w:bCs w:val="1"/>
                <w:color w:val="auto"/>
              </w:rPr>
              <w:t>Equal to or less than 50</w:t>
            </w:r>
            <w:r>
              <w:rPr>
                <w:rFonts w:ascii="Arial" w:cs="Arial" w:eastAsia="Arial" w:hAnsi="Arial"/>
                <w:sz w:val="28"/>
                <w:szCs w:val="28"/>
                <w:b w:val="1"/>
                <w:bCs w:val="1"/>
                <w:color w:val="auto"/>
                <w:vertAlign w:val="superscript"/>
              </w:rPr>
              <w:t>th</w:t>
            </w:r>
            <w:r>
              <w:rPr>
                <w:rFonts w:ascii="Arial" w:cs="Arial" w:eastAsia="Arial" w:hAnsi="Arial"/>
                <w:sz w:val="22"/>
                <w:szCs w:val="22"/>
                <w:b w:val="1"/>
                <w:bCs w:val="1"/>
                <w:color w:val="auto"/>
              </w:rPr>
              <w:t xml:space="preserve"> Percentile</w:t>
            </w:r>
          </w:p>
        </w:tc>
        <w:tc>
          <w:tcPr>
            <w:tcW w:w="16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100%</w:t>
            </w:r>
          </w:p>
        </w:tc>
      </w:tr>
      <w:tr>
        <w:trPr>
          <w:trHeight w:val="298"/>
        </w:trPr>
        <w:tc>
          <w:tcPr>
            <w:tcW w:w="4660" w:type="dxa"/>
            <w:vAlign w:val="bottom"/>
            <w:tcBorders>
              <w:left w:val="single" w:sz="8" w:color="auto"/>
              <w:bottom w:val="single" w:sz="8" w:color="auto"/>
              <w:right w:val="single" w:sz="8" w:color="auto"/>
            </w:tcBorders>
          </w:tcPr>
          <w:p>
            <w:pPr>
              <w:ind w:left="120"/>
              <w:spacing w:after="0" w:line="263" w:lineRule="exact"/>
              <w:rPr>
                <w:sz w:val="20"/>
                <w:szCs w:val="20"/>
                <w:color w:val="auto"/>
              </w:rPr>
            </w:pPr>
            <w:r>
              <w:rPr>
                <w:rFonts w:ascii="Arial" w:cs="Arial" w:eastAsia="Arial" w:hAnsi="Arial"/>
                <w:sz w:val="22"/>
                <w:szCs w:val="22"/>
                <w:b w:val="1"/>
                <w:bCs w:val="1"/>
                <w:color w:val="auto"/>
              </w:rPr>
              <w:t>At 75</w:t>
            </w:r>
            <w:r>
              <w:rPr>
                <w:rFonts w:ascii="Arial" w:cs="Arial" w:eastAsia="Arial" w:hAnsi="Arial"/>
                <w:sz w:val="28"/>
                <w:szCs w:val="28"/>
                <w:b w:val="1"/>
                <w:bCs w:val="1"/>
                <w:color w:val="auto"/>
                <w:vertAlign w:val="superscript"/>
              </w:rPr>
              <w:t>th</w:t>
            </w:r>
            <w:r>
              <w:rPr>
                <w:rFonts w:ascii="Arial" w:cs="Arial" w:eastAsia="Arial" w:hAnsi="Arial"/>
                <w:sz w:val="22"/>
                <w:szCs w:val="22"/>
                <w:b w:val="1"/>
                <w:bCs w:val="1"/>
                <w:color w:val="auto"/>
              </w:rPr>
              <w:t xml:space="preserve"> Percentile or Higher</w:t>
            </w:r>
          </w:p>
        </w:tc>
        <w:tc>
          <w:tcPr>
            <w:tcW w:w="16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2"/>
                <w:szCs w:val="22"/>
                <w:b w:val="1"/>
                <w:bCs w:val="1"/>
                <w:color w:val="auto"/>
              </w:rPr>
              <w:t>150%</w:t>
            </w:r>
          </w:p>
        </w:tc>
      </w:tr>
    </w:tbl>
    <w:p>
      <w:pPr>
        <w:spacing w:after="0" w:line="295" w:lineRule="exact"/>
        <w:rPr>
          <w:sz w:val="20"/>
          <w:szCs w:val="20"/>
          <w:color w:val="auto"/>
        </w:rPr>
      </w:pPr>
    </w:p>
    <w:p>
      <w:pPr>
        <w:ind w:left="20" w:right="160"/>
        <w:spacing w:after="0" w:line="206" w:lineRule="auto"/>
        <w:rPr>
          <w:sz w:val="20"/>
          <w:szCs w:val="20"/>
          <w:color w:val="auto"/>
        </w:rPr>
      </w:pPr>
      <w:r>
        <w:rPr>
          <w:rFonts w:ascii="Arial" w:cs="Arial" w:eastAsia="Arial" w:hAnsi="Arial"/>
          <w:sz w:val="22"/>
          <w:szCs w:val="22"/>
          <w:color w:val="auto"/>
        </w:rPr>
        <w:t>Actual performance will be calculated using a straight-line interpolation between the 50</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and the 75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(rounding up to the nearest percent). The number of shares awarded will be rounded up to nearest whole share. In no circumstance will the Multiplier result in reducing the shares earned under the relative total stockholder return. Notwithstanding the foregoing, maximum payout of the product of (x) the relative total stockholder payout, </w:t>
      </w:r>
      <w:r>
        <w:rPr>
          <w:rFonts w:ascii="Arial" w:cs="Arial" w:eastAsia="Arial" w:hAnsi="Arial"/>
          <w:sz w:val="22"/>
          <w:szCs w:val="22"/>
          <w:i w:val="1"/>
          <w:iCs w:val="1"/>
          <w:color w:val="auto"/>
        </w:rPr>
        <w:t>multiplied by</w:t>
      </w:r>
      <w:r>
        <w:rPr>
          <w:rFonts w:ascii="Arial" w:cs="Arial" w:eastAsia="Arial" w:hAnsi="Arial"/>
          <w:sz w:val="22"/>
          <w:szCs w:val="22"/>
          <w:color w:val="auto"/>
        </w:rPr>
        <w:t xml:space="preserve"> (y) the Multiplier will not exceed 250%.</w:t>
      </w:r>
    </w:p>
    <w:p>
      <w:pPr>
        <w:spacing w:after="0" w:line="178" w:lineRule="exact"/>
        <w:rPr>
          <w:sz w:val="20"/>
          <w:szCs w:val="20"/>
          <w:color w:val="auto"/>
        </w:rPr>
      </w:pPr>
    </w:p>
    <w:p>
      <w:pPr>
        <w:ind w:left="20" w:right="140"/>
        <w:spacing w:after="0" w:line="236" w:lineRule="auto"/>
        <w:rPr>
          <w:sz w:val="20"/>
          <w:szCs w:val="20"/>
          <w:color w:val="auto"/>
        </w:rPr>
      </w:pPr>
      <w:r>
        <w:rPr>
          <w:rFonts w:ascii="Arial" w:cs="Arial" w:eastAsia="Arial" w:hAnsi="Arial"/>
          <w:sz w:val="19"/>
          <w:szCs w:val="19"/>
          <w:color w:val="auto"/>
        </w:rPr>
        <w:t>For illustrative purposes, if the Company’s Non-GAAP EPS CAGR is at the 75</w:t>
      </w:r>
      <w:r>
        <w:rPr>
          <w:rFonts w:ascii="Arial" w:cs="Arial" w:eastAsia="Arial" w:hAnsi="Arial"/>
          <w:sz w:val="25"/>
          <w:szCs w:val="25"/>
          <w:color w:val="auto"/>
          <w:vertAlign w:val="superscript"/>
        </w:rPr>
        <w:t>th</w:t>
      </w:r>
      <w:r>
        <w:rPr>
          <w:rFonts w:ascii="Arial" w:cs="Arial" w:eastAsia="Arial" w:hAnsi="Arial"/>
          <w:sz w:val="19"/>
          <w:szCs w:val="19"/>
          <w:color w:val="auto"/>
        </w:rPr>
        <w:t xml:space="preserve"> percentile of the Peer Group and the TSR achievement is earned at target, then net payout would be 100% (at the TSR target) * 150% (for the Multiplier) or 150% payout.</w:t>
      </w:r>
    </w:p>
    <w:p>
      <w:pPr>
        <w:spacing w:after="0" w:line="185" w:lineRule="exact"/>
        <w:rPr>
          <w:sz w:val="20"/>
          <w:szCs w:val="20"/>
          <w:color w:val="auto"/>
        </w:rPr>
      </w:pPr>
    </w:p>
    <w:p>
      <w:pPr>
        <w:ind w:left="20"/>
        <w:spacing w:after="0" w:line="224" w:lineRule="auto"/>
        <w:rPr>
          <w:sz w:val="20"/>
          <w:szCs w:val="20"/>
          <w:color w:val="auto"/>
        </w:rPr>
      </w:pPr>
      <w:r>
        <w:rPr>
          <w:rFonts w:ascii="Arial" w:cs="Arial" w:eastAsia="Arial" w:hAnsi="Arial"/>
          <w:sz w:val="21"/>
          <w:szCs w:val="21"/>
          <w:color w:val="auto"/>
        </w:rPr>
        <w:t xml:space="preserve">If a company in the Peer Group is acquired or otherwise undergoes a Change in Control which is completed (e.g., transaction closing date) during the Multiplier Performance Period, then such company will be excluded from the Peer Group and will not be used to calculate the Multiplier. If a company in the Peer Group is acquired or otherwise undergoes a Change in Control which is completed after the expiration of the Multiplier Performance Period </w:t>
      </w:r>
      <w:r>
        <w:rPr>
          <w:rFonts w:ascii="Arial" w:cs="Arial" w:eastAsia="Arial" w:hAnsi="Arial"/>
          <w:sz w:val="21"/>
          <w:szCs w:val="21"/>
          <w:u w:val="single" w:color="auto"/>
          <w:color w:val="auto"/>
        </w:rPr>
        <w:t>but prior</w:t>
      </w:r>
      <w:r>
        <w:rPr>
          <w:rFonts w:ascii="Arial" w:cs="Arial" w:eastAsia="Arial" w:hAnsi="Arial"/>
          <w:sz w:val="21"/>
          <w:szCs w:val="21"/>
          <w:color w:val="auto"/>
        </w:rPr>
        <w:t xml:space="preserve"> to the vesting date (which is 3-years from the date of grant), then such company will continue to be included in the Peer Group and will be used to calculate the Multiplier (provided sufficient financial information is publicly available to calculate the Multiplier).</w:t>
      </w:r>
    </w:p>
    <w:p>
      <w:pPr>
        <w:spacing w:after="0" w:line="187" w:lineRule="exact"/>
        <w:rPr>
          <w:sz w:val="20"/>
          <w:szCs w:val="20"/>
          <w:color w:val="auto"/>
        </w:rPr>
      </w:pPr>
    </w:p>
    <w:p>
      <w:pPr>
        <w:ind w:left="20" w:right="480"/>
        <w:spacing w:after="0" w:line="435" w:lineRule="auto"/>
        <w:rPr>
          <w:sz w:val="20"/>
          <w:szCs w:val="20"/>
          <w:color w:val="auto"/>
        </w:rPr>
      </w:pPr>
      <w:r>
        <w:rPr>
          <w:rFonts w:ascii="Arial" w:cs="Arial" w:eastAsia="Arial" w:hAnsi="Arial"/>
          <w:sz w:val="22"/>
          <w:szCs w:val="22"/>
          <w:color w:val="auto"/>
        </w:rPr>
        <w:t xml:space="preserve">The Multiplier shall be applied </w:t>
      </w:r>
      <w:r>
        <w:rPr>
          <w:rFonts w:ascii="Arial" w:cs="Arial" w:eastAsia="Arial" w:hAnsi="Arial"/>
          <w:sz w:val="22"/>
          <w:szCs w:val="22"/>
          <w:u w:val="single" w:color="auto"/>
          <w:color w:val="auto"/>
        </w:rPr>
        <w:t>after</w:t>
      </w:r>
      <w:r>
        <w:rPr>
          <w:rFonts w:ascii="Arial" w:cs="Arial" w:eastAsia="Arial" w:hAnsi="Arial"/>
          <w:sz w:val="22"/>
          <w:szCs w:val="22"/>
          <w:color w:val="auto"/>
        </w:rPr>
        <w:t xml:space="preserve"> the TSR Objectives are determined following the end of the 3-year performance period. </w:t>
      </w:r>
      <w:r>
        <w:rPr>
          <w:rFonts w:ascii="Arial" w:cs="Arial" w:eastAsia="Arial" w:hAnsi="Arial"/>
          <w:sz w:val="22"/>
          <w:szCs w:val="22"/>
          <w:b w:val="1"/>
          <w:bCs w:val="1"/>
          <w:u w:val="single" w:color="auto"/>
          <w:color w:val="auto"/>
        </w:rPr>
        <w:t>Change in Control</w:t>
      </w:r>
      <w:r>
        <w:rPr>
          <w:rFonts w:ascii="Arial" w:cs="Arial" w:eastAsia="Arial" w:hAnsi="Arial"/>
          <w:sz w:val="22"/>
          <w:szCs w:val="22"/>
          <w:b w:val="1"/>
          <w:bCs w:val="1"/>
          <w:color w:val="auto"/>
        </w:rPr>
        <w:t xml:space="preserve"> </w:t>
      </w:r>
      <w:r>
        <w:rPr>
          <w:rFonts w:ascii="Arial" w:cs="Arial" w:eastAsia="Arial" w:hAnsi="Arial"/>
          <w:sz w:val="22"/>
          <w:szCs w:val="22"/>
          <w:color w:val="auto"/>
        </w:rPr>
        <w:t>–</w:t>
      </w:r>
    </w:p>
    <w:p>
      <w:pPr>
        <w:spacing w:after="0" w:line="1" w:lineRule="exact"/>
        <w:rPr>
          <w:sz w:val="20"/>
          <w:szCs w:val="20"/>
          <w:color w:val="auto"/>
        </w:rPr>
      </w:pPr>
    </w:p>
    <w:p>
      <w:pPr>
        <w:ind w:left="20"/>
        <w:spacing w:after="0" w:line="221" w:lineRule="auto"/>
        <w:rPr>
          <w:sz w:val="20"/>
          <w:szCs w:val="20"/>
          <w:color w:val="auto"/>
        </w:rPr>
      </w:pPr>
      <w:r>
        <w:rPr>
          <w:rFonts w:ascii="Arial" w:cs="Arial" w:eastAsia="Arial" w:hAnsi="Arial"/>
          <w:sz w:val="21"/>
          <w:szCs w:val="21"/>
          <w:color w:val="auto"/>
        </w:rPr>
        <w:t>Upon a Change in Control (as defined in the Plan) that occurs during the performance period, the performance period will be truncated to end upon the closing of the Change in Control (the “Change in Control Performance Period”), and the Company total stockholder return will be measured against the S&amp;P 500 Index for the Change in Control Performance Period and the applicable payout will be measured in accordance with the Performance-Payout Schedule above (such Common Shares earned pursuant to the table above, “Earned Shares”). For the avoidance of doubt, the Company’s stock price for the Change in Control date will be the price payable to Company’s stockholders at the closing of the Change in Control, rather than over the preceding 120-trading days, and it will be compared against the S&amp;P Index during the Change in Control Performance Period which starts on the Performance measurement start date and ends using the 120-day average closing price of the S&amp;P 500 Index ending on the closing of the Change in Control.</w:t>
      </w:r>
    </w:p>
    <w:p>
      <w:pPr>
        <w:spacing w:after="0" w:line="186" w:lineRule="exact"/>
        <w:rPr>
          <w:sz w:val="20"/>
          <w:szCs w:val="20"/>
          <w:color w:val="auto"/>
        </w:rPr>
      </w:pPr>
    </w:p>
    <w:p>
      <w:pPr>
        <w:ind w:left="20" w:right="100"/>
        <w:spacing w:after="0" w:line="216" w:lineRule="auto"/>
        <w:rPr>
          <w:sz w:val="20"/>
          <w:szCs w:val="20"/>
          <w:color w:val="auto"/>
        </w:rPr>
      </w:pPr>
      <w:r>
        <w:rPr>
          <w:rFonts w:ascii="Arial" w:cs="Arial" w:eastAsia="Arial" w:hAnsi="Arial"/>
          <w:sz w:val="22"/>
          <w:szCs w:val="22"/>
          <w:color w:val="auto"/>
        </w:rPr>
        <w:t xml:space="preserve">If a Change in Control of the Company is completed (e.g., transaction closes) during the Multiplier Performance Period, then the Multiplier will not apply. If a Change in Control of the Company is completed after the Multiplier Performance Period </w:t>
      </w:r>
      <w:r>
        <w:rPr>
          <w:rFonts w:ascii="Arial" w:cs="Arial" w:eastAsia="Arial" w:hAnsi="Arial"/>
          <w:sz w:val="22"/>
          <w:szCs w:val="22"/>
          <w:u w:val="single" w:color="auto"/>
          <w:color w:val="auto"/>
        </w:rPr>
        <w:t>but prior</w:t>
      </w:r>
      <w:r>
        <w:rPr>
          <w:rFonts w:ascii="Arial" w:cs="Arial" w:eastAsia="Arial" w:hAnsi="Arial"/>
          <w:sz w:val="22"/>
          <w:szCs w:val="22"/>
          <w:color w:val="auto"/>
        </w:rPr>
        <w:t xml:space="preserve"> to the Vesting date (which is 3-years from the date of grant), then the Multiplier will apply. To the extent that the Multiplier has already been determined prior to a Change in Control, Earned Shares shall also be increased to include the impact of the Multiplier.</w:t>
      </w:r>
    </w:p>
    <w:p>
      <w:pPr>
        <w:spacing w:after="0" w:line="185" w:lineRule="exact"/>
        <w:rPr>
          <w:sz w:val="20"/>
          <w:szCs w:val="20"/>
          <w:color w:val="auto"/>
        </w:rPr>
      </w:pPr>
    </w:p>
    <w:p>
      <w:pPr>
        <w:ind w:left="20" w:right="60"/>
        <w:spacing w:after="0" w:line="218" w:lineRule="auto"/>
        <w:rPr>
          <w:sz w:val="20"/>
          <w:szCs w:val="20"/>
          <w:color w:val="auto"/>
        </w:rPr>
      </w:pPr>
      <w:r>
        <w:rPr>
          <w:rFonts w:ascii="Arial" w:cs="Arial" w:eastAsia="Arial" w:hAnsi="Arial"/>
          <w:sz w:val="22"/>
          <w:szCs w:val="22"/>
          <w:color w:val="auto"/>
        </w:rPr>
        <w:t>Once the payout is determined, a pro-rata portion of the Earned Shares will vest upon the Change in Control based on the portion of days served in the 3-year performance period through the Change in Control, provided that you continue to serve as a service provider through the closing of the Change in Control. The balance of the remaining portion of the Earned Shares that did not vest at the</w:t>
      </w:r>
    </w:p>
    <w:p>
      <w:pPr>
        <w:sectPr>
          <w:pgSz w:w="11900" w:h="16838" w:orient="portrait"/>
          <w:cols w:equalWidth="0" w:num="1">
            <w:col w:w="11260"/>
          </w:cols>
          <w:pgMar w:left="300" w:top="108" w:right="339" w:bottom="1440" w:gutter="0" w:footer="0" w:header="0"/>
        </w:sectPr>
      </w:pPr>
    </w:p>
    <w:bookmarkStart w:id="76" w:name="page77"/>
    <w:bookmarkEnd w:id="76"/>
    <w:p>
      <w:pPr>
        <w:jc w:val="right"/>
        <w:spacing w:after="0"/>
        <w:rPr>
          <w:sz w:val="20"/>
          <w:szCs w:val="20"/>
          <w:color w:val="auto"/>
        </w:rPr>
      </w:pPr>
      <w:r>
        <w:rPr>
          <w:rFonts w:ascii="Arial" w:cs="Arial" w:eastAsia="Arial" w:hAnsi="Arial"/>
          <w:sz w:val="18"/>
          <w:szCs w:val="18"/>
          <w:b w:val="1"/>
          <w:bCs w:val="1"/>
          <w:color w:val="auto"/>
        </w:rPr>
        <w:t>Exhibit 10.7.8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right="240"/>
        <w:spacing w:after="0" w:line="232" w:lineRule="auto"/>
        <w:rPr>
          <w:sz w:val="20"/>
          <w:szCs w:val="20"/>
          <w:color w:val="auto"/>
        </w:rPr>
      </w:pPr>
      <w:r>
        <w:rPr>
          <w:rFonts w:ascii="Arial" w:cs="Arial" w:eastAsia="Arial" w:hAnsi="Arial"/>
          <w:sz w:val="22"/>
          <w:szCs w:val="22"/>
          <w:color w:val="auto"/>
        </w:rPr>
        <w:t>Change in Control will vest on the last day of the performance period, provided that you continue to serve as a service provider on the vesting date.</w:t>
      </w:r>
    </w:p>
    <w:p>
      <w:pPr>
        <w:spacing w:after="0" w:line="186" w:lineRule="exact"/>
        <w:rPr>
          <w:sz w:val="20"/>
          <w:szCs w:val="20"/>
          <w:color w:val="auto"/>
        </w:rPr>
      </w:pPr>
    </w:p>
    <w:p>
      <w:pPr>
        <w:ind w:right="100"/>
        <w:spacing w:after="0" w:line="218" w:lineRule="auto"/>
        <w:rPr>
          <w:sz w:val="20"/>
          <w:szCs w:val="20"/>
          <w:color w:val="auto"/>
        </w:rPr>
      </w:pPr>
      <w:r>
        <w:rPr>
          <w:rFonts w:ascii="Arial" w:cs="Arial" w:eastAsia="Arial" w:hAnsi="Arial"/>
          <w:sz w:val="22"/>
          <w:szCs w:val="22"/>
          <w:color w:val="auto"/>
        </w:rPr>
        <w:t>Notwithstanding the standard post-Change in Control time-vesting above, if within the 24 month period following the Change in Control, your service is terminated without Cause (as defined in the Company’s Change in Control Severance Plan), then 100% of the remaining unvested Earned Shares will accelerate and become fully vested, subject to your execution of a customary release of claims.</w:t>
      </w:r>
    </w:p>
    <w:p>
      <w:pPr>
        <w:spacing w:after="0" w:line="188" w:lineRule="exact"/>
        <w:rPr>
          <w:sz w:val="20"/>
          <w:szCs w:val="20"/>
          <w:color w:val="auto"/>
        </w:rPr>
      </w:pPr>
    </w:p>
    <w:p>
      <w:pPr>
        <w:ind w:right="560"/>
        <w:spacing w:after="0" w:line="214" w:lineRule="auto"/>
        <w:rPr>
          <w:sz w:val="20"/>
          <w:szCs w:val="20"/>
          <w:color w:val="auto"/>
        </w:rPr>
      </w:pPr>
      <w:r>
        <w:rPr>
          <w:rFonts w:ascii="Arial" w:cs="Arial" w:eastAsia="Arial" w:hAnsi="Arial"/>
          <w:sz w:val="22"/>
          <w:szCs w:val="22"/>
          <w:color w:val="auto"/>
        </w:rPr>
        <w:t>Notwithstanding the above, a separate agreement entered into with the grantee with superior benefits than those above shall control and will apply in lieu of the above Change in Control terms.</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Page 3 of 3</w:t>
      </w:r>
    </w:p>
    <w:p>
      <w:pPr>
        <w:sectPr>
          <w:pgSz w:w="11900" w:h="16838" w:orient="portrait"/>
          <w:cols w:equalWidth="0" w:num="1">
            <w:col w:w="11240"/>
          </w:cols>
          <w:pgMar w:left="320" w:top="108" w:right="339" w:bottom="1440" w:gutter="0" w:footer="0" w:header="0"/>
        </w:sectPr>
      </w:pPr>
    </w:p>
    <w:bookmarkStart w:id="77" w:name="page78"/>
    <w:bookmarkEnd w:id="77"/>
    <w:p>
      <w:pPr>
        <w:jc w:val="right"/>
        <w:spacing w:after="0"/>
        <w:rPr>
          <w:sz w:val="20"/>
          <w:szCs w:val="20"/>
          <w:color w:val="auto"/>
        </w:rPr>
      </w:pPr>
      <w:r>
        <w:rPr>
          <w:rFonts w:ascii="Arial" w:cs="Arial" w:eastAsia="Arial" w:hAnsi="Arial"/>
          <w:sz w:val="18"/>
          <w:szCs w:val="18"/>
          <w:b w:val="1"/>
          <w:bCs w:val="1"/>
          <w:color w:val="auto"/>
        </w:rPr>
        <w:t>Exhibit 10.20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Compensation Arrangements for FY 2023</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Named Executive Officers</w:t>
      </w:r>
    </w:p>
    <w:p>
      <w:pPr>
        <w:spacing w:after="0" w:line="148"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Marvell Technology, Inc.</w:t>
      </w:r>
    </w:p>
    <w:p>
      <w:pPr>
        <w:spacing w:after="0" w:line="186" w:lineRule="exact"/>
        <w:rPr>
          <w:sz w:val="20"/>
          <w:szCs w:val="20"/>
          <w:color w:val="auto"/>
        </w:rPr>
      </w:pPr>
    </w:p>
    <w:p>
      <w:pPr>
        <w:ind w:right="40"/>
        <w:spacing w:after="0" w:line="255" w:lineRule="auto"/>
        <w:rPr>
          <w:sz w:val="20"/>
          <w:szCs w:val="20"/>
          <w:color w:val="auto"/>
        </w:rPr>
      </w:pPr>
      <w:r>
        <w:rPr>
          <w:rFonts w:ascii="Arial" w:cs="Arial" w:eastAsia="Arial" w:hAnsi="Arial"/>
          <w:sz w:val="20"/>
          <w:szCs w:val="20"/>
          <w:color w:val="auto"/>
        </w:rPr>
        <w:t>Note: The following summary of compensation arrangements does not include all previously-reported compensation arrangements or awards granted under previously-disclosed incentive plans. Disclosures with respect to compensation for Named Executive Officers for the 2022 fiscal year were included in the Company's definitive proxy statement for the Company's 2022 Annual Meeting of Stockholders filed with the SEC on May 6, 2022, and additional disclosures with respect to compensation for Named Executive Officers for the 2023 fiscal year will be included in the Company's definitive proxy statement for the Company's 2023 Annual Meeting of Stockholders.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600" w:type="dxa"/>
            <w:vAlign w:val="bottom"/>
          </w:tcPr>
          <w:p>
            <w:pPr>
              <w:spacing w:after="0"/>
              <w:rPr>
                <w:sz w:val="19"/>
                <w:szCs w:val="19"/>
                <w:color w:val="auto"/>
              </w:rPr>
            </w:pPr>
          </w:p>
        </w:tc>
        <w:tc>
          <w:tcPr>
            <w:tcW w:w="486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2200" w:type="dxa"/>
            <w:vAlign w:val="bottom"/>
          </w:tcPr>
          <w:p>
            <w:pPr>
              <w:jc w:val="center"/>
              <w:ind w:left="41"/>
              <w:spacing w:after="0"/>
              <w:rPr>
                <w:sz w:val="20"/>
                <w:szCs w:val="20"/>
                <w:color w:val="auto"/>
              </w:rPr>
            </w:pPr>
            <w:r>
              <w:rPr>
                <w:rFonts w:ascii="Arial" w:cs="Arial" w:eastAsia="Arial" w:hAnsi="Arial"/>
                <w:sz w:val="20"/>
                <w:szCs w:val="20"/>
                <w:i w:val="1"/>
                <w:iCs w:val="1"/>
                <w:color w:val="auto"/>
                <w:w w:val="98"/>
              </w:rPr>
              <w:t>INCENTIVE TARGET</w:t>
            </w:r>
          </w:p>
        </w:tc>
      </w:tr>
      <w:tr>
        <w:trPr>
          <w:trHeight w:val="297"/>
        </w:trPr>
        <w:tc>
          <w:tcPr>
            <w:tcW w:w="2600" w:type="dxa"/>
            <w:vAlign w:val="bottom"/>
            <w:tcBorders>
              <w:bottom w:val="single" w:sz="8" w:color="7F7F7F"/>
            </w:tcBorders>
          </w:tcPr>
          <w:p>
            <w:pPr>
              <w:ind w:left="80"/>
              <w:spacing w:after="0"/>
              <w:rPr>
                <w:sz w:val="20"/>
                <w:szCs w:val="20"/>
                <w:color w:val="auto"/>
              </w:rPr>
            </w:pPr>
            <w:r>
              <w:rPr>
                <w:rFonts w:ascii="Arial" w:cs="Arial" w:eastAsia="Arial" w:hAnsi="Arial"/>
                <w:sz w:val="20"/>
                <w:szCs w:val="20"/>
                <w:i w:val="1"/>
                <w:iCs w:val="1"/>
                <w:color w:val="auto"/>
              </w:rPr>
              <w:t>NAME</w:t>
            </w:r>
          </w:p>
        </w:tc>
        <w:tc>
          <w:tcPr>
            <w:tcW w:w="4860" w:type="dxa"/>
            <w:vAlign w:val="bottom"/>
            <w:tcBorders>
              <w:bottom w:val="single" w:sz="8" w:color="7F7F7F"/>
            </w:tcBorders>
          </w:tcPr>
          <w:p>
            <w:pPr>
              <w:ind w:left="40"/>
              <w:spacing w:after="0"/>
              <w:rPr>
                <w:sz w:val="20"/>
                <w:szCs w:val="20"/>
                <w:color w:val="auto"/>
              </w:rPr>
            </w:pPr>
            <w:r>
              <w:rPr>
                <w:rFonts w:ascii="Arial" w:cs="Arial" w:eastAsia="Arial" w:hAnsi="Arial"/>
                <w:sz w:val="20"/>
                <w:szCs w:val="20"/>
                <w:i w:val="1"/>
                <w:iCs w:val="1"/>
                <w:color w:val="auto"/>
              </w:rPr>
              <w:t>TITLE</w:t>
            </w:r>
          </w:p>
        </w:tc>
        <w:tc>
          <w:tcPr>
            <w:tcW w:w="1580" w:type="dxa"/>
            <w:vAlign w:val="bottom"/>
            <w:tcBorders>
              <w:bottom w:val="single" w:sz="8" w:color="7F7F7F"/>
            </w:tcBorders>
          </w:tcPr>
          <w:p>
            <w:pPr>
              <w:ind w:left="180"/>
              <w:spacing w:after="0"/>
              <w:rPr>
                <w:sz w:val="20"/>
                <w:szCs w:val="20"/>
                <w:color w:val="auto"/>
              </w:rPr>
            </w:pPr>
            <w:r>
              <w:rPr>
                <w:rFonts w:ascii="Arial" w:cs="Arial" w:eastAsia="Arial" w:hAnsi="Arial"/>
                <w:sz w:val="20"/>
                <w:szCs w:val="20"/>
                <w:i w:val="1"/>
                <w:iCs w:val="1"/>
                <w:color w:val="auto"/>
              </w:rPr>
              <w:t>SALARY ($)</w:t>
            </w:r>
          </w:p>
        </w:tc>
        <w:tc>
          <w:tcPr>
            <w:tcW w:w="2200" w:type="dxa"/>
            <w:vAlign w:val="bottom"/>
            <w:tcBorders>
              <w:bottom w:val="single" w:sz="8" w:color="7F7F7F"/>
            </w:tcBorders>
          </w:tcPr>
          <w:p>
            <w:pPr>
              <w:jc w:val="center"/>
              <w:ind w:left="41"/>
              <w:spacing w:after="0"/>
              <w:rPr>
                <w:sz w:val="20"/>
                <w:szCs w:val="20"/>
                <w:color w:val="auto"/>
              </w:rPr>
            </w:pPr>
            <w:r>
              <w:rPr>
                <w:rFonts w:ascii="Arial" w:cs="Arial" w:eastAsia="Arial" w:hAnsi="Arial"/>
                <w:sz w:val="20"/>
                <w:szCs w:val="20"/>
                <w:i w:val="1"/>
                <w:iCs w:val="1"/>
                <w:color w:val="auto"/>
                <w:w w:val="98"/>
              </w:rPr>
              <w:t>(% OF SALARY)</w:t>
            </w:r>
          </w:p>
        </w:tc>
      </w:tr>
      <w:tr>
        <w:trPr>
          <w:trHeight w:val="270"/>
        </w:trPr>
        <w:tc>
          <w:tcPr>
            <w:tcW w:w="2600" w:type="dxa"/>
            <w:vAlign w:val="bottom"/>
            <w:tcBorders>
              <w:bottom w:val="single" w:sz="8" w:color="F2F2F2"/>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MATTHEW MURPHY</w:t>
            </w:r>
          </w:p>
        </w:tc>
        <w:tc>
          <w:tcPr>
            <w:tcW w:w="4860" w:type="dxa"/>
            <w:vAlign w:val="bottom"/>
            <w:tcBorders>
              <w:bottom w:val="single" w:sz="8" w:color="F2F2F2"/>
            </w:tcBorders>
            <w:shd w:val="clear" w:color="auto" w:fill="F2F2F2"/>
          </w:tcPr>
          <w:p>
            <w:pPr>
              <w:ind w:left="60"/>
              <w:spacing w:after="0"/>
              <w:rPr>
                <w:sz w:val="20"/>
                <w:szCs w:val="20"/>
                <w:color w:val="auto"/>
              </w:rPr>
            </w:pPr>
            <w:r>
              <w:rPr>
                <w:rFonts w:ascii="Arial" w:cs="Arial" w:eastAsia="Arial" w:hAnsi="Arial"/>
                <w:sz w:val="20"/>
                <w:szCs w:val="20"/>
                <w:color w:val="auto"/>
              </w:rPr>
              <w:t>President and Chief Executive Officer</w:t>
            </w:r>
          </w:p>
        </w:tc>
        <w:tc>
          <w:tcPr>
            <w:tcW w:w="1580" w:type="dxa"/>
            <w:vAlign w:val="bottom"/>
            <w:tcBorders>
              <w:bottom w:val="single" w:sz="8" w:color="F2F2F2"/>
            </w:tcBorders>
            <w:shd w:val="clear" w:color="auto" w:fill="F2F2F2"/>
          </w:tcPr>
          <w:p>
            <w:pPr>
              <w:jc w:val="center"/>
              <w:ind w:left="161"/>
              <w:spacing w:after="0"/>
              <w:rPr>
                <w:sz w:val="20"/>
                <w:szCs w:val="20"/>
                <w:color w:val="auto"/>
              </w:rPr>
            </w:pPr>
            <w:r>
              <w:rPr>
                <w:rFonts w:ascii="Arial" w:cs="Arial" w:eastAsia="Arial" w:hAnsi="Arial"/>
                <w:sz w:val="20"/>
                <w:szCs w:val="20"/>
                <w:color w:val="auto"/>
                <w:w w:val="98"/>
              </w:rPr>
              <w:t>1,070,000</w:t>
            </w:r>
          </w:p>
        </w:tc>
        <w:tc>
          <w:tcPr>
            <w:tcW w:w="2200" w:type="dxa"/>
            <w:vAlign w:val="bottom"/>
            <w:tcBorders>
              <w:bottom w:val="single" w:sz="8" w:color="F2F2F2"/>
            </w:tcBorders>
            <w:shd w:val="clear" w:color="auto" w:fill="F2F2F2"/>
          </w:tcPr>
          <w:p>
            <w:pPr>
              <w:jc w:val="center"/>
              <w:ind w:left="41"/>
              <w:spacing w:after="0"/>
              <w:rPr>
                <w:sz w:val="20"/>
                <w:szCs w:val="20"/>
                <w:color w:val="auto"/>
              </w:rPr>
            </w:pPr>
            <w:r>
              <w:rPr>
                <w:rFonts w:ascii="Arial" w:cs="Arial" w:eastAsia="Arial" w:hAnsi="Arial"/>
                <w:sz w:val="20"/>
                <w:szCs w:val="20"/>
                <w:color w:val="auto"/>
              </w:rPr>
              <w:t>200</w:t>
            </w:r>
          </w:p>
        </w:tc>
      </w:tr>
      <w:tr>
        <w:trPr>
          <w:trHeight w:val="274"/>
        </w:trPr>
        <w:tc>
          <w:tcPr>
            <w:tcW w:w="2600" w:type="dxa"/>
            <w:vAlign w:val="bottom"/>
            <w:tcBorders>
              <w:right w:val="single" w:sz="8" w:color="7F7F7F"/>
            </w:tcBorders>
          </w:tcPr>
          <w:p>
            <w:pPr>
              <w:ind w:left="80"/>
              <w:spacing w:after="0"/>
              <w:rPr>
                <w:sz w:val="20"/>
                <w:szCs w:val="20"/>
                <w:color w:val="auto"/>
              </w:rPr>
            </w:pPr>
            <w:r>
              <w:rPr>
                <w:rFonts w:ascii="Arial" w:cs="Arial" w:eastAsia="Arial" w:hAnsi="Arial"/>
                <w:sz w:val="20"/>
                <w:szCs w:val="20"/>
                <w:b w:val="1"/>
                <w:bCs w:val="1"/>
                <w:color w:val="auto"/>
              </w:rPr>
              <w:t>RAGHIB HUSSAIN</w:t>
            </w:r>
          </w:p>
        </w:tc>
        <w:tc>
          <w:tcPr>
            <w:tcW w:w="4860" w:type="dxa"/>
            <w:vAlign w:val="bottom"/>
          </w:tcPr>
          <w:p>
            <w:pPr>
              <w:ind w:left="60"/>
              <w:spacing w:after="0"/>
              <w:rPr>
                <w:sz w:val="20"/>
                <w:szCs w:val="20"/>
                <w:color w:val="auto"/>
              </w:rPr>
            </w:pPr>
            <w:r>
              <w:rPr>
                <w:rFonts w:ascii="Arial" w:cs="Arial" w:eastAsia="Arial" w:hAnsi="Arial"/>
                <w:sz w:val="20"/>
                <w:szCs w:val="20"/>
                <w:color w:val="auto"/>
              </w:rPr>
              <w:t>President, Products and Technologies</w:t>
            </w:r>
          </w:p>
        </w:tc>
        <w:tc>
          <w:tcPr>
            <w:tcW w:w="1580" w:type="dxa"/>
            <w:vAlign w:val="bottom"/>
          </w:tcPr>
          <w:p>
            <w:pPr>
              <w:jc w:val="center"/>
              <w:ind w:left="161"/>
              <w:spacing w:after="0"/>
              <w:rPr>
                <w:sz w:val="20"/>
                <w:szCs w:val="20"/>
                <w:color w:val="auto"/>
              </w:rPr>
            </w:pPr>
            <w:r>
              <w:rPr>
                <w:rFonts w:ascii="Arial" w:cs="Arial" w:eastAsia="Arial" w:hAnsi="Arial"/>
                <w:sz w:val="20"/>
                <w:szCs w:val="20"/>
                <w:color w:val="auto"/>
                <w:w w:val="99"/>
              </w:rPr>
              <w:t>640,000</w:t>
            </w:r>
          </w:p>
        </w:tc>
        <w:tc>
          <w:tcPr>
            <w:tcW w:w="2200" w:type="dxa"/>
            <w:vAlign w:val="bottom"/>
          </w:tcPr>
          <w:p>
            <w:pPr>
              <w:jc w:val="center"/>
              <w:ind w:left="41"/>
              <w:spacing w:after="0"/>
              <w:rPr>
                <w:sz w:val="20"/>
                <w:szCs w:val="20"/>
                <w:color w:val="auto"/>
              </w:rPr>
            </w:pPr>
            <w:r>
              <w:rPr>
                <w:rFonts w:ascii="Arial" w:cs="Arial" w:eastAsia="Arial" w:hAnsi="Arial"/>
                <w:sz w:val="20"/>
                <w:szCs w:val="20"/>
                <w:color w:val="auto"/>
              </w:rPr>
              <w:t>100</w:t>
            </w:r>
          </w:p>
        </w:tc>
      </w:tr>
      <w:tr>
        <w:trPr>
          <w:trHeight w:val="23"/>
        </w:trPr>
        <w:tc>
          <w:tcPr>
            <w:tcW w:w="2600" w:type="dxa"/>
            <w:vAlign w:val="bottom"/>
            <w:tcBorders>
              <w:right w:val="single" w:sz="8" w:color="7F7F7F"/>
            </w:tcBorders>
          </w:tcPr>
          <w:p>
            <w:pPr>
              <w:spacing w:after="0"/>
              <w:rPr>
                <w:sz w:val="2"/>
                <w:szCs w:val="2"/>
                <w:color w:val="auto"/>
              </w:rPr>
            </w:pPr>
          </w:p>
        </w:tc>
        <w:tc>
          <w:tcPr>
            <w:tcW w:w="4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2200" w:type="dxa"/>
            <w:vAlign w:val="bottom"/>
          </w:tcPr>
          <w:p>
            <w:pPr>
              <w:spacing w:after="0"/>
              <w:rPr>
                <w:sz w:val="2"/>
                <w:szCs w:val="2"/>
                <w:color w:val="auto"/>
              </w:rPr>
            </w:pPr>
          </w:p>
        </w:tc>
      </w:tr>
      <w:tr>
        <w:trPr>
          <w:trHeight w:val="277"/>
        </w:trPr>
        <w:tc>
          <w:tcPr>
            <w:tcW w:w="2600" w:type="dxa"/>
            <w:vAlign w:val="bottom"/>
            <w:tcBorders>
              <w:bottom w:val="single" w:sz="8" w:color="F2F2F2"/>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JEAN HU</w:t>
            </w:r>
          </w:p>
        </w:tc>
        <w:tc>
          <w:tcPr>
            <w:tcW w:w="4860" w:type="dxa"/>
            <w:vAlign w:val="bottom"/>
            <w:tcBorders>
              <w:bottom w:val="single" w:sz="8" w:color="F2F2F2"/>
            </w:tcBorders>
            <w:shd w:val="clear" w:color="auto" w:fill="F2F2F2"/>
          </w:tcPr>
          <w:p>
            <w:pPr>
              <w:ind w:left="60"/>
              <w:spacing w:after="0"/>
              <w:rPr>
                <w:sz w:val="20"/>
                <w:szCs w:val="20"/>
                <w:color w:val="auto"/>
              </w:rPr>
            </w:pPr>
            <w:r>
              <w:rPr>
                <w:rFonts w:ascii="Arial" w:cs="Arial" w:eastAsia="Arial" w:hAnsi="Arial"/>
                <w:sz w:val="20"/>
                <w:szCs w:val="20"/>
                <w:color w:val="auto"/>
              </w:rPr>
              <w:t>Chief Financial Officer</w:t>
            </w:r>
          </w:p>
        </w:tc>
        <w:tc>
          <w:tcPr>
            <w:tcW w:w="1580" w:type="dxa"/>
            <w:vAlign w:val="bottom"/>
            <w:tcBorders>
              <w:bottom w:val="single" w:sz="8" w:color="F2F2F2"/>
            </w:tcBorders>
            <w:shd w:val="clear" w:color="auto" w:fill="F2F2F2"/>
          </w:tcPr>
          <w:p>
            <w:pPr>
              <w:jc w:val="center"/>
              <w:ind w:left="161"/>
              <w:spacing w:after="0"/>
              <w:rPr>
                <w:sz w:val="20"/>
                <w:szCs w:val="20"/>
                <w:color w:val="auto"/>
              </w:rPr>
            </w:pPr>
            <w:r>
              <w:rPr>
                <w:rFonts w:ascii="Arial" w:cs="Arial" w:eastAsia="Arial" w:hAnsi="Arial"/>
                <w:sz w:val="20"/>
                <w:szCs w:val="20"/>
                <w:color w:val="auto"/>
                <w:w w:val="99"/>
              </w:rPr>
              <w:t>640,000</w:t>
            </w:r>
          </w:p>
        </w:tc>
        <w:tc>
          <w:tcPr>
            <w:tcW w:w="2200" w:type="dxa"/>
            <w:vAlign w:val="bottom"/>
            <w:tcBorders>
              <w:bottom w:val="single" w:sz="8" w:color="F2F2F2"/>
            </w:tcBorders>
            <w:shd w:val="clear" w:color="auto" w:fill="F2F2F2"/>
          </w:tcPr>
          <w:p>
            <w:pPr>
              <w:jc w:val="center"/>
              <w:ind w:left="41"/>
              <w:spacing w:after="0"/>
              <w:rPr>
                <w:sz w:val="20"/>
                <w:szCs w:val="20"/>
                <w:color w:val="auto"/>
              </w:rPr>
            </w:pPr>
            <w:r>
              <w:rPr>
                <w:rFonts w:ascii="Arial" w:cs="Arial" w:eastAsia="Arial" w:hAnsi="Arial"/>
                <w:sz w:val="20"/>
                <w:szCs w:val="20"/>
                <w:color w:val="auto"/>
              </w:rPr>
              <w:t>100</w:t>
            </w:r>
          </w:p>
        </w:tc>
      </w:tr>
      <w:tr>
        <w:trPr>
          <w:trHeight w:val="274"/>
        </w:trPr>
        <w:tc>
          <w:tcPr>
            <w:tcW w:w="2600" w:type="dxa"/>
            <w:vAlign w:val="bottom"/>
            <w:tcBorders>
              <w:right w:val="single" w:sz="8" w:color="7F7F7F"/>
            </w:tcBorders>
          </w:tcPr>
          <w:p>
            <w:pPr>
              <w:ind w:left="80"/>
              <w:spacing w:after="0"/>
              <w:rPr>
                <w:sz w:val="20"/>
                <w:szCs w:val="20"/>
                <w:color w:val="auto"/>
              </w:rPr>
            </w:pPr>
            <w:r>
              <w:rPr>
                <w:rFonts w:ascii="Arial" w:cs="Arial" w:eastAsia="Arial" w:hAnsi="Arial"/>
                <w:sz w:val="20"/>
                <w:szCs w:val="20"/>
                <w:b w:val="1"/>
                <w:bCs w:val="1"/>
                <w:color w:val="auto"/>
              </w:rPr>
              <w:t>MITCHELL GAYNOR</w:t>
            </w:r>
          </w:p>
        </w:tc>
        <w:tc>
          <w:tcPr>
            <w:tcW w:w="4860" w:type="dxa"/>
            <w:vAlign w:val="bottom"/>
          </w:tcPr>
          <w:p>
            <w:pPr>
              <w:ind w:left="60"/>
              <w:spacing w:after="0"/>
              <w:rPr>
                <w:sz w:val="20"/>
                <w:szCs w:val="20"/>
                <w:color w:val="auto"/>
              </w:rPr>
            </w:pPr>
            <w:r>
              <w:rPr>
                <w:rFonts w:ascii="Arial" w:cs="Arial" w:eastAsia="Arial" w:hAnsi="Arial"/>
                <w:sz w:val="20"/>
                <w:szCs w:val="20"/>
                <w:color w:val="auto"/>
              </w:rPr>
              <w:t>Chief Administration and Legal Officer and Secretary</w:t>
            </w:r>
          </w:p>
        </w:tc>
        <w:tc>
          <w:tcPr>
            <w:tcW w:w="1580" w:type="dxa"/>
            <w:vAlign w:val="bottom"/>
          </w:tcPr>
          <w:p>
            <w:pPr>
              <w:jc w:val="center"/>
              <w:ind w:left="161"/>
              <w:spacing w:after="0"/>
              <w:rPr>
                <w:sz w:val="20"/>
                <w:szCs w:val="20"/>
                <w:color w:val="auto"/>
              </w:rPr>
            </w:pPr>
            <w:r>
              <w:rPr>
                <w:rFonts w:ascii="Arial" w:cs="Arial" w:eastAsia="Arial" w:hAnsi="Arial"/>
                <w:sz w:val="20"/>
                <w:szCs w:val="20"/>
                <w:color w:val="auto"/>
                <w:w w:val="99"/>
              </w:rPr>
              <w:t>550,000</w:t>
            </w:r>
          </w:p>
        </w:tc>
        <w:tc>
          <w:tcPr>
            <w:tcW w:w="2200" w:type="dxa"/>
            <w:vAlign w:val="bottom"/>
          </w:tcPr>
          <w:p>
            <w:pPr>
              <w:jc w:val="center"/>
              <w:ind w:left="41"/>
              <w:spacing w:after="0"/>
              <w:rPr>
                <w:sz w:val="20"/>
                <w:szCs w:val="20"/>
                <w:color w:val="auto"/>
              </w:rPr>
            </w:pPr>
            <w:r>
              <w:rPr>
                <w:rFonts w:ascii="Arial" w:cs="Arial" w:eastAsia="Arial" w:hAnsi="Arial"/>
                <w:sz w:val="20"/>
                <w:szCs w:val="20"/>
                <w:color w:val="auto"/>
                <w:w w:val="98"/>
              </w:rPr>
              <w:t>90</w:t>
            </w:r>
          </w:p>
        </w:tc>
      </w:tr>
      <w:tr>
        <w:trPr>
          <w:trHeight w:val="23"/>
        </w:trPr>
        <w:tc>
          <w:tcPr>
            <w:tcW w:w="2600" w:type="dxa"/>
            <w:vAlign w:val="bottom"/>
            <w:tcBorders>
              <w:right w:val="single" w:sz="8" w:color="7F7F7F"/>
            </w:tcBorders>
          </w:tcPr>
          <w:p>
            <w:pPr>
              <w:spacing w:after="0"/>
              <w:rPr>
                <w:sz w:val="2"/>
                <w:szCs w:val="2"/>
                <w:color w:val="auto"/>
              </w:rPr>
            </w:pPr>
          </w:p>
        </w:tc>
        <w:tc>
          <w:tcPr>
            <w:tcW w:w="48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2200" w:type="dxa"/>
            <w:vAlign w:val="bottom"/>
          </w:tcPr>
          <w:p>
            <w:pPr>
              <w:spacing w:after="0"/>
              <w:rPr>
                <w:sz w:val="2"/>
                <w:szCs w:val="2"/>
                <w:color w:val="auto"/>
              </w:rPr>
            </w:pPr>
          </w:p>
        </w:tc>
      </w:tr>
      <w:tr>
        <w:trPr>
          <w:trHeight w:val="274"/>
        </w:trPr>
        <w:tc>
          <w:tcPr>
            <w:tcW w:w="2600" w:type="dxa"/>
            <w:vAlign w:val="bottom"/>
            <w:tcBorders>
              <w:right w:val="single" w:sz="8" w:color="7F7F7F"/>
            </w:tcBorders>
            <w:shd w:val="clear" w:color="auto" w:fill="F2F2F2"/>
          </w:tcPr>
          <w:p>
            <w:pPr>
              <w:ind w:left="80"/>
              <w:spacing w:after="0"/>
              <w:rPr>
                <w:sz w:val="20"/>
                <w:szCs w:val="20"/>
                <w:color w:val="auto"/>
              </w:rPr>
            </w:pPr>
            <w:r>
              <w:rPr>
                <w:rFonts w:ascii="Arial" w:cs="Arial" w:eastAsia="Arial" w:hAnsi="Arial"/>
                <w:sz w:val="20"/>
                <w:szCs w:val="20"/>
                <w:b w:val="1"/>
                <w:bCs w:val="1"/>
                <w:color w:val="auto"/>
              </w:rPr>
              <w:t>DAN CHRISTMAN</w:t>
            </w:r>
          </w:p>
        </w:tc>
        <w:tc>
          <w:tcPr>
            <w:tcW w:w="4860" w:type="dxa"/>
            <w:vAlign w:val="bottom"/>
            <w:shd w:val="clear" w:color="auto" w:fill="F2F2F2"/>
          </w:tcPr>
          <w:p>
            <w:pPr>
              <w:ind w:left="60"/>
              <w:spacing w:after="0"/>
              <w:rPr>
                <w:sz w:val="20"/>
                <w:szCs w:val="20"/>
                <w:color w:val="auto"/>
              </w:rPr>
            </w:pPr>
            <w:r>
              <w:rPr>
                <w:rFonts w:ascii="Arial" w:cs="Arial" w:eastAsia="Arial" w:hAnsi="Arial"/>
                <w:sz w:val="20"/>
                <w:szCs w:val="20"/>
                <w:color w:val="auto"/>
              </w:rPr>
              <w:t>EVP, Storage Products Group</w:t>
            </w:r>
          </w:p>
        </w:tc>
        <w:tc>
          <w:tcPr>
            <w:tcW w:w="1580" w:type="dxa"/>
            <w:vAlign w:val="bottom"/>
            <w:shd w:val="clear" w:color="auto" w:fill="F2F2F2"/>
          </w:tcPr>
          <w:p>
            <w:pPr>
              <w:jc w:val="center"/>
              <w:ind w:left="161"/>
              <w:spacing w:after="0"/>
              <w:rPr>
                <w:sz w:val="20"/>
                <w:szCs w:val="20"/>
                <w:color w:val="auto"/>
              </w:rPr>
            </w:pPr>
            <w:r>
              <w:rPr>
                <w:rFonts w:ascii="Arial" w:cs="Arial" w:eastAsia="Arial" w:hAnsi="Arial"/>
                <w:sz w:val="20"/>
                <w:szCs w:val="20"/>
                <w:color w:val="auto"/>
                <w:w w:val="99"/>
              </w:rPr>
              <w:t>510,000</w:t>
            </w:r>
          </w:p>
        </w:tc>
        <w:tc>
          <w:tcPr>
            <w:tcW w:w="2200" w:type="dxa"/>
            <w:vAlign w:val="bottom"/>
            <w:shd w:val="clear" w:color="auto" w:fill="F2F2F2"/>
          </w:tcPr>
          <w:p>
            <w:pPr>
              <w:jc w:val="center"/>
              <w:ind w:left="41"/>
              <w:spacing w:after="0"/>
              <w:rPr>
                <w:sz w:val="20"/>
                <w:szCs w:val="20"/>
                <w:color w:val="auto"/>
              </w:rPr>
            </w:pPr>
            <w:r>
              <w:rPr>
                <w:rFonts w:ascii="Arial" w:cs="Arial" w:eastAsia="Arial" w:hAnsi="Arial"/>
                <w:sz w:val="20"/>
                <w:szCs w:val="20"/>
                <w:color w:val="auto"/>
                <w:w w:val="98"/>
              </w:rPr>
              <w:t>90</w:t>
            </w:r>
          </w:p>
        </w:tc>
      </w:tr>
      <w:tr>
        <w:trPr>
          <w:trHeight w:val="23"/>
        </w:trPr>
        <w:tc>
          <w:tcPr>
            <w:tcW w:w="2600" w:type="dxa"/>
            <w:vAlign w:val="bottom"/>
            <w:tcBorders>
              <w:right w:val="single" w:sz="8" w:color="7F7F7F"/>
            </w:tcBorders>
            <w:shd w:val="clear" w:color="auto" w:fill="F2F2F2"/>
          </w:tcPr>
          <w:p>
            <w:pPr>
              <w:spacing w:after="0"/>
              <w:rPr>
                <w:sz w:val="2"/>
                <w:szCs w:val="2"/>
                <w:color w:val="auto"/>
              </w:rPr>
            </w:pPr>
          </w:p>
        </w:tc>
        <w:tc>
          <w:tcPr>
            <w:tcW w:w="4860" w:type="dxa"/>
            <w:vAlign w:val="bottom"/>
            <w:shd w:val="clear" w:color="auto" w:fill="F2F2F2"/>
          </w:tcPr>
          <w:p>
            <w:pPr>
              <w:spacing w:after="0"/>
              <w:rPr>
                <w:sz w:val="2"/>
                <w:szCs w:val="2"/>
                <w:color w:val="auto"/>
              </w:rPr>
            </w:pPr>
          </w:p>
        </w:tc>
        <w:tc>
          <w:tcPr>
            <w:tcW w:w="1580" w:type="dxa"/>
            <w:vAlign w:val="bottom"/>
            <w:shd w:val="clear" w:color="auto" w:fill="F2F2F2"/>
          </w:tcPr>
          <w:p>
            <w:pPr>
              <w:spacing w:after="0"/>
              <w:rPr>
                <w:sz w:val="2"/>
                <w:szCs w:val="2"/>
                <w:color w:val="auto"/>
              </w:rPr>
            </w:pPr>
          </w:p>
        </w:tc>
        <w:tc>
          <w:tcPr>
            <w:tcW w:w="2200" w:type="dxa"/>
            <w:vAlign w:val="bottom"/>
            <w:shd w:val="clear" w:color="auto" w:fill="F2F2F2"/>
          </w:tcPr>
          <w:p>
            <w:pPr>
              <w:spacing w:after="0"/>
              <w:rPr>
                <w:sz w:val="2"/>
                <w:szCs w:val="2"/>
                <w:color w:val="auto"/>
              </w:rPr>
            </w:pPr>
          </w:p>
        </w:tc>
      </w:tr>
    </w:tbl>
    <w:p>
      <w:pPr>
        <w:spacing w:after="0" w:line="200" w:lineRule="exact"/>
        <w:rPr>
          <w:sz w:val="20"/>
          <w:szCs w:val="20"/>
          <w:color w:val="auto"/>
        </w:rPr>
      </w:pPr>
    </w:p>
    <w:p>
      <w:pPr>
        <w:spacing w:after="0" w:line="258"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Annual Incentive Plan for Fiscal Year 2023 (“AIP”)</w:t>
      </w:r>
    </w:p>
    <w:p>
      <w:pPr>
        <w:spacing w:after="0" w:line="186" w:lineRule="exact"/>
        <w:rPr>
          <w:sz w:val="20"/>
          <w:szCs w:val="20"/>
          <w:color w:val="auto"/>
        </w:rPr>
      </w:pPr>
    </w:p>
    <w:p>
      <w:pPr>
        <w:ind w:right="220"/>
        <w:spacing w:after="0" w:line="255" w:lineRule="auto"/>
        <w:rPr>
          <w:sz w:val="20"/>
          <w:szCs w:val="20"/>
          <w:color w:val="auto"/>
        </w:rPr>
      </w:pPr>
      <w:r>
        <w:rPr>
          <w:rFonts w:ascii="Arial" w:cs="Arial" w:eastAsia="Arial" w:hAnsi="Arial"/>
          <w:sz w:val="20"/>
          <w:szCs w:val="20"/>
          <w:color w:val="auto"/>
        </w:rPr>
        <w:t>The AIP is a cash incentive program that is designed to provide additional focus on the achievement of company goals, align target total cash compensation with actual Company performance, provide competitive total cash targets to attract and retain executive talent, and reward our executives for the achievement of Company goals. Under the AIP the Company’s executive officers are eligible to earn cash incentives based upon the achievement of pre-established performance goals. Total incentive opportunities will be based on achievement of semi-annual targets and will be paid annually. Incentive payouts may range between 0% and 200% of the target incentive opportunity.</w:t>
      </w:r>
    </w:p>
    <w:p>
      <w:pPr>
        <w:spacing w:after="0" w:line="127" w:lineRule="exact"/>
        <w:rPr>
          <w:sz w:val="20"/>
          <w:szCs w:val="20"/>
          <w:color w:val="auto"/>
        </w:rPr>
      </w:pPr>
    </w:p>
    <w:p>
      <w:pPr>
        <w:spacing w:after="0"/>
        <w:rPr>
          <w:sz w:val="20"/>
          <w:szCs w:val="20"/>
          <w:color w:val="auto"/>
        </w:rPr>
      </w:pPr>
      <w:r>
        <w:rPr>
          <w:rFonts w:ascii="Arial" w:cs="Arial" w:eastAsia="Arial" w:hAnsi="Arial"/>
          <w:sz w:val="20"/>
          <w:szCs w:val="20"/>
          <w:color w:val="auto"/>
        </w:rPr>
        <w:t>The AIP provides for potential payouts based on the following metrics:</w:t>
      </w:r>
    </w:p>
    <w:p>
      <w:pPr>
        <w:spacing w:after="0" w:line="162" w:lineRule="exact"/>
        <w:rPr>
          <w:sz w:val="20"/>
          <w:szCs w:val="20"/>
          <w:color w:val="auto"/>
        </w:rPr>
      </w:pPr>
    </w:p>
    <w:p>
      <w:pPr>
        <w:ind w:left="300" w:hanging="292"/>
        <w:spacing w:after="0"/>
        <w:tabs>
          <w:tab w:leader="none" w:pos="300" w:val="left"/>
        </w:tabs>
        <w:numPr>
          <w:ilvl w:val="0"/>
          <w:numId w:val="26"/>
        </w:numPr>
        <w:rPr>
          <w:rFonts w:ascii="Arial" w:cs="Arial" w:eastAsia="Arial" w:hAnsi="Arial"/>
          <w:sz w:val="20"/>
          <w:szCs w:val="20"/>
          <w:color w:val="auto"/>
        </w:rPr>
      </w:pPr>
      <w:r>
        <w:rPr>
          <w:rFonts w:ascii="Arial" w:cs="Arial" w:eastAsia="Arial" w:hAnsi="Arial"/>
          <w:sz w:val="20"/>
          <w:szCs w:val="20"/>
          <w:color w:val="auto"/>
        </w:rPr>
        <w:t>revenue (45%),</w:t>
      </w:r>
    </w:p>
    <w:p>
      <w:pPr>
        <w:spacing w:after="0" w:line="161" w:lineRule="exact"/>
        <w:rPr>
          <w:rFonts w:ascii="Arial" w:cs="Arial" w:eastAsia="Arial" w:hAnsi="Arial"/>
          <w:sz w:val="20"/>
          <w:szCs w:val="20"/>
          <w:color w:val="auto"/>
        </w:rPr>
      </w:pPr>
    </w:p>
    <w:p>
      <w:pPr>
        <w:ind w:left="300" w:hanging="292"/>
        <w:spacing w:after="0"/>
        <w:tabs>
          <w:tab w:leader="none" w:pos="300" w:val="left"/>
        </w:tabs>
        <w:numPr>
          <w:ilvl w:val="0"/>
          <w:numId w:val="26"/>
        </w:numPr>
        <w:rPr>
          <w:rFonts w:ascii="Arial" w:cs="Arial" w:eastAsia="Arial" w:hAnsi="Arial"/>
          <w:sz w:val="20"/>
          <w:szCs w:val="20"/>
          <w:color w:val="auto"/>
        </w:rPr>
      </w:pPr>
      <w:r>
        <w:rPr>
          <w:rFonts w:ascii="Arial" w:cs="Arial" w:eastAsia="Arial" w:hAnsi="Arial"/>
          <w:sz w:val="20"/>
          <w:szCs w:val="20"/>
          <w:color w:val="auto"/>
        </w:rPr>
        <w:t>non-GAAP gross margin (25%), and</w:t>
      </w:r>
    </w:p>
    <w:p>
      <w:pPr>
        <w:spacing w:after="0" w:line="148" w:lineRule="exact"/>
        <w:rPr>
          <w:rFonts w:ascii="Arial" w:cs="Arial" w:eastAsia="Arial" w:hAnsi="Arial"/>
          <w:sz w:val="20"/>
          <w:szCs w:val="20"/>
          <w:color w:val="auto"/>
        </w:rPr>
      </w:pPr>
    </w:p>
    <w:p>
      <w:pPr>
        <w:ind w:left="300" w:hanging="292"/>
        <w:spacing w:after="0"/>
        <w:tabs>
          <w:tab w:leader="none" w:pos="300" w:val="left"/>
        </w:tabs>
        <w:numPr>
          <w:ilvl w:val="0"/>
          <w:numId w:val="26"/>
        </w:numPr>
        <w:rPr>
          <w:rFonts w:ascii="Arial" w:cs="Arial" w:eastAsia="Arial" w:hAnsi="Arial"/>
          <w:sz w:val="20"/>
          <w:szCs w:val="20"/>
          <w:color w:val="auto"/>
        </w:rPr>
      </w:pPr>
      <w:r>
        <w:rPr>
          <w:rFonts w:ascii="Arial" w:cs="Arial" w:eastAsia="Arial" w:hAnsi="Arial"/>
          <w:sz w:val="20"/>
          <w:szCs w:val="20"/>
          <w:color w:val="auto"/>
        </w:rPr>
        <w:t>non-GAAP operating income margin (30%).</w:t>
      </w:r>
    </w:p>
    <w:p>
      <w:pPr>
        <w:spacing w:after="0" w:line="162" w:lineRule="exact"/>
        <w:rPr>
          <w:sz w:val="20"/>
          <w:szCs w:val="20"/>
          <w:color w:val="auto"/>
        </w:rPr>
      </w:pPr>
    </w:p>
    <w:p>
      <w:pPr>
        <w:ind w:right="180"/>
        <w:spacing w:after="0" w:line="261" w:lineRule="auto"/>
        <w:rPr>
          <w:sz w:val="20"/>
          <w:szCs w:val="20"/>
          <w:color w:val="auto"/>
        </w:rPr>
      </w:pPr>
      <w:r>
        <w:rPr>
          <w:rFonts w:ascii="Arial" w:cs="Arial" w:eastAsia="Arial" w:hAnsi="Arial"/>
          <w:sz w:val="20"/>
          <w:szCs w:val="20"/>
          <w:color w:val="auto"/>
        </w:rPr>
        <w:t>If the Company fails to achieve the threshold level for any of the above Company performance goals, no payout is awarded for that goal.</w:t>
      </w:r>
    </w:p>
    <w:p>
      <w:pPr>
        <w:spacing w:after="0" w:line="134" w:lineRule="exact"/>
        <w:rPr>
          <w:sz w:val="20"/>
          <w:szCs w:val="20"/>
          <w:color w:val="auto"/>
        </w:rPr>
      </w:pPr>
    </w:p>
    <w:p>
      <w:pPr>
        <w:ind w:right="80"/>
        <w:spacing w:after="0" w:line="273" w:lineRule="auto"/>
        <w:rPr>
          <w:sz w:val="20"/>
          <w:szCs w:val="20"/>
          <w:color w:val="auto"/>
        </w:rPr>
      </w:pPr>
      <w:r>
        <w:rPr>
          <w:rFonts w:ascii="Arial" w:cs="Arial" w:eastAsia="Arial" w:hAnsi="Arial"/>
          <w:sz w:val="19"/>
          <w:szCs w:val="19"/>
          <w:color w:val="auto"/>
        </w:rPr>
        <w:t>Payouts for the President and Chief Executive Officer and for the Chief Financial Officer will be based solely on the above Company performance goals. Payouts for the other executive officers may be based 80% on Company performance goals and 20% on individual performance goals, provided that no overachievement on the 20% individual component will be permitted unless the Company achieves at least 100% of the Company’s performance goals. Nevertheless, in its discretion, the Executive</w:t>
      </w:r>
    </w:p>
    <w:p>
      <w:pPr>
        <w:sectPr>
          <w:pgSz w:w="11900" w:h="16838" w:orient="portrait"/>
          <w:cols w:equalWidth="0" w:num="1">
            <w:col w:w="11240"/>
          </w:cols>
          <w:pgMar w:left="320" w:top="121" w:right="339" w:bottom="1440" w:gutter="0" w:footer="0" w:header="0"/>
        </w:sectPr>
      </w:pPr>
    </w:p>
    <w:bookmarkStart w:id="78" w:name="page79"/>
    <w:bookmarkEnd w:id="78"/>
    <w:p>
      <w:pPr>
        <w:jc w:val="right"/>
        <w:spacing w:after="0"/>
        <w:rPr>
          <w:sz w:val="20"/>
          <w:szCs w:val="20"/>
          <w:color w:val="auto"/>
        </w:rPr>
      </w:pPr>
      <w:r>
        <w:rPr>
          <w:rFonts w:ascii="Arial" w:cs="Arial" w:eastAsia="Arial" w:hAnsi="Arial"/>
          <w:sz w:val="18"/>
          <w:szCs w:val="18"/>
          <w:b w:val="1"/>
          <w:bCs w:val="1"/>
          <w:color w:val="auto"/>
        </w:rPr>
        <w:t>Exhibit 10.20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right="260"/>
        <w:spacing w:after="0" w:line="261" w:lineRule="auto"/>
        <w:rPr>
          <w:sz w:val="20"/>
          <w:szCs w:val="20"/>
          <w:color w:val="auto"/>
        </w:rPr>
      </w:pPr>
      <w:r>
        <w:rPr>
          <w:rFonts w:ascii="Arial" w:cs="Arial" w:eastAsia="Arial" w:hAnsi="Arial"/>
          <w:sz w:val="20"/>
          <w:szCs w:val="20"/>
          <w:color w:val="auto"/>
        </w:rPr>
        <w:t>Compensation Committee may reduce the individual component for any executive officer (and increase the component based on Company performance) if it determines doing so would be appropriate in the circumstances.</w:t>
      </w:r>
    </w:p>
    <w:p>
      <w:pPr>
        <w:spacing w:after="0" w:line="134" w:lineRule="exact"/>
        <w:rPr>
          <w:sz w:val="20"/>
          <w:szCs w:val="20"/>
          <w:color w:val="auto"/>
        </w:rPr>
      </w:pPr>
    </w:p>
    <w:p>
      <w:pPr>
        <w:ind w:right="180"/>
        <w:spacing w:after="0" w:line="261" w:lineRule="auto"/>
        <w:rPr>
          <w:sz w:val="20"/>
          <w:szCs w:val="20"/>
          <w:color w:val="auto"/>
        </w:rPr>
      </w:pPr>
      <w:r>
        <w:rPr>
          <w:rFonts w:ascii="Arial" w:cs="Arial" w:eastAsia="Arial" w:hAnsi="Arial"/>
          <w:sz w:val="20"/>
          <w:szCs w:val="20"/>
          <w:color w:val="auto"/>
        </w:rPr>
        <w:t>The Executive Compensation Committee determined that the combined application of all the metrics would make achievement difficult to meet at target and very difficult to meet at maximum payout.</w:t>
      </w:r>
    </w:p>
    <w:p>
      <w:pPr>
        <w:sectPr>
          <w:pgSz w:w="11900" w:h="16838" w:orient="portrait"/>
          <w:cols w:equalWidth="0" w:num="1">
            <w:col w:w="11240"/>
          </w:cols>
          <w:pgMar w:left="320" w:top="121" w:right="339" w:bottom="1440" w:gutter="0" w:footer="0" w:header="0"/>
        </w:sectPr>
      </w:pPr>
    </w:p>
    <w:bookmarkStart w:id="79" w:name="page80"/>
    <w:bookmarkEnd w:id="79"/>
    <w:p>
      <w:pPr>
        <w:jc w:val="right"/>
        <w:spacing w:after="0"/>
        <w:rPr>
          <w:sz w:val="20"/>
          <w:szCs w:val="20"/>
          <w:color w:val="auto"/>
        </w:rPr>
      </w:pPr>
      <w:r>
        <w:rPr>
          <w:rFonts w:ascii="Arial" w:cs="Arial" w:eastAsia="Arial" w:hAnsi="Arial"/>
          <w:sz w:val="18"/>
          <w:szCs w:val="18"/>
          <w:b w:val="1"/>
          <w:bCs w:val="1"/>
          <w:color w:val="auto"/>
        </w:rPr>
        <w:t>Exhibit 31.1</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52" w:lineRule="exact"/>
        <w:rPr>
          <w:sz w:val="20"/>
          <w:szCs w:val="20"/>
          <w:color w:val="auto"/>
        </w:rPr>
      </w:pPr>
    </w:p>
    <w:p>
      <w:pPr>
        <w:ind w:left="980" w:hanging="972"/>
        <w:spacing w:after="0"/>
        <w:tabs>
          <w:tab w:leader="none" w:pos="9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2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2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2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2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2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30"/>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03"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May 27,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0">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879" w:right="339" w:bottom="1440" w:gutter="0" w:footer="0" w:header="0"/>
        </w:sectPr>
      </w:pPr>
    </w:p>
    <w:bookmarkStart w:id="80" w:name="page81"/>
    <w:bookmarkEnd w:id="80"/>
    <w:p>
      <w:pPr>
        <w:jc w:val="right"/>
        <w:spacing w:after="0"/>
        <w:rPr>
          <w:sz w:val="20"/>
          <w:szCs w:val="20"/>
          <w:color w:val="auto"/>
        </w:rPr>
      </w:pPr>
      <w:r>
        <w:rPr>
          <w:rFonts w:ascii="Arial" w:cs="Arial" w:eastAsia="Arial" w:hAnsi="Arial"/>
          <w:sz w:val="18"/>
          <w:szCs w:val="18"/>
          <w:b w:val="1"/>
          <w:bCs w:val="1"/>
          <w:color w:val="auto"/>
        </w:rPr>
        <w:t>Exhibit 31.2</w:t>
      </w: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252" w:lineRule="exact"/>
        <w:rPr>
          <w:sz w:val="20"/>
          <w:szCs w:val="20"/>
          <w:color w:val="auto"/>
        </w:rPr>
      </w:pPr>
    </w:p>
    <w:p>
      <w:pPr>
        <w:ind w:left="980" w:hanging="972"/>
        <w:spacing w:after="0"/>
        <w:tabs>
          <w:tab w:leader="none" w:pos="9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ind w:right="60" w:firstLine="8"/>
        <w:spacing w:after="0" w:line="295" w:lineRule="auto"/>
        <w:tabs>
          <w:tab w:leader="none" w:pos="972" w:val="left"/>
        </w:tabs>
        <w:numPr>
          <w:ilvl w:val="0"/>
          <w:numId w:val="3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right="20" w:firstLine="8"/>
        <w:spacing w:after="0" w:line="341" w:lineRule="auto"/>
        <w:tabs>
          <w:tab w:leader="none" w:pos="972" w:val="left"/>
        </w:tabs>
        <w:numPr>
          <w:ilvl w:val="0"/>
          <w:numId w:val="3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jc w:val="both"/>
        <w:ind w:right="160" w:firstLine="8"/>
        <w:spacing w:after="0" w:line="295" w:lineRule="auto"/>
        <w:tabs>
          <w:tab w:leader="none" w:pos="972"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2" w:lineRule="exact"/>
        <w:rPr>
          <w:sz w:val="20"/>
          <w:szCs w:val="20"/>
          <w:color w:val="auto"/>
        </w:rPr>
      </w:pPr>
    </w:p>
    <w:p>
      <w:pPr>
        <w:ind w:right="60" w:firstLine="8"/>
        <w:spacing w:after="0" w:line="295" w:lineRule="auto"/>
        <w:tabs>
          <w:tab w:leader="none" w:pos="963" w:val="left"/>
        </w:tabs>
        <w:numPr>
          <w:ilvl w:val="0"/>
          <w:numId w:val="3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right="40" w:firstLine="8"/>
        <w:spacing w:after="0" w:line="295" w:lineRule="auto"/>
        <w:tabs>
          <w:tab w:leader="none" w:pos="9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right="560" w:firstLine="8"/>
        <w:spacing w:after="0" w:line="377" w:lineRule="auto"/>
        <w:tabs>
          <w:tab w:leader="none" w:pos="963" w:val="left"/>
        </w:tabs>
        <w:numPr>
          <w:ilvl w:val="0"/>
          <w:numId w:val="3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right="60" w:firstLine="8"/>
        <w:spacing w:after="0" w:line="295" w:lineRule="auto"/>
        <w:tabs>
          <w:tab w:leader="none" w:pos="9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2" w:lineRule="exact"/>
        <w:rPr>
          <w:sz w:val="20"/>
          <w:szCs w:val="20"/>
          <w:color w:val="auto"/>
        </w:rPr>
      </w:pPr>
    </w:p>
    <w:p>
      <w:pPr>
        <w:ind w:right="140" w:firstLine="8"/>
        <w:spacing w:after="0" w:line="341" w:lineRule="auto"/>
        <w:tabs>
          <w:tab w:leader="none" w:pos="972" w:val="left"/>
        </w:tabs>
        <w:numPr>
          <w:ilvl w:val="0"/>
          <w:numId w:val="3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7" w:lineRule="exact"/>
        <w:rPr>
          <w:sz w:val="20"/>
          <w:szCs w:val="20"/>
          <w:color w:val="auto"/>
        </w:rPr>
      </w:pPr>
    </w:p>
    <w:p>
      <w:pPr>
        <w:ind w:right="780" w:firstLine="8"/>
        <w:spacing w:after="0" w:line="341" w:lineRule="auto"/>
        <w:tabs>
          <w:tab w:leader="none" w:pos="963" w:val="left"/>
        </w:tabs>
        <w:numPr>
          <w:ilvl w:val="0"/>
          <w:numId w:val="34"/>
        </w:numPr>
        <w:rPr>
          <w:rFonts w:ascii="Arial" w:cs="Arial" w:eastAsia="Arial" w:hAnsi="Arial"/>
          <w:sz w:val="17"/>
          <w:szCs w:val="17"/>
          <w:color w:val="auto"/>
        </w:rPr>
      </w:pPr>
      <w:r>
        <w:rPr>
          <w:rFonts w:ascii="Arial" w:cs="Arial" w:eastAsia="Arial" w:hAnsi="Arial"/>
          <w:sz w:val="17"/>
          <w:szCs w:val="17"/>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46" w:lineRule="exact"/>
        <w:rPr>
          <w:rFonts w:ascii="Arial" w:cs="Arial" w:eastAsia="Arial" w:hAnsi="Arial"/>
          <w:sz w:val="17"/>
          <w:szCs w:val="17"/>
          <w:color w:val="auto"/>
        </w:rPr>
      </w:pPr>
    </w:p>
    <w:p>
      <w:pPr>
        <w:ind w:right="480" w:firstLine="8"/>
        <w:spacing w:after="0" w:line="308"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03"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May 27,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41">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41"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03"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240"/>
          </w:cols>
          <w:pgMar w:left="320" w:top="879" w:right="339" w:bottom="1440" w:gutter="0" w:footer="0" w:header="0"/>
        </w:sectPr>
      </w:pPr>
    </w:p>
    <w:bookmarkStart w:id="81" w:name="page82"/>
    <w:bookmarkEnd w:id="81"/>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08"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960" w:hanging="327"/>
        <w:spacing w:after="0" w:line="308" w:lineRule="auto"/>
        <w:tabs>
          <w:tab w:leader="none" w:pos="554"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April 30, 2022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May 27,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42">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28"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Matthew J. Murphy</w:t>
      </w:r>
    </w:p>
    <w:p>
      <w:pPr>
        <w:ind w:left="5880"/>
        <w:spacing w:after="0" w:line="203" w:lineRule="auto"/>
        <w:rPr>
          <w:sz w:val="20"/>
          <w:szCs w:val="20"/>
          <w:color w:val="auto"/>
        </w:rPr>
      </w:pPr>
      <w:r>
        <w:rPr>
          <w:rFonts w:ascii="Arial" w:cs="Arial" w:eastAsia="Arial" w:hAnsi="Arial"/>
          <w:sz w:val="18"/>
          <w:szCs w:val="18"/>
          <w:b w:val="1"/>
          <w:bCs w:val="1"/>
          <w:color w:val="auto"/>
        </w:rPr>
        <w:t>President and Chief Executive Officer</w:t>
      </w:r>
    </w:p>
    <w:p>
      <w:pPr>
        <w:ind w:left="58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18" w:right="339" w:bottom="1440" w:gutter="0" w:footer="0" w:header="0"/>
        </w:sectPr>
      </w:pPr>
    </w:p>
    <w:bookmarkStart w:id="82" w:name="page83"/>
    <w:bookmarkEnd w:id="82"/>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80"/>
        <w:spacing w:after="0" w:line="308" w:lineRule="auto"/>
        <w:rPr>
          <w:sz w:val="20"/>
          <w:szCs w:val="20"/>
          <w:color w:val="auto"/>
        </w:rPr>
      </w:pPr>
      <w:r>
        <w:rPr>
          <w:rFonts w:ascii="Arial" w:cs="Arial" w:eastAsia="Arial" w:hAnsi="Arial"/>
          <w:sz w:val="18"/>
          <w:szCs w:val="18"/>
          <w:color w:val="auto"/>
        </w:rPr>
        <w:t>I, Jean Hu, the Principal Financial Officer of Marvell Technology, Inc. (the “Registrant”), certify for the purposes of 18 U.S.C. Section 1350, as adopted pursuant to Section 906 of the Sarbanes-Oxley Act of 2002, that, to the best of my knowledge,</w:t>
      </w:r>
    </w:p>
    <w:p>
      <w:pPr>
        <w:spacing w:after="0" w:line="198" w:lineRule="exact"/>
        <w:rPr>
          <w:sz w:val="20"/>
          <w:szCs w:val="20"/>
          <w:color w:val="auto"/>
        </w:rPr>
      </w:pPr>
    </w:p>
    <w:p>
      <w:pPr>
        <w:ind w:left="560" w:right="960" w:hanging="327"/>
        <w:spacing w:after="0" w:line="308" w:lineRule="auto"/>
        <w:tabs>
          <w:tab w:leader="none" w:pos="554"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April 30, 2022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21" w:lineRule="exact"/>
        <w:rPr>
          <w:sz w:val="20"/>
          <w:szCs w:val="20"/>
          <w:color w:val="auto"/>
        </w:rPr>
      </w:pPr>
    </w:p>
    <w:p>
      <w:pPr>
        <w:ind w:left="80"/>
        <w:spacing w:after="0"/>
        <w:tabs>
          <w:tab w:leader="none" w:pos="5400" w:val="left"/>
          <w:tab w:leader="none" w:pos="5860" w:val="left"/>
        </w:tabs>
        <w:rPr>
          <w:sz w:val="20"/>
          <w:szCs w:val="20"/>
          <w:color w:val="auto"/>
        </w:rPr>
      </w:pPr>
      <w:r>
        <w:rPr>
          <w:rFonts w:ascii="Arial" w:cs="Arial" w:eastAsia="Arial" w:hAnsi="Arial"/>
          <w:sz w:val="18"/>
          <w:szCs w:val="18"/>
          <w:color w:val="auto"/>
        </w:rPr>
        <w:t>Date: May 27, 2022</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3716655</wp:posOffset>
            </wp:positionH>
            <wp:positionV relativeFrom="paragraph">
              <wp:posOffset>14605</wp:posOffset>
            </wp:positionV>
            <wp:extent cx="3411855"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43">
                      <a:extLst>
                        <a:ext uri="{28A0092B-C50C-407E-A947-70E740481C1C}"/>
                      </a:extLst>
                    </a:blip>
                    <a:srcRect/>
                    <a:stretch>
                      <a:fillRect/>
                    </a:stretch>
                  </pic:blipFill>
                  <pic:spPr bwMode="auto">
                    <a:xfrm>
                      <a:off x="0" y="0"/>
                      <a:ext cx="3411855" cy="8255"/>
                    </a:xfrm>
                    <a:prstGeom prst="rect">
                      <a:avLst/>
                    </a:prstGeom>
                    <a:noFill/>
                  </pic:spPr>
                </pic:pic>
              </a:graphicData>
            </a:graphic>
          </wp:anchor>
        </w:drawing>
      </w:r>
    </w:p>
    <w:p>
      <w:pPr>
        <w:spacing w:after="0" w:line="28" w:lineRule="exact"/>
        <w:rPr>
          <w:sz w:val="20"/>
          <w:szCs w:val="20"/>
          <w:color w:val="auto"/>
        </w:rPr>
      </w:pPr>
    </w:p>
    <w:p>
      <w:pPr>
        <w:ind w:left="5880"/>
        <w:spacing w:after="0"/>
        <w:rPr>
          <w:sz w:val="20"/>
          <w:szCs w:val="20"/>
          <w:color w:val="auto"/>
        </w:rPr>
      </w:pPr>
      <w:r>
        <w:rPr>
          <w:rFonts w:ascii="Arial" w:cs="Arial" w:eastAsia="Arial" w:hAnsi="Arial"/>
          <w:sz w:val="18"/>
          <w:szCs w:val="18"/>
          <w:b w:val="1"/>
          <w:bCs w:val="1"/>
          <w:color w:val="auto"/>
        </w:rPr>
        <w:t>Jean Hu</w:t>
      </w:r>
    </w:p>
    <w:p>
      <w:pPr>
        <w:ind w:left="5880"/>
        <w:spacing w:after="0" w:line="203" w:lineRule="auto"/>
        <w:rPr>
          <w:sz w:val="20"/>
          <w:szCs w:val="20"/>
          <w:color w:val="auto"/>
        </w:rPr>
      </w:pPr>
      <w:r>
        <w:rPr>
          <w:rFonts w:ascii="Arial" w:cs="Arial" w:eastAsia="Arial" w:hAnsi="Arial"/>
          <w:sz w:val="18"/>
          <w:szCs w:val="18"/>
          <w:b w:val="1"/>
          <w:bCs w:val="1"/>
          <w:color w:val="auto"/>
        </w:rPr>
        <w:t>Chief Financial Officer</w:t>
      </w:r>
    </w:p>
    <w:p>
      <w:pPr>
        <w:ind w:left="58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240"/>
      </w:cols>
      <w:pgMar w:left="320" w:top="91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F2DBA31"/>
    <w:multiLevelType w:val="hybridMultilevel"/>
    <w:lvl w:ilvl="0">
      <w:lvlJc w:val="left"/>
      <w:lvlText w:val="☒"/>
      <w:numFmt w:val="bullet"/>
      <w:start w:val="1"/>
    </w:lvl>
  </w:abstractNum>
  <w:abstractNum w:abstractNumId="1">
    <w:nsid w:val="7C83E458"/>
    <w:multiLevelType w:val="hybridMultilevel"/>
    <w:lvl w:ilvl="0">
      <w:lvlJc w:val="left"/>
      <w:lvlText w:val="☐"/>
      <w:numFmt w:val="bullet"/>
      <w:start w:val="1"/>
    </w:lvl>
  </w:abstractNum>
  <w:abstractNum w:abstractNumId="2">
    <w:nsid w:val="257130A3"/>
    <w:multiLevelType w:val="hybridMultilevel"/>
    <w:lvl w:ilvl="0">
      <w:lvlJc w:val="left"/>
      <w:lvlText w:val="(%1)"/>
      <w:numFmt w:val="decimal"/>
      <w:start w:val="1"/>
    </w:lvl>
  </w:abstractNum>
  <w:abstractNum w:abstractNumId="3">
    <w:nsid w:val="62BBD95A"/>
    <w:multiLevelType w:val="hybridMultilevel"/>
    <w:lvl w:ilvl="0">
      <w:lvlJc w:val="left"/>
      <w:lvlText w:val="+"/>
      <w:numFmt w:val="bullet"/>
      <w:start w:val="1"/>
    </w:lvl>
  </w:abstractNum>
  <w:abstractNum w:abstractNumId="4">
    <w:nsid w:val="436C6125"/>
    <w:multiLevelType w:val="hybridMultilevel"/>
    <w:lvl w:ilvl="0">
      <w:lvlJc w:val="left"/>
      <w:lvlText w:val="•"/>
      <w:numFmt w:val="bullet"/>
      <w:start w:val="1"/>
    </w:lvl>
  </w:abstractNum>
  <w:abstractNum w:abstractNumId="5">
    <w:nsid w:val="628C895D"/>
    <w:multiLevelType w:val="hybridMultilevel"/>
    <w:lvl w:ilvl="0">
      <w:lvlJc w:val="left"/>
      <w:lvlText w:val="•"/>
      <w:numFmt w:val="bullet"/>
      <w:start w:val="1"/>
    </w:lvl>
  </w:abstractNum>
  <w:abstractNum w:abstractNumId="6">
    <w:nsid w:val="333AB105"/>
    <w:multiLevelType w:val="hybridMultilevel"/>
    <w:lvl w:ilvl="0">
      <w:lvlJc w:val="left"/>
      <w:lvlText w:val="•"/>
      <w:numFmt w:val="bullet"/>
      <w:start w:val="1"/>
    </w:lvl>
  </w:abstractNum>
  <w:abstractNum w:abstractNumId="7">
    <w:nsid w:val="721DA317"/>
    <w:multiLevelType w:val="hybridMultilevel"/>
    <w:lvl w:ilvl="0">
      <w:lvlJc w:val="left"/>
      <w:lvlText w:val="•"/>
      <w:numFmt w:val="bullet"/>
      <w:start w:val="1"/>
    </w:lvl>
  </w:abstractNum>
  <w:abstractNum w:abstractNumId="8">
    <w:nsid w:val="2443A858"/>
    <w:multiLevelType w:val="hybridMultilevel"/>
    <w:lvl w:ilvl="0">
      <w:lvlJc w:val="left"/>
      <w:lvlText w:val="•"/>
      <w:numFmt w:val="bullet"/>
      <w:start w:val="1"/>
    </w:lvl>
  </w:abstractNum>
  <w:abstractNum w:abstractNumId="9">
    <w:nsid w:val="2D1D5AE9"/>
    <w:multiLevelType w:val="hybridMultilevel"/>
    <w:lvl w:ilvl="0">
      <w:lvlJc w:val="left"/>
      <w:lvlText w:val="•"/>
      <w:numFmt w:val="bullet"/>
      <w:start w:val="1"/>
    </w:lvl>
  </w:abstractNum>
  <w:abstractNum w:abstractNumId="10">
    <w:nsid w:val="6763845E"/>
    <w:multiLevelType w:val="hybridMultilevel"/>
    <w:lvl w:ilvl="0">
      <w:lvlJc w:val="left"/>
      <w:lvlText w:val="•"/>
      <w:numFmt w:val="bullet"/>
      <w:start w:val="1"/>
    </w:lvl>
  </w:abstractNum>
  <w:abstractNum w:abstractNumId="11">
    <w:nsid w:val="75A2A8D4"/>
    <w:multiLevelType w:val="hybridMultilevel"/>
    <w:lvl w:ilvl="0">
      <w:lvlJc w:val="left"/>
      <w:lvlText w:val="•"/>
      <w:numFmt w:val="bullet"/>
      <w:start w:val="1"/>
    </w:lvl>
  </w:abstractNum>
  <w:abstractNum w:abstractNumId="12">
    <w:nsid w:val="8EDBDAB"/>
    <w:multiLevelType w:val="hybridMultilevel"/>
    <w:lvl w:ilvl="0">
      <w:lvlJc w:val="left"/>
      <w:lvlText w:val="•"/>
      <w:numFmt w:val="bullet"/>
      <w:start w:val="1"/>
    </w:lvl>
  </w:abstractNum>
  <w:abstractNum w:abstractNumId="13">
    <w:nsid w:val="79838CB2"/>
    <w:multiLevelType w:val="hybridMultilevel"/>
    <w:lvl w:ilvl="0">
      <w:lvlJc w:val="left"/>
      <w:lvlText w:val="•"/>
      <w:numFmt w:val="bullet"/>
      <w:start w:val="1"/>
    </w:lvl>
  </w:abstractNum>
  <w:abstractNum w:abstractNumId="14">
    <w:nsid w:val="4353D0CD"/>
    <w:multiLevelType w:val="hybridMultilevel"/>
    <w:lvl w:ilvl="0">
      <w:lvlJc w:val="left"/>
      <w:lvlText w:val="•"/>
      <w:numFmt w:val="bullet"/>
      <w:start w:val="1"/>
    </w:lvl>
  </w:abstractNum>
  <w:abstractNum w:abstractNumId="15">
    <w:nsid w:val="B03E0C6"/>
    <w:multiLevelType w:val="hybridMultilevel"/>
    <w:lvl w:ilvl="0">
      <w:lvlJc w:val="left"/>
      <w:lvlText w:val="•"/>
      <w:numFmt w:val="bullet"/>
      <w:start w:val="1"/>
    </w:lvl>
  </w:abstractNum>
  <w:abstractNum w:abstractNumId="16">
    <w:nsid w:val="189A769B"/>
    <w:multiLevelType w:val="hybridMultilevel"/>
    <w:lvl w:ilvl="0">
      <w:lvlJc w:val="left"/>
      <w:lvlText w:val="•"/>
      <w:numFmt w:val="bullet"/>
      <w:start w:val="1"/>
    </w:lvl>
  </w:abstractNum>
  <w:abstractNum w:abstractNumId="17">
    <w:nsid w:val="54E49EB4"/>
    <w:multiLevelType w:val="hybridMultilevel"/>
    <w:lvl w:ilvl="0">
      <w:lvlJc w:val="left"/>
      <w:lvlText w:val="•"/>
      <w:numFmt w:val="bullet"/>
      <w:start w:val="1"/>
    </w:lvl>
  </w:abstractNum>
  <w:abstractNum w:abstractNumId="18">
    <w:nsid w:val="71F32454"/>
    <w:multiLevelType w:val="hybridMultilevel"/>
    <w:lvl w:ilvl="0">
      <w:lvlJc w:val="left"/>
      <w:lvlText w:val="(%1)"/>
      <w:numFmt w:val="decimal"/>
      <w:start w:val="1"/>
    </w:lvl>
  </w:abstractNum>
  <w:abstractNum w:abstractNumId="19">
    <w:nsid w:val="2CA88611"/>
    <w:multiLevelType w:val="hybridMultilevel"/>
    <w:lvl w:ilvl="0">
      <w:lvlJc w:val="left"/>
      <w:lvlText w:val="%1"/>
      <w:numFmt w:val="decimal"/>
      <w:start w:val="104"/>
    </w:lvl>
  </w:abstractNum>
  <w:abstractNum w:abstractNumId="20">
    <w:nsid w:val="836C40E"/>
    <w:multiLevelType w:val="hybridMultilevel"/>
    <w:lvl w:ilvl="0">
      <w:lvlJc w:val="left"/>
      <w:lvlText w:val="#"/>
      <w:numFmt w:val="bullet"/>
      <w:start w:val="1"/>
    </w:lvl>
  </w:abstractNum>
  <w:abstractNum w:abstractNumId="21">
    <w:nsid w:val="2901D82"/>
    <w:multiLevelType w:val="hybridMultilevel"/>
    <w:lvl w:ilvl="0">
      <w:lvlJc w:val="left"/>
      <w:lvlText w:val="*"/>
      <w:numFmt w:val="bullet"/>
      <w:start w:val="1"/>
    </w:lvl>
  </w:abstractNum>
  <w:abstractNum w:abstractNumId="22">
    <w:nsid w:val="3A95F874"/>
    <w:multiLevelType w:val="hybridMultilevel"/>
    <w:lvl w:ilvl="0">
      <w:lvlJc w:val="left"/>
      <w:lvlText w:val="**"/>
      <w:numFmt w:val="bullet"/>
      <w:start w:val="1"/>
    </w:lvl>
  </w:abstractNum>
  <w:abstractNum w:abstractNumId="23">
    <w:nsid w:val="8138641"/>
    <w:multiLevelType w:val="hybridMultilevel"/>
    <w:lvl w:ilvl="0">
      <w:lvlJc w:val="left"/>
      <w:lvlText w:val="(%1)"/>
      <w:numFmt w:val="lowerLetter"/>
      <w:start w:val="1"/>
    </w:lvl>
  </w:abstractNum>
  <w:abstractNum w:abstractNumId="24">
    <w:nsid w:val="1E7FF521"/>
    <w:multiLevelType w:val="hybridMultilevel"/>
    <w:lvl w:ilvl="0">
      <w:lvlJc w:val="left"/>
      <w:lvlText w:val="(%1)"/>
      <w:numFmt w:val="lowerLetter"/>
      <w:start w:val="1"/>
    </w:lvl>
  </w:abstractNum>
  <w:abstractNum w:abstractNumId="25">
    <w:nsid w:val="7C3DBD3D"/>
    <w:multiLevelType w:val="hybridMultilevel"/>
    <w:lvl w:ilvl="0">
      <w:lvlJc w:val="left"/>
      <w:lvlText w:val="•"/>
      <w:numFmt w:val="bullet"/>
      <w:start w:val="1"/>
    </w:lvl>
  </w:abstractNum>
  <w:abstractNum w:abstractNumId="26">
    <w:nsid w:val="737B8DDC"/>
    <w:multiLevelType w:val="hybridMultilevel"/>
    <w:lvl w:ilvl="0">
      <w:lvlJc w:val="left"/>
      <w:lvlText w:val="%1."/>
      <w:numFmt w:val="decimal"/>
      <w:start w:val="1"/>
    </w:lvl>
  </w:abstractNum>
  <w:abstractNum w:abstractNumId="27">
    <w:nsid w:val="6CEAF087"/>
    <w:multiLevelType w:val="hybridMultilevel"/>
    <w:lvl w:ilvl="0">
      <w:lvlJc w:val="left"/>
      <w:lvlText w:val="%1)"/>
      <w:numFmt w:val="lowerLetter"/>
      <w:start w:val="1"/>
    </w:lvl>
  </w:abstractNum>
  <w:abstractNum w:abstractNumId="28">
    <w:nsid w:val="22221A70"/>
    <w:multiLevelType w:val="hybridMultilevel"/>
    <w:lvl w:ilvl="0">
      <w:lvlJc w:val="left"/>
      <w:lvlText w:val="%1."/>
      <w:numFmt w:val="decimal"/>
      <w:start w:val="5"/>
    </w:lvl>
  </w:abstractNum>
  <w:abstractNum w:abstractNumId="29">
    <w:nsid w:val="4516DDE9"/>
    <w:multiLevelType w:val="hybridMultilevel"/>
    <w:lvl w:ilvl="0">
      <w:lvlJc w:val="left"/>
      <w:lvlText w:val="%1)"/>
      <w:numFmt w:val="lowerLetter"/>
      <w:start w:val="1"/>
    </w:lvl>
  </w:abstractNum>
  <w:abstractNum w:abstractNumId="30">
    <w:nsid w:val="3006C83E"/>
    <w:multiLevelType w:val="hybridMultilevel"/>
    <w:lvl w:ilvl="0">
      <w:lvlJc w:val="left"/>
      <w:lvlText w:val="%1."/>
      <w:numFmt w:val="decimal"/>
      <w:start w:val="1"/>
    </w:lvl>
  </w:abstractNum>
  <w:abstractNum w:abstractNumId="31">
    <w:nsid w:val="614FD4A1"/>
    <w:multiLevelType w:val="hybridMultilevel"/>
    <w:lvl w:ilvl="0">
      <w:lvlJc w:val="left"/>
      <w:lvlText w:val="%1)"/>
      <w:numFmt w:val="lowerLetter"/>
      <w:start w:val="1"/>
    </w:lvl>
  </w:abstractNum>
  <w:abstractNum w:abstractNumId="32">
    <w:nsid w:val="419AC241"/>
    <w:multiLevelType w:val="hybridMultilevel"/>
    <w:lvl w:ilvl="0">
      <w:lvlJc w:val="left"/>
      <w:lvlText w:val="%1."/>
      <w:numFmt w:val="decimal"/>
      <w:start w:val="5"/>
    </w:lvl>
  </w:abstractNum>
  <w:abstractNum w:abstractNumId="33">
    <w:nsid w:val="5577F8E1"/>
    <w:multiLevelType w:val="hybridMultilevel"/>
    <w:lvl w:ilvl="0">
      <w:lvlJc w:val="left"/>
      <w:lvlText w:val="%1)"/>
      <w:numFmt w:val="lowerLetter"/>
      <w:start w:val="1"/>
    </w:lvl>
  </w:abstractNum>
  <w:abstractNum w:abstractNumId="34">
    <w:nsid w:val="440BADFC"/>
    <w:multiLevelType w:val="hybridMultilevel"/>
    <w:lvl w:ilvl="0">
      <w:lvlJc w:val="left"/>
      <w:lvlText w:val="(%1)"/>
      <w:numFmt w:val="lowerRoman"/>
      <w:start w:val="1"/>
    </w:lvl>
  </w:abstractNum>
  <w:abstractNum w:abstractNumId="35">
    <w:nsid w:val="507236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92" Type="http://schemas.openxmlformats.org/officeDocument/2006/relationships/image" Target="media/image74.png"/><Relationship Id="rId107" Type="http://schemas.openxmlformats.org/officeDocument/2006/relationships/image" Target="media/image75.png"/><Relationship Id="rId129" Type="http://schemas.openxmlformats.org/officeDocument/2006/relationships/image" Target="media/image76.png"/><Relationship Id="rId133" Type="http://schemas.openxmlformats.org/officeDocument/2006/relationships/image" Target="media/image77.png"/><Relationship Id="rId134" Type="http://schemas.openxmlformats.org/officeDocument/2006/relationships/image" Target="media/image78.png"/><Relationship Id="rId135" Type="http://schemas.openxmlformats.org/officeDocument/2006/relationships/image" Target="media/image79.jpeg"/><Relationship Id="rId136" Type="http://schemas.openxmlformats.org/officeDocument/2006/relationships/image" Target="media/image80.png"/><Relationship Id="rId137" Type="http://schemas.openxmlformats.org/officeDocument/2006/relationships/image" Target="media/image81.png"/><Relationship Id="rId138" Type="http://schemas.openxmlformats.org/officeDocument/2006/relationships/image" Target="media/image82.png"/><Relationship Id="rId139" Type="http://schemas.openxmlformats.org/officeDocument/2006/relationships/image" Target="media/image83.png"/><Relationship Id="rId140" Type="http://schemas.openxmlformats.org/officeDocument/2006/relationships/image" Target="media/image84.png"/><Relationship Id="rId141" Type="http://schemas.openxmlformats.org/officeDocument/2006/relationships/image" Target="media/image85.png"/><Relationship Id="rId142" Type="http://schemas.openxmlformats.org/officeDocument/2006/relationships/image" Target="media/image86.png"/><Relationship Id="rId143" Type="http://schemas.openxmlformats.org/officeDocument/2006/relationships/image" Target="media/image87.png"/><Relationship Id="rId81" Type="http://schemas.openxmlformats.org/officeDocument/2006/relationships/hyperlink" Target="http://www.sec.gov/Archives/edgar/data/0001058057/000119312520282762/d42915dex21.htm" TargetMode="External"/><Relationship Id="rId82" Type="http://schemas.openxmlformats.org/officeDocument/2006/relationships/hyperlink" Target="http://www.sec.gov/Archives/edgar/data/1058057/000119312517348220/d454219dex21.htm" TargetMode="External"/><Relationship Id="rId83" Type="http://schemas.openxmlformats.org/officeDocument/2006/relationships/hyperlink" Target="http://www.sec.gov/Archives/edgar/data/0001058057/000105805719000024/q22010q08032019exhibit21.htm" TargetMode="External"/><Relationship Id="rId84" Type="http://schemas.openxmlformats.org/officeDocument/2006/relationships/hyperlink" Target="https://www.sec.gov/Archives/edgar/data/1835632/000119312521122938/d136815dex31.htm" TargetMode="External"/><Relationship Id="rId85" Type="http://schemas.openxmlformats.org/officeDocument/2006/relationships/hyperlink" Target="https://www.sec.gov/Archives/edgar/data/1835632/000119312521122938/d136815dex32.htm" TargetMode="External"/><Relationship Id="rId86" Type="http://schemas.openxmlformats.org/officeDocument/2006/relationships/hyperlink" Target="http://www.sec.gov/Archives/edgar/data/0001835632/000119312521123305/d282209dex41.htm" TargetMode="External"/><Relationship Id="rId87" Type="http://schemas.openxmlformats.org/officeDocument/2006/relationships/hyperlink" Target="http://www.sec.gov/Archives/edgar/data/0001835632/000119312521123305/d282209dex42.htm" TargetMode="External"/><Relationship Id="rId88" Type="http://schemas.openxmlformats.org/officeDocument/2006/relationships/hyperlink" Target="http://www.sec.gov/Archives/edgar/data/0001058057/000119312521113298/d124916dex41.htm" TargetMode="External"/><Relationship Id="rId89" Type="http://schemas.openxmlformats.org/officeDocument/2006/relationships/hyperlink" Target="http://www.sec.gov/Archives/edgar/data/0001058057/000119312521113298/d124916dex42.htm" TargetMode="External"/><Relationship Id="rId90" Type="http://schemas.openxmlformats.org/officeDocument/2006/relationships/hyperlink" Target="http://www.sec.gov/Archives/edgar/data/0001835632/000119312521150119/d168758dex42.htm" TargetMode="External"/><Relationship Id="rId91" Type="http://schemas.openxmlformats.org/officeDocument/2006/relationships/hyperlink" Target="http://www.sec.gov/Archives/edgar/data/0001058057/000119312521120469/d107622dex41.htm" TargetMode="External"/><Relationship Id="rId93" Type="http://schemas.openxmlformats.org/officeDocument/2006/relationships/hyperlink" Target="https://www.sec.gov/Archives/edgar/data/1835632/000119312521122938/d136815dex101.htm" TargetMode="External"/><Relationship Id="rId94" Type="http://schemas.openxmlformats.org/officeDocument/2006/relationships/hyperlink" Target="http://www.sec.gov/Archives/edgar/data/0001058057/000119312520312706/d84972dex101.htm" TargetMode="External"/><Relationship Id="rId95" Type="http://schemas.openxmlformats.org/officeDocument/2006/relationships/hyperlink" Target="http://www.sec.gov/Archives/edgar/data/0001058057/000119312520312706/d84972dex102.htm" TargetMode="External"/><Relationship Id="rId96" Type="http://schemas.openxmlformats.org/officeDocument/2006/relationships/hyperlink" Target="http://www.sec.gov/Archives/edgar/data/0001058057/000119312520312706/d84972dex103.htm" TargetMode="External"/><Relationship Id="rId97" Type="http://schemas.openxmlformats.org/officeDocument/2006/relationships/hyperlink" Target="http://www.sec.gov/Archives/edgar/data/0001835632/000119312521123305/d282209dex101.htm" TargetMode="External"/><Relationship Id="rId98" Type="http://schemas.openxmlformats.org/officeDocument/2006/relationships/hyperlink" Target="http://www.sec.gov/Archives/edgar/data/0001058057/000119312521113298/d124916dex101.htm" TargetMode="External"/><Relationship Id="rId99" Type="http://schemas.openxmlformats.org/officeDocument/2006/relationships/hyperlink" Target="http://www.sec.gov/Archives/edgar/data/0001835632/000119312521123014/d141152dex41.htm" TargetMode="External"/><Relationship Id="rId100" Type="http://schemas.openxmlformats.org/officeDocument/2006/relationships/hyperlink" Target="http://www.sec.gov/Archives/edgar/data/1058057/000119312513380091/d603994dex102.htm" TargetMode="External"/><Relationship Id="rId101" Type="http://schemas.openxmlformats.org/officeDocument/2006/relationships/hyperlink" Target="http://www.sec.gov/Archives/edgar/data/1058057/000119312514227243/d713602dex102.htm" TargetMode="External"/><Relationship Id="rId102" Type="http://schemas.openxmlformats.org/officeDocument/2006/relationships/hyperlink" Target="http://www.sec.gov/Archives/edgar/data/1058057/000105805718000009/mrvl-2032018x10kexhibit103.htm" TargetMode="External"/><Relationship Id="rId103" Type="http://schemas.openxmlformats.org/officeDocument/2006/relationships/hyperlink" Target="http://www.sec.gov/Archives/edgar/data/1058057/000105805719000018/q120_10qx05042019exhibit103.htm" TargetMode="External"/><Relationship Id="rId104" Type="http://schemas.openxmlformats.org/officeDocument/2006/relationships/hyperlink" Target="http://www.sec.gov/Archives/edgar/data/1058057/000105805719000018/q120_10qx05042019exhibit101.htm" TargetMode="External"/><Relationship Id="rId105" Type="http://schemas.openxmlformats.org/officeDocument/2006/relationships/hyperlink" Target="http://www.sec.gov/Archives/edgar/data/1835632/000183563221000022/mrvl-7312021exhibit1021.htm" TargetMode="External"/><Relationship Id="rId106" Type="http://schemas.openxmlformats.org/officeDocument/2006/relationships/hyperlink" Target="http://www.sec.gov/Archives/edgar/data/0001835632/000119312521123014/d141152dex42.htm" TargetMode="External"/><Relationship Id="rId108" Type="http://schemas.openxmlformats.org/officeDocument/2006/relationships/hyperlink" Target="http://www.sec.gov/Archives/edgar/data/0001835632/000119312521123014/d141152dex43.htm" TargetMode="External"/><Relationship Id="rId109" Type="http://schemas.openxmlformats.org/officeDocument/2006/relationships/hyperlink" Target="http://www.sec.gov/Archives/edgar/data/1835632/000183563221000022/mrvl-7312021exhibit1022.htm" TargetMode="External"/><Relationship Id="rId110" Type="http://schemas.openxmlformats.org/officeDocument/2006/relationships/hyperlink" Target="http://www.sec.gov/Archives/edgar/data/1058057/000119312516626575/d215915dex101.htm" TargetMode="External"/><Relationship Id="rId111" Type="http://schemas.openxmlformats.org/officeDocument/2006/relationships/hyperlink" Target="http://www.sec.gov/Archives/edgar/data/1058057/000105805720000061/mrvl-10312020exhibit106.htm" TargetMode="External"/><Relationship Id="rId112" Type="http://schemas.openxmlformats.org/officeDocument/2006/relationships/hyperlink" Target="http://www.sec.gov/Archives/edgar/data/0001058057/000105805719000032/q32010q11022019exhibit101.htm" TargetMode="External"/><Relationship Id="rId113" Type="http://schemas.openxmlformats.org/officeDocument/2006/relationships/hyperlink" Target="http://www.sec.gov/Archives/edgar/data/0001058057/000105805719000032/q32010q11022019exhibit102.htm" TargetMode="External"/><Relationship Id="rId114" Type="http://schemas.openxmlformats.org/officeDocument/2006/relationships/hyperlink" Target="http://www.sec.gov/Archives/edgar/data/0001058057/000105805719000032/q32010q11022019exhibit103.htm" TargetMode="External"/><Relationship Id="rId115" Type="http://schemas.openxmlformats.org/officeDocument/2006/relationships/hyperlink" Target="http://www.sec.gov/Archives/edgar/data/0001058057/000105805719000032/q32010q11022019exhibit106.htm" TargetMode="External"/><Relationship Id="rId116" Type="http://schemas.openxmlformats.org/officeDocument/2006/relationships/hyperlink" Target="http://www.sec.gov/Archives/edgar/data/0001058057/000105805719000032/q32010q11022019exhibit105.htm" TargetMode="External"/><Relationship Id="rId117" Type="http://schemas.openxmlformats.org/officeDocument/2006/relationships/hyperlink" Target="http://www.sec.gov/Archives/edgar/data/0001058057/000105805719000032/q32010q11022019exhibit104.htm" TargetMode="External"/><Relationship Id="rId118" Type="http://schemas.openxmlformats.org/officeDocument/2006/relationships/hyperlink" Target="http://www.sec.gov/Archives/edgar/data/1160958/000143774920017155/ex_196563.htm" TargetMode="External"/><Relationship Id="rId119" Type="http://schemas.openxmlformats.org/officeDocument/2006/relationships/hyperlink" Target="https://www.sec.gov/Archives/edgar/data/1835632/000183563221000010/mrvl-512021exhibit1017.htm" TargetMode="External"/><Relationship Id="rId120" Type="http://schemas.openxmlformats.org/officeDocument/2006/relationships/hyperlink" Target="https://www.sec.gov/Archives/edgar/data/1835632/000183563221000010/mrvl-512021exhibit1018.htm" TargetMode="External"/><Relationship Id="rId121" Type="http://schemas.openxmlformats.org/officeDocument/2006/relationships/hyperlink" Target="http://www.sec.gov/Archives/edgar/data/1058057/000119312516705222/d240868dex104.htm" TargetMode="External"/><Relationship Id="rId122" Type="http://schemas.openxmlformats.org/officeDocument/2006/relationships/hyperlink" Target="http://www.sec.gov/Archives/edgar/data/1058057/000105805720000046/mrvl-8012020exhibit101.htm" TargetMode="External"/><Relationship Id="rId123" Type="http://schemas.openxmlformats.org/officeDocument/2006/relationships/hyperlink" Target="http://www.sec.gov/Archives/edgar/data/1058057/000119312519166129/d50238dex991.htm" TargetMode="External"/><Relationship Id="rId124" Type="http://schemas.openxmlformats.org/officeDocument/2006/relationships/hyperlink" Target="http://www.sec.gov/Archives/edgar/data/1058057/000119312516705222/d240868dex103.htm" TargetMode="External"/><Relationship Id="rId125" Type="http://schemas.openxmlformats.org/officeDocument/2006/relationships/hyperlink" Target="http://www.sec.gov/Archives/edgar/data/1058057/000162828017002968/mrvl-1282017x10kexhibit1023.htm" TargetMode="External"/><Relationship Id="rId126" Type="http://schemas.openxmlformats.org/officeDocument/2006/relationships/hyperlink" Target="http://www.sec.gov/Archives/edgar/data/1058057/000119312516688737/d226316dex101.htm" TargetMode="External"/><Relationship Id="rId127" Type="http://schemas.openxmlformats.org/officeDocument/2006/relationships/hyperlink" Target="http://www.sec.gov/Archives/edgar/data/1058057/000105805718000020/raghibofferletterfinal-exh.htm" TargetMode="External"/><Relationship Id="rId128" Type="http://schemas.openxmlformats.org/officeDocument/2006/relationships/hyperlink" Target="http://www.sec.gov/Archives/edgar/data/1058057/000105805719000032/q32010q11022019exhibit.htm" TargetMode="External"/><Relationship Id="rId130" Type="http://schemas.openxmlformats.org/officeDocument/2006/relationships/hyperlink" Target="http://www.sec.gov/Archives/edgar/data/0001835632/000119312521292051/d223326dex41.htm" TargetMode="External"/><Relationship Id="rId131" Type="http://schemas.openxmlformats.org/officeDocument/2006/relationships/hyperlink" Target="http://www.sec.gov/Archives/edgar/data/0001835632/000119312521321643/d230852dex46.htm" TargetMode="External"/><Relationship Id="rId132" Type="http://schemas.openxmlformats.org/officeDocument/2006/relationships/hyperlink" Target="http://www.sec.gov/Archives/edgar/data/1835632/000119312520324587/d39145ds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2022-05-28T01:14:59Z</dcterms:created>
  <dcterms:modified xsi:type="dcterms:W3CDTF">2022-05-28T01:14:59Z</dcterms:modified>
</cp:coreProperties>
</file>