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283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28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06/01/2022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20" w:type="dxa"/>
            <w:vAlign w:val="bottom"/>
            <w:gridSpan w:val="2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5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6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06/01/2022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3,000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210,727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06/01/2022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1,488</w:t>
            </w: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58.04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209,239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06/02/2022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2"/>
              </w:rPr>
              <w:t>S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1"/>
              </w:rPr>
              <w:t>1,512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1"/>
                <w:vertAlign w:val="superscript"/>
              </w:rPr>
              <w:t>(2)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60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207,727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06/01/2022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21,002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sales of these shares were effected pursuant to a Rule 10b5-1 trading plan adopted by the reporting person.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09/01/22, 12/01/22, 03/01/23, 06/01/23, 09/01/23, 12/01/23, 03/01/24.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06/03/2022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-27305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4803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2022-06-03T10:47:36Z</dcterms:created>
  <dcterms:modified xsi:type="dcterms:W3CDTF">2022-06-03T10:47:36Z</dcterms:modified>
</cp:coreProperties>
</file>