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1"/>
          <w:szCs w:val="21"/>
          <w:color w:val="auto"/>
        </w:rPr>
        <w:t>SEC Form 4</w:t>
      </w:r>
    </w:p>
    <w:p>
      <w:pPr>
        <w:spacing w:after="0" w:line="39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32" w:lineRule="exact"/>
        <w:rPr>
          <w:sz w:val="24"/>
          <w:szCs w:val="24"/>
          <w:color w:val="auto"/>
        </w:rPr>
      </w:pPr>
    </w:p>
    <w:p>
      <w:pPr>
        <w:ind w:left="360"/>
        <w:spacing w:after="0" w:line="233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34290</wp:posOffset>
            </wp:positionH>
            <wp:positionV relativeFrom="paragraph">
              <wp:posOffset>-234315</wp:posOffset>
            </wp:positionV>
            <wp:extent cx="130810" cy="1308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130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2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0"/>
        </w:trPr>
        <w:tc>
          <w:tcPr>
            <w:tcW w:w="6300" w:type="dxa"/>
            <w:vAlign w:val="bottom"/>
          </w:tcPr>
          <w:p>
            <w:pPr>
              <w:jc w:val="center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76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6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7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6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0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5266690</wp:posOffset>
            </wp:positionH>
            <wp:positionV relativeFrom="paragraph">
              <wp:posOffset>-624205</wp:posOffset>
            </wp:positionV>
            <wp:extent cx="57785" cy="6375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" cy="637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3985895</wp:posOffset>
            </wp:positionH>
            <wp:positionV relativeFrom="paragraph">
              <wp:posOffset>-624205</wp:posOffset>
            </wp:positionV>
            <wp:extent cx="57785" cy="6375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" cy="637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-1635760</wp:posOffset>
            </wp:positionH>
            <wp:positionV relativeFrom="paragraph">
              <wp:posOffset>22860</wp:posOffset>
            </wp:positionV>
            <wp:extent cx="6993890" cy="529653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3890" cy="5296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7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60" w:space="300"/>
            <w:col w:w="8520"/>
          </w:cols>
          <w:pgMar w:left="460" w:top="217" w:right="35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Times New Roman" w:cs="Times New Roman" w:eastAsia="Times New Roman" w:hAnsi="Times New Roman"/>
          <w:sz w:val="21"/>
          <w:szCs w:val="21"/>
          <w:u w:val="single" w:color="auto"/>
          <w:color w:val="0000EE"/>
        </w:rPr>
      </w:pPr>
      <w:hyperlink r:id="rId12">
        <w:r>
          <w:rPr>
            <w:rFonts w:ascii="Times New Roman" w:cs="Times New Roman" w:eastAsia="Times New Roman" w:hAnsi="Times New Roman"/>
            <w:sz w:val="21"/>
            <w:szCs w:val="21"/>
            <w:u w:val="single" w:color="auto"/>
            <w:color w:val="0000EE"/>
          </w:rPr>
          <w:t>SWITZ ROBERT E</w:t>
        </w:r>
      </w:hyperlink>
    </w:p>
    <w:p>
      <w:pPr>
        <w:spacing w:after="0" w:line="289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(Middle)</w:t>
      </w:r>
    </w:p>
    <w:p>
      <w:pPr>
        <w:spacing w:after="0" w:line="69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spacing w:after="0"/>
        <w:rPr>
          <w:rFonts w:ascii="Times New Roman" w:cs="Times New Roman" w:eastAsia="Times New Roman" w:hAnsi="Times New Roman"/>
          <w:sz w:val="20"/>
          <w:szCs w:val="20"/>
          <w:color w:val="0000EE"/>
        </w:rPr>
      </w:pPr>
      <w:hyperlink r:id="rId13">
        <w:r>
          <w:rPr>
            <w:rFonts w:ascii="Times New Roman" w:cs="Times New Roman" w:eastAsia="Times New Roman" w:hAnsi="Times New Roman"/>
            <w:sz w:val="20"/>
            <w:szCs w:val="20"/>
            <w:u w:val="single" w:color="auto"/>
            <w:color w:val="0000EE"/>
          </w:rPr>
          <w:t>Marvell Technology, Inc.</w:t>
        </w:r>
        <w:r>
          <w:rPr>
            <w:rFonts w:ascii="Times New Roman" w:cs="Times New Roman" w:eastAsia="Times New Roman" w:hAnsi="Times New Roman"/>
            <w:sz w:val="20"/>
            <w:szCs w:val="20"/>
            <w:color w:val="0000EE"/>
          </w:rPr>
          <w:t xml:space="preserve"> </w:t>
        </w:r>
      </w:hyperlink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[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15"/>
          <w:szCs w:val="15"/>
          <w:color w:val="0000FF"/>
        </w:rPr>
        <w:t>MRVL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]</w:t>
      </w:r>
    </w:p>
    <w:p>
      <w:pPr>
        <w:spacing w:after="0" w:line="275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10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06/23/2022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1" w:right="640" w:hanging="1"/>
        <w:spacing w:after="0" w:line="257" w:lineRule="auto"/>
        <w:tabs>
          <w:tab w:leader="none" w:pos="144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ind w:left="201"/>
        <w:spacing w:after="0"/>
        <w:tabs>
          <w:tab w:leader="none" w:pos="501" w:val="left"/>
          <w:tab w:leader="none" w:pos="2081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Director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10% Owner</w:t>
      </w:r>
    </w:p>
    <w:p>
      <w:pPr>
        <w:spacing w:after="0" w:line="90" w:lineRule="exact"/>
        <w:rPr>
          <w:sz w:val="24"/>
          <w:szCs w:val="24"/>
          <w:color w:val="auto"/>
        </w:rPr>
      </w:pPr>
    </w:p>
    <w:p>
      <w:pPr>
        <w:jc w:val="right"/>
        <w:ind w:right="440"/>
        <w:spacing w:after="0"/>
        <w:tabs>
          <w:tab w:leader="none" w:pos="7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Officer (give title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Other (specify</w:t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521"/>
        <w:spacing w:after="0"/>
        <w:tabs>
          <w:tab w:leader="none" w:pos="2081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below)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below)</w:t>
      </w:r>
    </w:p>
    <w:p>
      <w:pPr>
        <w:spacing w:after="0" w:line="391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180" w:space="720"/>
            <w:col w:w="3119" w:space="720"/>
            <w:col w:w="3341"/>
          </w:cols>
          <w:pgMar w:left="460" w:top="217" w:right="359" w:bottom="1440" w:gutter="0" w:footer="0" w:header="0"/>
          <w:type w:val="continuous"/>
        </w:sectPr>
      </w:pPr>
    </w:p>
    <w:p>
      <w:pPr>
        <w:spacing w:after="0" w:line="231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8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9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38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40"/>
        <w:spacing w:after="0" w:line="229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77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60" w:space="140"/>
            <w:col w:w="7180"/>
          </w:cols>
          <w:pgMar w:left="460" w:top="217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05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60" w:type="dxa"/>
            <w:vAlign w:val="bottom"/>
            <w:gridSpan w:val="2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880" w:type="dxa"/>
            <w:vAlign w:val="bottom"/>
            <w:gridSpan w:val="4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8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1"/>
              </w:rPr>
              <w:t>Transaction</w:t>
            </w:r>
          </w:p>
        </w:tc>
        <w:tc>
          <w:tcPr>
            <w:tcW w:w="1880" w:type="dxa"/>
            <w:vAlign w:val="bottom"/>
            <w:gridSpan w:val="4"/>
          </w:tcPr>
          <w:p>
            <w:pPr>
              <w:ind w:left="1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Disposed Of (D) (Instr. 3, 4 and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Securities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  <w:gridSpan w:val="2"/>
          </w:tcPr>
          <w:p>
            <w:pPr>
              <w:ind w:left="8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500" w:type="dxa"/>
            <w:vAlign w:val="bottom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2"/>
              </w:rPr>
              <w:t>Code (Instr.</w:t>
            </w:r>
          </w:p>
        </w:tc>
        <w:tc>
          <w:tcPr>
            <w:tcW w:w="680" w:type="dxa"/>
            <w:vAlign w:val="bottom"/>
          </w:tcPr>
          <w:p>
            <w:pPr>
              <w:ind w:left="1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(Month/Day/Year)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60" w:type="dxa"/>
            <w:vAlign w:val="bottom"/>
            <w:gridSpan w:val="2"/>
            <w:vMerge w:val="restart"/>
          </w:tcPr>
          <w:p>
            <w:pPr>
              <w:jc w:val="right"/>
              <w:ind w:righ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60" w:type="dxa"/>
            <w:vAlign w:val="bottom"/>
            <w:gridSpan w:val="2"/>
            <w:vMerge w:val="restart"/>
          </w:tcPr>
          <w:p>
            <w:pPr>
              <w:ind w:left="9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06/23/2022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4,354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60" w:type="dxa"/>
            <w:vAlign w:val="bottom"/>
            <w:gridSpan w:val="2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6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6"/>
              </w:rPr>
              <w:t>0.00</w:t>
            </w:r>
          </w:p>
        </w:tc>
        <w:tc>
          <w:tcPr>
            <w:tcW w:w="1300" w:type="dxa"/>
            <w:vAlign w:val="bottom"/>
            <w:gridSpan w:val="3"/>
            <w:vMerge w:val="restart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66,030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Robert E.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Switz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5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Trust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20" w:type="dxa"/>
            <w:vAlign w:val="bottom"/>
            <w:gridSpan w:val="1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500" w:type="dxa"/>
            <w:vAlign w:val="bottom"/>
            <w:gridSpan w:val="10"/>
          </w:tcPr>
          <w:p>
            <w:pPr>
              <w:jc w:val="right"/>
              <w:ind w:righ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 of</w:t>
            </w:r>
          </w:p>
        </w:tc>
        <w:tc>
          <w:tcPr>
            <w:tcW w:w="146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2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4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1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Transaction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46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640" w:type="dxa"/>
            <w:vAlign w:val="bottom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58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right w:val="single" w:sz="8" w:color="2C2C2C"/>
            </w:tcBorders>
            <w:gridSpan w:val="4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4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1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6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58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1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 (A)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2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Disposed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50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4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4,354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jc w:val="right"/>
              <w:ind w:righ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06/23/2022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4,354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580" w:type="dxa"/>
            <w:vAlign w:val="bottom"/>
          </w:tcPr>
          <w:p>
            <w:pPr>
              <w:jc w:val="right"/>
              <w:ind w:right="81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3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4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4,320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jc w:val="right"/>
              <w:ind w:righ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06/23/2022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A</w:t>
            </w:r>
          </w:p>
        </w:tc>
        <w:tc>
          <w:tcPr>
            <w:tcW w:w="500" w:type="dxa"/>
            <w:vAlign w:val="bottom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4,320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580" w:type="dxa"/>
            <w:vAlign w:val="bottom"/>
          </w:tcPr>
          <w:p>
            <w:pPr>
              <w:jc w:val="right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4,320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3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4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-2190750</wp:posOffset>
            </wp:positionV>
            <wp:extent cx="29210" cy="219583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195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080"/>
          </w:cols>
          <w:pgMar w:left="460" w:top="217" w:right="359" w:bottom="1440" w:gutter="0" w:footer="0" w:header="0"/>
          <w:type w:val="continuous"/>
        </w:sectPr>
      </w:pPr>
    </w:p>
    <w:p>
      <w:pPr>
        <w:spacing w:after="0" w:line="2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43" w:lineRule="exact"/>
        <w:rPr>
          <w:sz w:val="24"/>
          <w:szCs w:val="24"/>
          <w:color w:val="auto"/>
        </w:rPr>
      </w:pPr>
    </w:p>
    <w:p>
      <w:pPr>
        <w:ind w:left="160" w:hanging="119"/>
        <w:spacing w:after="0"/>
        <w:tabs>
          <w:tab w:leader="none" w:pos="16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Shares are held in the Robert E. Switz Trust U/A 07/27/2019, of which Robert E. Switz and Josephine L. Switz are trustees.</w:t>
      </w:r>
    </w:p>
    <w:p>
      <w:pPr>
        <w:spacing w:after="0" w:line="43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60" w:hanging="119"/>
        <w:spacing w:after="0"/>
        <w:tabs>
          <w:tab w:leader="none" w:pos="16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Each restricted stock unit ("RSU") represents a contingent right to receive one Marvell Technology, Inc. ("Marvell") common share upon vesting.</w:t>
      </w:r>
    </w:p>
    <w:p>
      <w:pPr>
        <w:spacing w:after="0" w:line="43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60" w:hanging="119"/>
        <w:spacing w:after="0"/>
        <w:tabs>
          <w:tab w:leader="none" w:pos="16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These RSUs vested as to 100% of the shares on June 23, 2022.</w:t>
      </w:r>
    </w:p>
    <w:p>
      <w:pPr>
        <w:spacing w:after="0" w:line="43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60" w:hanging="119"/>
        <w:spacing w:after="0"/>
        <w:tabs>
          <w:tab w:leader="none" w:pos="16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Vests 100% of shares on the earlier of the next annual meeting of Marvell stockholders or the one year anniversary of the restricted stock unit grant.</w:t>
      </w:r>
    </w:p>
    <w:p>
      <w:pPr>
        <w:spacing w:after="0" w:line="43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26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Robert Switz by Blair Walters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-1905</wp:posOffset>
            </wp:positionV>
            <wp:extent cx="1275715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571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3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as 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-16510</wp:posOffset>
            </wp:positionV>
            <wp:extent cx="828040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04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0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94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06/24/2022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-3810</wp:posOffset>
            </wp:positionH>
            <wp:positionV relativeFrom="paragraph">
              <wp:posOffset>-1905</wp:posOffset>
            </wp:positionV>
            <wp:extent cx="483235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56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600" w:space="200"/>
            <w:col w:w="2280"/>
          </w:cols>
          <w:pgMar w:left="460" w:top="217" w:right="35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43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3" w:lineRule="exact"/>
        <w:rPr>
          <w:sz w:val="24"/>
          <w:szCs w:val="24"/>
          <w:color w:val="auto"/>
        </w:rPr>
      </w:pPr>
    </w:p>
    <w:p>
      <w:pPr>
        <w:jc w:val="both"/>
        <w:ind w:left="40" w:right="3620" w:firstLine="1"/>
        <w:spacing w:after="0" w:line="335" w:lineRule="auto"/>
        <w:tabs>
          <w:tab w:leader="none" w:pos="176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17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183792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2022-06-24T14:44:21Z</dcterms:created>
  <dcterms:modified xsi:type="dcterms:W3CDTF">2022-06-24T14:44:21Z</dcterms:modified>
</cp:coreProperties>
</file>