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0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3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-629920</wp:posOffset>
            </wp:positionV>
            <wp:extent cx="58420" cy="643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3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3993515</wp:posOffset>
            </wp:positionH>
            <wp:positionV relativeFrom="paragraph">
              <wp:posOffset>-629920</wp:posOffset>
            </wp:positionV>
            <wp:extent cx="58420" cy="643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3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1974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197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Andrews Sara C</w:t>
        </w:r>
      </w:hyperlink>
    </w:p>
    <w:p>
      <w:pPr>
        <w:spacing w:after="0" w:line="294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54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06/23/2022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620" w:hanging="6"/>
        <w:spacing w:after="0" w:line="260" w:lineRule="auto"/>
        <w:tabs>
          <w:tab w:leader="none" w:pos="15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06" w:val="left"/>
          <w:tab w:leader="none" w:pos="2086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526"/>
        <w:spacing w:after="0"/>
        <w:tabs>
          <w:tab w:leader="none" w:pos="2086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4" w:space="720"/>
            <w:col w:w="3346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3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1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8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6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7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3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5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06/23/2022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898</w:t>
            </w:r>
          </w:p>
        </w:tc>
        <w:tc>
          <w:tcPr>
            <w:tcW w:w="6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898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5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1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898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75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898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75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-2458085</wp:posOffset>
            </wp:positionV>
            <wp:extent cx="29210" cy="246316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463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RSUs vested as to 100% of the shares on June 23, 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Vests 100% of shares on the earlier of the next annual meeting of Marvell stockholders or the one year anniversary of the restricted stock unit grant.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Sara Andrews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4185920</wp:posOffset>
            </wp:positionH>
            <wp:positionV relativeFrom="paragraph">
              <wp:posOffset>-1270</wp:posOffset>
            </wp:positionV>
            <wp:extent cx="13290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4185920</wp:posOffset>
            </wp:positionH>
            <wp:positionV relativeFrom="paragraph">
              <wp:posOffset>-15240</wp:posOffset>
            </wp:positionV>
            <wp:extent cx="8356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06/24/2022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-1270</wp:posOffset>
            </wp:positionH>
            <wp:positionV relativeFrom="paragraph">
              <wp:posOffset>-1270</wp:posOffset>
            </wp:positionV>
            <wp:extent cx="48768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80" w:space="12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jc w:val="both"/>
        <w:ind w:left="40" w:right="3560" w:firstLine="3"/>
        <w:spacing w:after="0" w:line="338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3706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2022-06-24T16:41:44Z</dcterms:created>
  <dcterms:modified xsi:type="dcterms:W3CDTF">2022-06-24T16:41:44Z</dcterms:modified>
</cp:coreProperties>
</file>