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June 23, 2022</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43"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w:t>
      </w:r>
    </w:p>
    <w:p>
      <w:pPr>
        <w:spacing w:after="0" w:line="41" w:lineRule="exact"/>
        <w:rPr>
          <w:sz w:val="24"/>
          <w:szCs w:val="24"/>
          <w:color w:val="auto"/>
        </w:rPr>
      </w:pPr>
    </w:p>
    <w:p>
      <w:pPr>
        <w:spacing w:after="0" w:line="207" w:lineRule="exact"/>
        <w:tabs>
          <w:tab w:leader="none" w:pos="7900" w:val="left"/>
        </w:tabs>
        <w:rPr>
          <w:sz w:val="20"/>
          <w:szCs w:val="20"/>
          <w:color w:val="auto"/>
        </w:rPr>
      </w:pPr>
      <w:r>
        <w:rPr>
          <w:rFonts w:ascii="Arial" w:cs="Arial" w:eastAsia="Arial" w:hAnsi="Arial"/>
          <w:sz w:val="18"/>
          <w:szCs w:val="18"/>
          <w:color w:val="auto"/>
        </w:rPr>
        <w:t>chapter) or Rule 12b-2 of the Securities Exchange Act of 1934 (§240.12b-2 of this chapter).</w:t>
      </w:r>
      <w:r>
        <w:rPr>
          <w:sz w:val="20"/>
          <w:szCs w:val="20"/>
          <w:color w:val="auto"/>
        </w:rPr>
        <w:tab/>
      </w: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189"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left="4" w:right="20"/>
        <w:spacing w:after="0" w:line="277" w:lineRule="auto"/>
        <w:rPr>
          <w:sz w:val="20"/>
          <w:szCs w:val="20"/>
          <w:color w:val="auto"/>
        </w:rPr>
      </w:pPr>
      <w:r>
        <w:rPr>
          <w:rFonts w:ascii="Arial" w:cs="Arial" w:eastAsia="Arial" w:hAnsi="Arial"/>
          <w:sz w:val="18"/>
          <w:szCs w:val="18"/>
          <w:color w:val="auto"/>
        </w:rPr>
        <w:t>At the Company’s Annual Meeting of Stockholders held on June 23, 2022, stockholders voted on the matters set forth below. Each issued common share was entitled to one vote on each of the proposals voted on at the meeting.</w:t>
      </w:r>
    </w:p>
    <w:p>
      <w:pPr>
        <w:spacing w:after="0" w:line="170" w:lineRule="exact"/>
        <w:rPr>
          <w:sz w:val="20"/>
          <w:szCs w:val="20"/>
          <w:color w:val="auto"/>
        </w:rPr>
      </w:pPr>
    </w:p>
    <w:p>
      <w:pPr>
        <w:ind w:left="4" w:right="480" w:hanging="4"/>
        <w:spacing w:after="0" w:line="277" w:lineRule="auto"/>
        <w:tabs>
          <w:tab w:leader="none" w:pos="316"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nominees for election to the Board were elected, each for a one-year term until the 2023 Annual Meeting of Shareholders, based upon the following votes:</w:t>
      </w:r>
    </w:p>
    <w:p>
      <w:pPr>
        <w:spacing w:after="0" w:line="180"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00" w:type="dxa"/>
            <w:vAlign w:val="bottom"/>
          </w:tcPr>
          <w:p>
            <w:pPr>
              <w:jc w:val="center"/>
              <w:spacing w:after="0"/>
              <w:rPr>
                <w:sz w:val="20"/>
                <w:szCs w:val="20"/>
                <w:color w:val="auto"/>
              </w:rPr>
            </w:pPr>
            <w:r>
              <w:rPr>
                <w:rFonts w:ascii="Arial" w:cs="Arial" w:eastAsia="Arial" w:hAnsi="Arial"/>
                <w:sz w:val="14"/>
                <w:szCs w:val="14"/>
                <w:color w:val="auto"/>
              </w:rPr>
              <w:t>BROKER</w:t>
            </w:r>
          </w:p>
        </w:tc>
        <w:tc>
          <w:tcPr>
            <w:tcW w:w="1060" w:type="dxa"/>
            <w:vAlign w:val="bottom"/>
          </w:tcPr>
          <w:p>
            <w:pPr>
              <w:spacing w:after="0"/>
              <w:rPr>
                <w:sz w:val="14"/>
                <w:szCs w:val="14"/>
                <w:color w:val="auto"/>
              </w:rPr>
            </w:pPr>
          </w:p>
        </w:tc>
      </w:tr>
      <w:tr>
        <w:trPr>
          <w:trHeight w:val="167"/>
        </w:trPr>
        <w:tc>
          <w:tcPr>
            <w:tcW w:w="3800" w:type="dxa"/>
            <w:vAlign w:val="bottom"/>
          </w:tcPr>
          <w:p>
            <w:pPr>
              <w:spacing w:after="0"/>
              <w:rPr>
                <w:sz w:val="14"/>
                <w:szCs w:val="14"/>
                <w:color w:val="auto"/>
              </w:rPr>
            </w:pPr>
          </w:p>
        </w:tc>
        <w:tc>
          <w:tcPr>
            <w:tcW w:w="3380" w:type="dxa"/>
            <w:vAlign w:val="bottom"/>
          </w:tcPr>
          <w:p>
            <w:pPr>
              <w:jc w:val="center"/>
              <w:ind w:left="2212"/>
              <w:spacing w:after="0"/>
              <w:rPr>
                <w:sz w:val="20"/>
                <w:szCs w:val="20"/>
                <w:color w:val="auto"/>
              </w:rPr>
            </w:pPr>
            <w:r>
              <w:rPr>
                <w:rFonts w:ascii="Arial" w:cs="Arial" w:eastAsia="Arial" w:hAnsi="Arial"/>
                <w:sz w:val="14"/>
                <w:szCs w:val="14"/>
                <w:color w:val="auto"/>
                <w:w w:val="94"/>
              </w:rPr>
              <w:t>FOR</w:t>
            </w:r>
          </w:p>
        </w:tc>
        <w:tc>
          <w:tcPr>
            <w:tcW w:w="1000" w:type="dxa"/>
            <w:vAlign w:val="bottom"/>
          </w:tcPr>
          <w:p>
            <w:pPr>
              <w:ind w:left="180"/>
              <w:spacing w:after="0"/>
              <w:rPr>
                <w:sz w:val="20"/>
                <w:szCs w:val="20"/>
                <w:color w:val="auto"/>
              </w:rPr>
            </w:pPr>
            <w:r>
              <w:rPr>
                <w:rFonts w:ascii="Arial" w:cs="Arial" w:eastAsia="Arial" w:hAnsi="Arial"/>
                <w:sz w:val="14"/>
                <w:szCs w:val="14"/>
                <w:color w:val="auto"/>
              </w:rPr>
              <w:t>AGAINST</w:t>
            </w:r>
          </w:p>
        </w:tc>
        <w:tc>
          <w:tcPr>
            <w:tcW w:w="780" w:type="dxa"/>
            <w:vAlign w:val="bottom"/>
          </w:tcPr>
          <w:p>
            <w:pPr>
              <w:ind w:left="80"/>
              <w:spacing w:after="0"/>
              <w:rPr>
                <w:sz w:val="20"/>
                <w:szCs w:val="20"/>
                <w:color w:val="auto"/>
              </w:rPr>
            </w:pPr>
            <w:r>
              <w:rPr>
                <w:rFonts w:ascii="Arial" w:cs="Arial" w:eastAsia="Arial" w:hAnsi="Arial"/>
                <w:sz w:val="14"/>
                <w:szCs w:val="14"/>
                <w:color w:val="auto"/>
              </w:rPr>
              <w:t>ABSTAIN</w:t>
            </w:r>
          </w:p>
        </w:tc>
        <w:tc>
          <w:tcPr>
            <w:tcW w:w="1000" w:type="dxa"/>
            <w:vAlign w:val="bottom"/>
          </w:tcPr>
          <w:p>
            <w:pPr>
              <w:jc w:val="center"/>
              <w:spacing w:after="0"/>
              <w:rPr>
                <w:sz w:val="20"/>
                <w:szCs w:val="20"/>
                <w:color w:val="auto"/>
              </w:rPr>
            </w:pPr>
            <w:r>
              <w:rPr>
                <w:rFonts w:ascii="Arial" w:cs="Arial" w:eastAsia="Arial" w:hAnsi="Arial"/>
                <w:sz w:val="14"/>
                <w:szCs w:val="14"/>
                <w:color w:val="auto"/>
              </w:rPr>
              <w:t>NON-VOTE</w:t>
            </w:r>
          </w:p>
        </w:tc>
        <w:tc>
          <w:tcPr>
            <w:tcW w:w="1060" w:type="dxa"/>
            <w:vAlign w:val="bottom"/>
          </w:tcPr>
          <w:p>
            <w:pPr>
              <w:jc w:val="center"/>
              <w:spacing w:after="0"/>
              <w:rPr>
                <w:sz w:val="20"/>
                <w:szCs w:val="20"/>
                <w:color w:val="auto"/>
              </w:rPr>
            </w:pPr>
            <w:r>
              <w:rPr>
                <w:rFonts w:ascii="Arial" w:cs="Arial" w:eastAsia="Arial" w:hAnsi="Arial"/>
                <w:sz w:val="14"/>
                <w:szCs w:val="14"/>
                <w:color w:val="auto"/>
              </w:rPr>
              <w:t>TOTAL</w:t>
            </w: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Sara Andrews</w:t>
            </w:r>
          </w:p>
        </w:tc>
        <w:tc>
          <w:tcPr>
            <w:tcW w:w="3380" w:type="dxa"/>
            <w:vAlign w:val="bottom"/>
            <w:shd w:val="clear" w:color="auto" w:fill="CCEEFF"/>
          </w:tcPr>
          <w:p>
            <w:pPr>
              <w:jc w:val="center"/>
              <w:ind w:left="2232"/>
              <w:spacing w:after="0"/>
              <w:rPr>
                <w:sz w:val="20"/>
                <w:szCs w:val="20"/>
                <w:color w:val="auto"/>
              </w:rPr>
            </w:pPr>
            <w:r>
              <w:rPr>
                <w:rFonts w:ascii="Arial" w:cs="Arial" w:eastAsia="Arial" w:hAnsi="Arial"/>
                <w:sz w:val="18"/>
                <w:szCs w:val="18"/>
                <w:color w:val="auto"/>
                <w:w w:val="89"/>
              </w:rPr>
              <w:t>615,401,903</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18,886,907</w:t>
            </w:r>
          </w:p>
        </w:tc>
        <w:tc>
          <w:tcPr>
            <w:tcW w:w="7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417,022</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731,533,852</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Tudor Brown</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630,243,051</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4,024,555</w:t>
            </w:r>
          </w:p>
        </w:tc>
        <w:tc>
          <w:tcPr>
            <w:tcW w:w="780" w:type="dxa"/>
            <w:vAlign w:val="bottom"/>
          </w:tcPr>
          <w:p>
            <w:pPr>
              <w:ind w:left="100"/>
              <w:spacing w:after="0"/>
              <w:rPr>
                <w:sz w:val="20"/>
                <w:szCs w:val="20"/>
                <w:color w:val="auto"/>
              </w:rPr>
            </w:pPr>
            <w:r>
              <w:rPr>
                <w:rFonts w:ascii="Arial" w:cs="Arial" w:eastAsia="Arial" w:hAnsi="Arial"/>
                <w:sz w:val="18"/>
                <w:szCs w:val="18"/>
                <w:color w:val="auto"/>
              </w:rPr>
              <w:t>438,226</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tcPr>
          <w:p>
            <w:pPr>
              <w:jc w:val="center"/>
              <w:spacing w:after="0"/>
              <w:rPr>
                <w:sz w:val="20"/>
                <w:szCs w:val="20"/>
                <w:color w:val="auto"/>
              </w:rPr>
            </w:pPr>
            <w:r>
              <w:rPr>
                <w:rFonts w:ascii="Arial" w:cs="Arial" w:eastAsia="Arial" w:hAnsi="Arial"/>
                <w:sz w:val="18"/>
                <w:szCs w:val="18"/>
                <w:color w:val="auto"/>
                <w:w w:val="89"/>
              </w:rPr>
              <w:t>731,533,852</w:t>
            </w: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Brad Buss</w:t>
            </w:r>
          </w:p>
        </w:tc>
        <w:tc>
          <w:tcPr>
            <w:tcW w:w="3380" w:type="dxa"/>
            <w:vAlign w:val="bottom"/>
            <w:shd w:val="clear" w:color="auto" w:fill="CCEEFF"/>
          </w:tcPr>
          <w:p>
            <w:pPr>
              <w:jc w:val="center"/>
              <w:ind w:left="2232"/>
              <w:spacing w:after="0"/>
              <w:rPr>
                <w:sz w:val="20"/>
                <w:szCs w:val="20"/>
                <w:color w:val="auto"/>
              </w:rPr>
            </w:pPr>
            <w:r>
              <w:rPr>
                <w:rFonts w:ascii="Arial" w:cs="Arial" w:eastAsia="Arial" w:hAnsi="Arial"/>
                <w:sz w:val="18"/>
                <w:szCs w:val="18"/>
                <w:color w:val="auto"/>
                <w:w w:val="89"/>
              </w:rPr>
              <w:t>570,053,650</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64,211,570</w:t>
            </w:r>
          </w:p>
        </w:tc>
        <w:tc>
          <w:tcPr>
            <w:tcW w:w="7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440,612</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731,533,852</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Edward Frank</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620,245,144</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14,021,964</w:t>
            </w:r>
          </w:p>
        </w:tc>
        <w:tc>
          <w:tcPr>
            <w:tcW w:w="780" w:type="dxa"/>
            <w:vAlign w:val="bottom"/>
          </w:tcPr>
          <w:p>
            <w:pPr>
              <w:ind w:left="100"/>
              <w:spacing w:after="0"/>
              <w:rPr>
                <w:sz w:val="20"/>
                <w:szCs w:val="20"/>
                <w:color w:val="auto"/>
              </w:rPr>
            </w:pPr>
            <w:r>
              <w:rPr>
                <w:rFonts w:ascii="Arial" w:cs="Arial" w:eastAsia="Arial" w:hAnsi="Arial"/>
                <w:sz w:val="18"/>
                <w:szCs w:val="18"/>
                <w:color w:val="auto"/>
              </w:rPr>
              <w:t>438,724</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tcPr>
          <w:p>
            <w:pPr>
              <w:jc w:val="center"/>
              <w:spacing w:after="0"/>
              <w:rPr>
                <w:sz w:val="20"/>
                <w:szCs w:val="20"/>
                <w:color w:val="auto"/>
              </w:rPr>
            </w:pPr>
            <w:r>
              <w:rPr>
                <w:rFonts w:ascii="Arial" w:cs="Arial" w:eastAsia="Arial" w:hAnsi="Arial"/>
                <w:sz w:val="18"/>
                <w:szCs w:val="18"/>
                <w:color w:val="auto"/>
                <w:w w:val="89"/>
              </w:rPr>
              <w:t>731,533,852</w:t>
            </w: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Richard S. Hill</w:t>
            </w:r>
          </w:p>
        </w:tc>
        <w:tc>
          <w:tcPr>
            <w:tcW w:w="3380" w:type="dxa"/>
            <w:vAlign w:val="bottom"/>
            <w:shd w:val="clear" w:color="auto" w:fill="CCEEFF"/>
          </w:tcPr>
          <w:p>
            <w:pPr>
              <w:jc w:val="center"/>
              <w:ind w:left="2232"/>
              <w:spacing w:after="0"/>
              <w:rPr>
                <w:sz w:val="20"/>
                <w:szCs w:val="20"/>
                <w:color w:val="auto"/>
              </w:rPr>
            </w:pPr>
            <w:r>
              <w:rPr>
                <w:rFonts w:ascii="Arial" w:cs="Arial" w:eastAsia="Arial" w:hAnsi="Arial"/>
                <w:sz w:val="18"/>
                <w:szCs w:val="18"/>
                <w:color w:val="auto"/>
                <w:w w:val="89"/>
              </w:rPr>
              <w:t>632,589,682</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1,667,620</w:t>
            </w:r>
          </w:p>
        </w:tc>
        <w:tc>
          <w:tcPr>
            <w:tcW w:w="7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448,530</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731,533,852</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Marachel Knight</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633,644,091</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632,617</w:t>
            </w:r>
          </w:p>
        </w:tc>
        <w:tc>
          <w:tcPr>
            <w:tcW w:w="780" w:type="dxa"/>
            <w:vAlign w:val="bottom"/>
          </w:tcPr>
          <w:p>
            <w:pPr>
              <w:ind w:left="100"/>
              <w:spacing w:after="0"/>
              <w:rPr>
                <w:sz w:val="20"/>
                <w:szCs w:val="20"/>
                <w:color w:val="auto"/>
              </w:rPr>
            </w:pPr>
            <w:r>
              <w:rPr>
                <w:rFonts w:ascii="Arial" w:cs="Arial" w:eastAsia="Arial" w:hAnsi="Arial"/>
                <w:sz w:val="18"/>
                <w:szCs w:val="18"/>
                <w:color w:val="auto"/>
              </w:rPr>
              <w:t>429,124</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tcPr>
          <w:p>
            <w:pPr>
              <w:jc w:val="center"/>
              <w:spacing w:after="0"/>
              <w:rPr>
                <w:sz w:val="20"/>
                <w:szCs w:val="20"/>
                <w:color w:val="auto"/>
              </w:rPr>
            </w:pPr>
            <w:r>
              <w:rPr>
                <w:rFonts w:ascii="Arial" w:cs="Arial" w:eastAsia="Arial" w:hAnsi="Arial"/>
                <w:sz w:val="18"/>
                <w:szCs w:val="18"/>
                <w:color w:val="auto"/>
                <w:w w:val="89"/>
              </w:rPr>
              <w:t>731,533,852</w:t>
            </w: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3380" w:type="dxa"/>
            <w:vAlign w:val="bottom"/>
            <w:shd w:val="clear" w:color="auto" w:fill="CCEEFF"/>
          </w:tcPr>
          <w:p>
            <w:pPr>
              <w:jc w:val="center"/>
              <w:ind w:left="2232"/>
              <w:spacing w:after="0"/>
              <w:rPr>
                <w:sz w:val="20"/>
                <w:szCs w:val="20"/>
                <w:color w:val="auto"/>
              </w:rPr>
            </w:pPr>
            <w:r>
              <w:rPr>
                <w:rFonts w:ascii="Arial" w:cs="Arial" w:eastAsia="Arial" w:hAnsi="Arial"/>
                <w:sz w:val="18"/>
                <w:szCs w:val="18"/>
                <w:color w:val="auto"/>
                <w:w w:val="89"/>
              </w:rPr>
              <w:t>633,686,455</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626,959</w:t>
            </w:r>
          </w:p>
        </w:tc>
        <w:tc>
          <w:tcPr>
            <w:tcW w:w="7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392,418</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731,533,852</w:t>
            </w:r>
          </w:p>
        </w:tc>
      </w:tr>
      <w:tr>
        <w:trPr>
          <w:trHeight w:val="216"/>
        </w:trPr>
        <w:tc>
          <w:tcPr>
            <w:tcW w:w="3800" w:type="dxa"/>
            <w:vAlign w:val="bottom"/>
          </w:tcPr>
          <w:p>
            <w:pPr>
              <w:spacing w:after="0"/>
              <w:rPr>
                <w:sz w:val="20"/>
                <w:szCs w:val="20"/>
                <w:color w:val="auto"/>
              </w:rPr>
            </w:pPr>
            <w:r>
              <w:rPr>
                <w:rFonts w:ascii="Arial" w:cs="Arial" w:eastAsia="Arial" w:hAnsi="Arial"/>
                <w:sz w:val="18"/>
                <w:szCs w:val="18"/>
                <w:color w:val="auto"/>
              </w:rPr>
              <w:t>Michael Strachan</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633,132,035</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1,156,249</w:t>
            </w:r>
          </w:p>
        </w:tc>
        <w:tc>
          <w:tcPr>
            <w:tcW w:w="780" w:type="dxa"/>
            <w:vAlign w:val="bottom"/>
          </w:tcPr>
          <w:p>
            <w:pPr>
              <w:ind w:left="100"/>
              <w:spacing w:after="0"/>
              <w:rPr>
                <w:sz w:val="20"/>
                <w:szCs w:val="20"/>
                <w:color w:val="auto"/>
              </w:rPr>
            </w:pPr>
            <w:r>
              <w:rPr>
                <w:rFonts w:ascii="Arial" w:cs="Arial" w:eastAsia="Arial" w:hAnsi="Arial"/>
                <w:sz w:val="18"/>
                <w:szCs w:val="18"/>
                <w:color w:val="auto"/>
              </w:rPr>
              <w:t>417,548</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tcPr>
          <w:p>
            <w:pPr>
              <w:jc w:val="center"/>
              <w:spacing w:after="0"/>
              <w:rPr>
                <w:sz w:val="20"/>
                <w:szCs w:val="20"/>
                <w:color w:val="auto"/>
              </w:rPr>
            </w:pPr>
            <w:r>
              <w:rPr>
                <w:rFonts w:ascii="Arial" w:cs="Arial" w:eastAsia="Arial" w:hAnsi="Arial"/>
                <w:sz w:val="18"/>
                <w:szCs w:val="18"/>
                <w:color w:val="auto"/>
                <w:w w:val="89"/>
              </w:rPr>
              <w:t>731,533,852</w:t>
            </w: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Robert E. Switz</w:t>
            </w:r>
          </w:p>
        </w:tc>
        <w:tc>
          <w:tcPr>
            <w:tcW w:w="3380" w:type="dxa"/>
            <w:vAlign w:val="bottom"/>
            <w:shd w:val="clear" w:color="auto" w:fill="CCEEFF"/>
          </w:tcPr>
          <w:p>
            <w:pPr>
              <w:jc w:val="center"/>
              <w:ind w:left="2232"/>
              <w:spacing w:after="0"/>
              <w:rPr>
                <w:sz w:val="20"/>
                <w:szCs w:val="20"/>
                <w:color w:val="auto"/>
              </w:rPr>
            </w:pPr>
            <w:r>
              <w:rPr>
                <w:rFonts w:ascii="Arial" w:cs="Arial" w:eastAsia="Arial" w:hAnsi="Arial"/>
                <w:sz w:val="18"/>
                <w:szCs w:val="18"/>
                <w:color w:val="auto"/>
                <w:w w:val="89"/>
              </w:rPr>
              <w:t>604,659,238</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29,601,891</w:t>
            </w:r>
          </w:p>
        </w:tc>
        <w:tc>
          <w:tcPr>
            <w:tcW w:w="7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444,703</w:t>
            </w: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731,533,852</w:t>
            </w:r>
          </w:p>
        </w:tc>
      </w:tr>
      <w:tr>
        <w:trPr>
          <w:trHeight w:val="230"/>
        </w:trPr>
        <w:tc>
          <w:tcPr>
            <w:tcW w:w="3800" w:type="dxa"/>
            <w:vAlign w:val="bottom"/>
          </w:tcPr>
          <w:p>
            <w:pPr>
              <w:spacing w:after="0"/>
              <w:rPr>
                <w:sz w:val="20"/>
                <w:szCs w:val="20"/>
                <w:color w:val="auto"/>
              </w:rPr>
            </w:pPr>
            <w:r>
              <w:rPr>
                <w:rFonts w:ascii="Arial" w:cs="Arial" w:eastAsia="Arial" w:hAnsi="Arial"/>
                <w:sz w:val="18"/>
                <w:szCs w:val="18"/>
                <w:color w:val="auto"/>
              </w:rPr>
              <w:t>Ford Tamer</w:t>
            </w:r>
          </w:p>
        </w:tc>
        <w:tc>
          <w:tcPr>
            <w:tcW w:w="3380" w:type="dxa"/>
            <w:vAlign w:val="bottom"/>
          </w:tcPr>
          <w:p>
            <w:pPr>
              <w:jc w:val="center"/>
              <w:ind w:left="2232"/>
              <w:spacing w:after="0"/>
              <w:rPr>
                <w:sz w:val="20"/>
                <w:szCs w:val="20"/>
                <w:color w:val="auto"/>
              </w:rPr>
            </w:pPr>
            <w:r>
              <w:rPr>
                <w:rFonts w:ascii="Arial" w:cs="Arial" w:eastAsia="Arial" w:hAnsi="Arial"/>
                <w:sz w:val="18"/>
                <w:szCs w:val="18"/>
                <w:color w:val="auto"/>
                <w:w w:val="89"/>
              </w:rPr>
              <w:t>632,796,591</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1,472,435</w:t>
            </w:r>
          </w:p>
        </w:tc>
        <w:tc>
          <w:tcPr>
            <w:tcW w:w="780" w:type="dxa"/>
            <w:vAlign w:val="bottom"/>
          </w:tcPr>
          <w:p>
            <w:pPr>
              <w:ind w:left="100"/>
              <w:spacing w:after="0"/>
              <w:rPr>
                <w:sz w:val="20"/>
                <w:szCs w:val="20"/>
                <w:color w:val="auto"/>
              </w:rPr>
            </w:pPr>
            <w:r>
              <w:rPr>
                <w:rFonts w:ascii="Arial" w:cs="Arial" w:eastAsia="Arial" w:hAnsi="Arial"/>
                <w:sz w:val="18"/>
                <w:szCs w:val="18"/>
                <w:color w:val="auto"/>
              </w:rPr>
              <w:t>436,806</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96,828,020</w:t>
            </w:r>
          </w:p>
        </w:tc>
        <w:tc>
          <w:tcPr>
            <w:tcW w:w="1060" w:type="dxa"/>
            <w:vAlign w:val="bottom"/>
          </w:tcPr>
          <w:p>
            <w:pPr>
              <w:jc w:val="center"/>
              <w:spacing w:after="0"/>
              <w:rPr>
                <w:sz w:val="20"/>
                <w:szCs w:val="20"/>
                <w:color w:val="auto"/>
              </w:rPr>
            </w:pPr>
            <w:r>
              <w:rPr>
                <w:rFonts w:ascii="Arial" w:cs="Arial" w:eastAsia="Arial" w:hAnsi="Arial"/>
                <w:sz w:val="18"/>
                <w:szCs w:val="18"/>
                <w:color w:val="auto"/>
                <w:w w:val="89"/>
              </w:rPr>
              <w:t>731,533,852</w:t>
            </w:r>
          </w:p>
        </w:tc>
      </w:tr>
    </w:tbl>
    <w:p>
      <w:pPr>
        <w:spacing w:after="0" w:line="187" w:lineRule="exact"/>
        <w:rPr>
          <w:sz w:val="20"/>
          <w:szCs w:val="20"/>
          <w:color w:val="auto"/>
        </w:rPr>
      </w:pPr>
    </w:p>
    <w:p>
      <w:pPr>
        <w:ind w:left="4" w:right="420" w:hanging="4"/>
        <w:spacing w:after="0" w:line="277" w:lineRule="auto"/>
        <w:tabs>
          <w:tab w:leader="none" w:pos="316"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proposal to approve, on an advisory non-binding basis, the compensation of the Company’s named executive officers, was approved based upon the following votes:</w:t>
      </w:r>
    </w:p>
    <w:p>
      <w:pPr>
        <w:spacing w:after="0" w:line="180"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208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2400" w:type="dxa"/>
            <w:vAlign w:val="bottom"/>
          </w:tcPr>
          <w:p>
            <w:pPr>
              <w:jc w:val="center"/>
              <w:ind w:left="22"/>
              <w:spacing w:after="0"/>
              <w:rPr>
                <w:sz w:val="20"/>
                <w:szCs w:val="20"/>
                <w:color w:val="auto"/>
              </w:rPr>
            </w:pPr>
            <w:r>
              <w:rPr>
                <w:rFonts w:ascii="Arial" w:cs="Arial" w:eastAsia="Arial" w:hAnsi="Arial"/>
                <w:sz w:val="14"/>
                <w:szCs w:val="14"/>
                <w:color w:val="auto"/>
                <w:w w:val="99"/>
              </w:rPr>
              <w:t>BROKER NON-</w:t>
            </w:r>
          </w:p>
        </w:tc>
        <w:tc>
          <w:tcPr>
            <w:tcW w:w="2160" w:type="dxa"/>
            <w:vAlign w:val="bottom"/>
          </w:tcPr>
          <w:p>
            <w:pPr>
              <w:spacing w:after="0"/>
              <w:rPr>
                <w:sz w:val="14"/>
                <w:szCs w:val="14"/>
                <w:color w:val="auto"/>
              </w:rPr>
            </w:pPr>
          </w:p>
        </w:tc>
      </w:tr>
      <w:tr>
        <w:trPr>
          <w:trHeight w:val="181"/>
        </w:trPr>
        <w:tc>
          <w:tcPr>
            <w:tcW w:w="2080" w:type="dxa"/>
            <w:vAlign w:val="bottom"/>
          </w:tcPr>
          <w:p>
            <w:pPr>
              <w:jc w:val="center"/>
              <w:ind w:right="39"/>
              <w:spacing w:after="0"/>
              <w:rPr>
                <w:sz w:val="20"/>
                <w:szCs w:val="20"/>
                <w:color w:val="auto"/>
              </w:rPr>
            </w:pPr>
            <w:r>
              <w:rPr>
                <w:rFonts w:ascii="Arial" w:cs="Arial" w:eastAsia="Arial" w:hAnsi="Arial"/>
                <w:sz w:val="14"/>
                <w:szCs w:val="14"/>
                <w:color w:val="auto"/>
                <w:w w:val="94"/>
              </w:rPr>
              <w:t>FOR</w:t>
            </w:r>
          </w:p>
        </w:tc>
        <w:tc>
          <w:tcPr>
            <w:tcW w:w="2240" w:type="dxa"/>
            <w:vAlign w:val="bottom"/>
          </w:tcPr>
          <w:p>
            <w:pPr>
              <w:jc w:val="center"/>
              <w:ind w:right="19"/>
              <w:spacing w:after="0"/>
              <w:rPr>
                <w:sz w:val="20"/>
                <w:szCs w:val="20"/>
                <w:color w:val="auto"/>
              </w:rPr>
            </w:pPr>
            <w:r>
              <w:rPr>
                <w:rFonts w:ascii="Arial" w:cs="Arial" w:eastAsia="Arial" w:hAnsi="Arial"/>
                <w:sz w:val="14"/>
                <w:szCs w:val="14"/>
                <w:color w:val="auto"/>
              </w:rPr>
              <w:t>AGAINST</w:t>
            </w:r>
          </w:p>
        </w:tc>
        <w:tc>
          <w:tcPr>
            <w:tcW w:w="2140" w:type="dxa"/>
            <w:vAlign w:val="bottom"/>
          </w:tcPr>
          <w:p>
            <w:pPr>
              <w:ind w:left="780"/>
              <w:spacing w:after="0"/>
              <w:rPr>
                <w:sz w:val="20"/>
                <w:szCs w:val="20"/>
                <w:color w:val="auto"/>
              </w:rPr>
            </w:pPr>
            <w:r>
              <w:rPr>
                <w:rFonts w:ascii="Arial" w:cs="Arial" w:eastAsia="Arial" w:hAnsi="Arial"/>
                <w:sz w:val="14"/>
                <w:szCs w:val="14"/>
                <w:color w:val="auto"/>
              </w:rPr>
              <w:t>ABSTAIN</w:t>
            </w:r>
          </w:p>
        </w:tc>
        <w:tc>
          <w:tcPr>
            <w:tcW w:w="2400" w:type="dxa"/>
            <w:vAlign w:val="bottom"/>
          </w:tcPr>
          <w:p>
            <w:pPr>
              <w:jc w:val="center"/>
              <w:ind w:left="22"/>
              <w:spacing w:after="0"/>
              <w:rPr>
                <w:sz w:val="20"/>
                <w:szCs w:val="20"/>
                <w:color w:val="auto"/>
              </w:rPr>
            </w:pPr>
            <w:r>
              <w:rPr>
                <w:rFonts w:ascii="Arial" w:cs="Arial" w:eastAsia="Arial" w:hAnsi="Arial"/>
                <w:sz w:val="14"/>
                <w:szCs w:val="14"/>
                <w:color w:val="auto"/>
                <w:w w:val="99"/>
              </w:rPr>
              <w:t>VOTE</w:t>
            </w:r>
          </w:p>
        </w:tc>
        <w:tc>
          <w:tcPr>
            <w:tcW w:w="2160" w:type="dxa"/>
            <w:vAlign w:val="bottom"/>
          </w:tcPr>
          <w:p>
            <w:pPr>
              <w:jc w:val="center"/>
              <w:spacing w:after="0"/>
              <w:rPr>
                <w:sz w:val="20"/>
                <w:szCs w:val="20"/>
                <w:color w:val="auto"/>
              </w:rPr>
            </w:pPr>
            <w:r>
              <w:rPr>
                <w:rFonts w:ascii="Arial" w:cs="Arial" w:eastAsia="Arial" w:hAnsi="Arial"/>
                <w:sz w:val="14"/>
                <w:szCs w:val="14"/>
                <w:color w:val="auto"/>
              </w:rPr>
              <w:t>TOTAL</w:t>
            </w:r>
          </w:p>
        </w:tc>
      </w:tr>
      <w:tr>
        <w:trPr>
          <w:trHeight w:val="216"/>
        </w:trPr>
        <w:tc>
          <w:tcPr>
            <w:tcW w:w="2080" w:type="dxa"/>
            <w:vAlign w:val="bottom"/>
            <w:shd w:val="clear" w:color="auto" w:fill="CCEEFF"/>
          </w:tcPr>
          <w:p>
            <w:pPr>
              <w:jc w:val="right"/>
              <w:ind w:right="559"/>
              <w:spacing w:after="0"/>
              <w:rPr>
                <w:sz w:val="20"/>
                <w:szCs w:val="20"/>
                <w:color w:val="auto"/>
              </w:rPr>
            </w:pPr>
            <w:r>
              <w:rPr>
                <w:rFonts w:ascii="Arial" w:cs="Arial" w:eastAsia="Arial" w:hAnsi="Arial"/>
                <w:sz w:val="18"/>
                <w:szCs w:val="18"/>
                <w:color w:val="auto"/>
              </w:rPr>
              <w:t>588,314,184</w:t>
            </w:r>
          </w:p>
        </w:tc>
        <w:tc>
          <w:tcPr>
            <w:tcW w:w="2240" w:type="dxa"/>
            <w:vAlign w:val="bottom"/>
            <w:shd w:val="clear" w:color="auto" w:fill="CCEEFF"/>
          </w:tcPr>
          <w:p>
            <w:pPr>
              <w:jc w:val="right"/>
              <w:ind w:right="679"/>
              <w:spacing w:after="0"/>
              <w:rPr>
                <w:sz w:val="20"/>
                <w:szCs w:val="20"/>
                <w:color w:val="auto"/>
              </w:rPr>
            </w:pPr>
            <w:r>
              <w:rPr>
                <w:rFonts w:ascii="Arial" w:cs="Arial" w:eastAsia="Arial" w:hAnsi="Arial"/>
                <w:sz w:val="18"/>
                <w:szCs w:val="18"/>
                <w:color w:val="auto"/>
              </w:rPr>
              <w:t>45,775,680</w:t>
            </w:r>
          </w:p>
        </w:tc>
        <w:tc>
          <w:tcPr>
            <w:tcW w:w="2140" w:type="dxa"/>
            <w:vAlign w:val="bottom"/>
            <w:shd w:val="clear" w:color="auto" w:fill="CCEEFF"/>
          </w:tcPr>
          <w:p>
            <w:pPr>
              <w:ind w:left="800"/>
              <w:spacing w:after="0"/>
              <w:rPr>
                <w:sz w:val="20"/>
                <w:szCs w:val="20"/>
                <w:color w:val="auto"/>
              </w:rPr>
            </w:pPr>
            <w:r>
              <w:rPr>
                <w:rFonts w:ascii="Arial" w:cs="Arial" w:eastAsia="Arial" w:hAnsi="Arial"/>
                <w:sz w:val="18"/>
                <w:szCs w:val="18"/>
                <w:color w:val="auto"/>
              </w:rPr>
              <w:t>615,968</w:t>
            </w:r>
          </w:p>
        </w:tc>
        <w:tc>
          <w:tcPr>
            <w:tcW w:w="2400" w:type="dxa"/>
            <w:vAlign w:val="bottom"/>
            <w:shd w:val="clear" w:color="auto" w:fill="CCEEFF"/>
          </w:tcPr>
          <w:p>
            <w:pPr>
              <w:jc w:val="center"/>
              <w:ind w:left="22"/>
              <w:spacing w:after="0"/>
              <w:rPr>
                <w:sz w:val="20"/>
                <w:szCs w:val="20"/>
                <w:color w:val="auto"/>
              </w:rPr>
            </w:pPr>
            <w:r>
              <w:rPr>
                <w:rFonts w:ascii="Arial" w:cs="Arial" w:eastAsia="Arial" w:hAnsi="Arial"/>
                <w:sz w:val="18"/>
                <w:szCs w:val="18"/>
                <w:color w:val="auto"/>
                <w:w w:val="90"/>
              </w:rPr>
              <w:t>96,828,020</w:t>
            </w:r>
          </w:p>
        </w:tc>
        <w:tc>
          <w:tcPr>
            <w:tcW w:w="2160" w:type="dxa"/>
            <w:vAlign w:val="bottom"/>
            <w:shd w:val="clear" w:color="auto" w:fill="CCEEFF"/>
          </w:tcPr>
          <w:p>
            <w:pPr>
              <w:jc w:val="right"/>
              <w:ind w:right="519"/>
              <w:spacing w:after="0"/>
              <w:rPr>
                <w:sz w:val="20"/>
                <w:szCs w:val="20"/>
                <w:color w:val="auto"/>
              </w:rPr>
            </w:pPr>
            <w:r>
              <w:rPr>
                <w:rFonts w:ascii="Arial" w:cs="Arial" w:eastAsia="Arial" w:hAnsi="Arial"/>
                <w:sz w:val="18"/>
                <w:szCs w:val="18"/>
                <w:color w:val="auto"/>
              </w:rPr>
              <w:t>731,533,852</w:t>
            </w:r>
          </w:p>
        </w:tc>
      </w:tr>
    </w:tbl>
    <w:p>
      <w:pPr>
        <w:spacing w:after="0" w:line="202" w:lineRule="exact"/>
        <w:rPr>
          <w:sz w:val="20"/>
          <w:szCs w:val="20"/>
          <w:color w:val="auto"/>
        </w:rPr>
      </w:pPr>
    </w:p>
    <w:p>
      <w:pPr>
        <w:ind w:left="4" w:right="160" w:hanging="4"/>
        <w:spacing w:after="0" w:line="277" w:lineRule="auto"/>
        <w:tabs>
          <w:tab w:leader="none" w:pos="316"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proposal to amend the Marvell Technology, Inc. 2000 Employee Stock Purchase Plan to remove the term of the plan and to remove the annual evergreen feature of the plan:</w:t>
      </w:r>
    </w:p>
    <w:p>
      <w:pPr>
        <w:spacing w:after="0" w:line="180"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2100" w:type="dxa"/>
            <w:vAlign w:val="bottom"/>
          </w:tcPr>
          <w:p>
            <w:pPr>
              <w:spacing w:after="0"/>
              <w:rPr>
                <w:sz w:val="14"/>
                <w:szCs w:val="14"/>
                <w:color w:val="auto"/>
              </w:rPr>
            </w:pPr>
          </w:p>
        </w:tc>
        <w:tc>
          <w:tcPr>
            <w:tcW w:w="220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2400" w:type="dxa"/>
            <w:vAlign w:val="bottom"/>
          </w:tcPr>
          <w:p>
            <w:pPr>
              <w:jc w:val="center"/>
              <w:ind w:left="22"/>
              <w:spacing w:after="0"/>
              <w:rPr>
                <w:sz w:val="20"/>
                <w:szCs w:val="20"/>
                <w:color w:val="auto"/>
              </w:rPr>
            </w:pPr>
            <w:r>
              <w:rPr>
                <w:rFonts w:ascii="Arial" w:cs="Arial" w:eastAsia="Arial" w:hAnsi="Arial"/>
                <w:sz w:val="14"/>
                <w:szCs w:val="14"/>
                <w:color w:val="auto"/>
                <w:w w:val="99"/>
              </w:rPr>
              <w:t>BROKER NON-</w:t>
            </w:r>
          </w:p>
        </w:tc>
        <w:tc>
          <w:tcPr>
            <w:tcW w:w="2160" w:type="dxa"/>
            <w:vAlign w:val="bottom"/>
          </w:tcPr>
          <w:p>
            <w:pPr>
              <w:spacing w:after="0"/>
              <w:rPr>
                <w:sz w:val="14"/>
                <w:szCs w:val="14"/>
                <w:color w:val="auto"/>
              </w:rPr>
            </w:pPr>
          </w:p>
        </w:tc>
      </w:tr>
      <w:tr>
        <w:trPr>
          <w:trHeight w:val="181"/>
        </w:trPr>
        <w:tc>
          <w:tcPr>
            <w:tcW w:w="2100" w:type="dxa"/>
            <w:vAlign w:val="bottom"/>
          </w:tcPr>
          <w:p>
            <w:pPr>
              <w:jc w:val="center"/>
              <w:ind w:right="59"/>
              <w:spacing w:after="0"/>
              <w:rPr>
                <w:sz w:val="20"/>
                <w:szCs w:val="20"/>
                <w:color w:val="auto"/>
              </w:rPr>
            </w:pPr>
            <w:r>
              <w:rPr>
                <w:rFonts w:ascii="Arial" w:cs="Arial" w:eastAsia="Arial" w:hAnsi="Arial"/>
                <w:sz w:val="14"/>
                <w:szCs w:val="14"/>
                <w:color w:val="auto"/>
                <w:w w:val="94"/>
              </w:rPr>
              <w:t>FOR</w:t>
            </w:r>
          </w:p>
        </w:tc>
        <w:tc>
          <w:tcPr>
            <w:tcW w:w="2200" w:type="dxa"/>
            <w:vAlign w:val="bottom"/>
          </w:tcPr>
          <w:p>
            <w:pPr>
              <w:jc w:val="center"/>
              <w:ind w:right="19"/>
              <w:spacing w:after="0"/>
              <w:rPr>
                <w:sz w:val="20"/>
                <w:szCs w:val="20"/>
                <w:color w:val="auto"/>
              </w:rPr>
            </w:pPr>
            <w:r>
              <w:rPr>
                <w:rFonts w:ascii="Arial" w:cs="Arial" w:eastAsia="Arial" w:hAnsi="Arial"/>
                <w:sz w:val="14"/>
                <w:szCs w:val="14"/>
                <w:color w:val="auto"/>
              </w:rPr>
              <w:t>AGAINST</w:t>
            </w:r>
          </w:p>
        </w:tc>
        <w:tc>
          <w:tcPr>
            <w:tcW w:w="2160" w:type="dxa"/>
            <w:vAlign w:val="bottom"/>
          </w:tcPr>
          <w:p>
            <w:pPr>
              <w:ind w:left="800"/>
              <w:spacing w:after="0"/>
              <w:rPr>
                <w:sz w:val="20"/>
                <w:szCs w:val="20"/>
                <w:color w:val="auto"/>
              </w:rPr>
            </w:pPr>
            <w:r>
              <w:rPr>
                <w:rFonts w:ascii="Arial" w:cs="Arial" w:eastAsia="Arial" w:hAnsi="Arial"/>
                <w:sz w:val="14"/>
                <w:szCs w:val="14"/>
                <w:color w:val="auto"/>
              </w:rPr>
              <w:t>ABSTAIN</w:t>
            </w:r>
          </w:p>
        </w:tc>
        <w:tc>
          <w:tcPr>
            <w:tcW w:w="2400" w:type="dxa"/>
            <w:vAlign w:val="bottom"/>
          </w:tcPr>
          <w:p>
            <w:pPr>
              <w:jc w:val="center"/>
              <w:ind w:left="22"/>
              <w:spacing w:after="0"/>
              <w:rPr>
                <w:sz w:val="20"/>
                <w:szCs w:val="20"/>
                <w:color w:val="auto"/>
              </w:rPr>
            </w:pPr>
            <w:r>
              <w:rPr>
                <w:rFonts w:ascii="Arial" w:cs="Arial" w:eastAsia="Arial" w:hAnsi="Arial"/>
                <w:sz w:val="14"/>
                <w:szCs w:val="14"/>
                <w:color w:val="auto"/>
                <w:w w:val="99"/>
              </w:rPr>
              <w:t>VOTE</w:t>
            </w:r>
          </w:p>
        </w:tc>
        <w:tc>
          <w:tcPr>
            <w:tcW w:w="2160" w:type="dxa"/>
            <w:vAlign w:val="bottom"/>
          </w:tcPr>
          <w:p>
            <w:pPr>
              <w:jc w:val="center"/>
              <w:spacing w:after="0"/>
              <w:rPr>
                <w:sz w:val="20"/>
                <w:szCs w:val="20"/>
                <w:color w:val="auto"/>
              </w:rPr>
            </w:pPr>
            <w:r>
              <w:rPr>
                <w:rFonts w:ascii="Arial" w:cs="Arial" w:eastAsia="Arial" w:hAnsi="Arial"/>
                <w:sz w:val="14"/>
                <w:szCs w:val="14"/>
                <w:color w:val="auto"/>
              </w:rPr>
              <w:t>TOTAL</w:t>
            </w:r>
          </w:p>
        </w:tc>
      </w:tr>
      <w:tr>
        <w:trPr>
          <w:trHeight w:val="216"/>
        </w:trPr>
        <w:tc>
          <w:tcPr>
            <w:tcW w:w="2100" w:type="dxa"/>
            <w:vAlign w:val="bottom"/>
            <w:shd w:val="clear" w:color="auto" w:fill="CCEEFF"/>
          </w:tcPr>
          <w:p>
            <w:pPr>
              <w:jc w:val="right"/>
              <w:ind w:right="579"/>
              <w:spacing w:after="0"/>
              <w:rPr>
                <w:sz w:val="20"/>
                <w:szCs w:val="20"/>
                <w:color w:val="auto"/>
              </w:rPr>
            </w:pPr>
            <w:r>
              <w:rPr>
                <w:rFonts w:ascii="Arial" w:cs="Arial" w:eastAsia="Arial" w:hAnsi="Arial"/>
                <w:sz w:val="18"/>
                <w:szCs w:val="18"/>
                <w:color w:val="auto"/>
              </w:rPr>
              <w:t>632,570,151</w:t>
            </w:r>
          </w:p>
        </w:tc>
        <w:tc>
          <w:tcPr>
            <w:tcW w:w="2200" w:type="dxa"/>
            <w:vAlign w:val="bottom"/>
            <w:shd w:val="clear" w:color="auto" w:fill="CCEEFF"/>
          </w:tcPr>
          <w:p>
            <w:pPr>
              <w:jc w:val="right"/>
              <w:ind w:right="719"/>
              <w:spacing w:after="0"/>
              <w:rPr>
                <w:sz w:val="20"/>
                <w:szCs w:val="20"/>
                <w:color w:val="auto"/>
              </w:rPr>
            </w:pPr>
            <w:r>
              <w:rPr>
                <w:rFonts w:ascii="Arial" w:cs="Arial" w:eastAsia="Arial" w:hAnsi="Arial"/>
                <w:sz w:val="18"/>
                <w:szCs w:val="18"/>
                <w:color w:val="auto"/>
              </w:rPr>
              <w:t>1,634,910</w:t>
            </w:r>
          </w:p>
        </w:tc>
        <w:tc>
          <w:tcPr>
            <w:tcW w:w="2160" w:type="dxa"/>
            <w:vAlign w:val="bottom"/>
            <w:shd w:val="clear" w:color="auto" w:fill="CCEEFF"/>
          </w:tcPr>
          <w:p>
            <w:pPr>
              <w:ind w:left="820"/>
              <w:spacing w:after="0"/>
              <w:rPr>
                <w:sz w:val="20"/>
                <w:szCs w:val="20"/>
                <w:color w:val="auto"/>
              </w:rPr>
            </w:pPr>
            <w:r>
              <w:rPr>
                <w:rFonts w:ascii="Arial" w:cs="Arial" w:eastAsia="Arial" w:hAnsi="Arial"/>
                <w:sz w:val="18"/>
                <w:szCs w:val="18"/>
                <w:color w:val="auto"/>
              </w:rPr>
              <w:t>500,771</w:t>
            </w:r>
          </w:p>
        </w:tc>
        <w:tc>
          <w:tcPr>
            <w:tcW w:w="2400" w:type="dxa"/>
            <w:vAlign w:val="bottom"/>
            <w:shd w:val="clear" w:color="auto" w:fill="CCEEFF"/>
          </w:tcPr>
          <w:p>
            <w:pPr>
              <w:jc w:val="center"/>
              <w:ind w:left="22"/>
              <w:spacing w:after="0"/>
              <w:rPr>
                <w:sz w:val="20"/>
                <w:szCs w:val="20"/>
                <w:color w:val="auto"/>
              </w:rPr>
            </w:pPr>
            <w:r>
              <w:rPr>
                <w:rFonts w:ascii="Arial" w:cs="Arial" w:eastAsia="Arial" w:hAnsi="Arial"/>
                <w:sz w:val="18"/>
                <w:szCs w:val="18"/>
                <w:color w:val="auto"/>
                <w:w w:val="90"/>
              </w:rPr>
              <w:t>96,828,020</w:t>
            </w:r>
          </w:p>
        </w:tc>
        <w:tc>
          <w:tcPr>
            <w:tcW w:w="2160" w:type="dxa"/>
            <w:vAlign w:val="bottom"/>
            <w:shd w:val="clear" w:color="auto" w:fill="CCEEFF"/>
          </w:tcPr>
          <w:p>
            <w:pPr>
              <w:jc w:val="right"/>
              <w:ind w:right="519"/>
              <w:spacing w:after="0"/>
              <w:rPr>
                <w:sz w:val="20"/>
                <w:szCs w:val="20"/>
                <w:color w:val="auto"/>
              </w:rPr>
            </w:pPr>
            <w:r>
              <w:rPr>
                <w:rFonts w:ascii="Arial" w:cs="Arial" w:eastAsia="Arial" w:hAnsi="Arial"/>
                <w:sz w:val="18"/>
                <w:szCs w:val="18"/>
                <w:color w:val="auto"/>
              </w:rPr>
              <w:t>731,533,852</w:t>
            </w:r>
          </w:p>
        </w:tc>
      </w:tr>
    </w:tbl>
    <w:p>
      <w:pPr>
        <w:spacing w:after="0" w:line="202" w:lineRule="exact"/>
        <w:rPr>
          <w:sz w:val="20"/>
          <w:szCs w:val="20"/>
          <w:color w:val="auto"/>
        </w:rPr>
      </w:pPr>
    </w:p>
    <w:p>
      <w:pPr>
        <w:ind w:left="4" w:right="80" w:hanging="4"/>
        <w:spacing w:after="0" w:line="277" w:lineRule="auto"/>
        <w:tabs>
          <w:tab w:leader="none" w:pos="316"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proposal to approve the ratification of the selection of Deloitte &amp; Touche LLP as the Company’s independent registered public accounting firm for its fiscal year ending January 28, 2023, was approved based upon the following votes:</w:t>
      </w:r>
    </w:p>
    <w:p>
      <w:pPr>
        <w:spacing w:after="0" w:line="193" w:lineRule="exact"/>
        <w:rPr>
          <w:sz w:val="20"/>
          <w:szCs w:val="20"/>
          <w:color w:val="auto"/>
        </w:rPr>
      </w:pPr>
    </w:p>
    <w:tbl>
      <w:tblPr>
        <w:tblLayout w:type="fixed"/>
        <w:tblInd w:w="444" w:type="dxa"/>
        <w:tblCellMar>
          <w:top w:w="0" w:type="dxa"/>
          <w:left w:w="0" w:type="dxa"/>
          <w:bottom w:w="0" w:type="dxa"/>
          <w:right w:w="0" w:type="dxa"/>
        </w:tblCellMar>
      </w:tblPr>
      <w:tr>
        <w:trPr>
          <w:trHeight w:val="167"/>
        </w:trPr>
        <w:tc>
          <w:tcPr>
            <w:tcW w:w="2560" w:type="dxa"/>
            <w:vAlign w:val="bottom"/>
          </w:tcPr>
          <w:p>
            <w:pPr>
              <w:jc w:val="center"/>
              <w:ind w:right="39"/>
              <w:spacing w:after="0"/>
              <w:rPr>
                <w:sz w:val="20"/>
                <w:szCs w:val="20"/>
                <w:color w:val="auto"/>
              </w:rPr>
            </w:pPr>
            <w:r>
              <w:rPr>
                <w:rFonts w:ascii="Arial" w:cs="Arial" w:eastAsia="Arial" w:hAnsi="Arial"/>
                <w:sz w:val="14"/>
                <w:szCs w:val="14"/>
                <w:color w:val="auto"/>
                <w:w w:val="94"/>
              </w:rPr>
              <w:t>FOR</w:t>
            </w:r>
          </w:p>
        </w:tc>
        <w:tc>
          <w:tcPr>
            <w:tcW w:w="2500" w:type="dxa"/>
            <w:vAlign w:val="bottom"/>
          </w:tcPr>
          <w:p>
            <w:pPr>
              <w:jc w:val="center"/>
              <w:spacing w:after="0"/>
              <w:rPr>
                <w:sz w:val="20"/>
                <w:szCs w:val="20"/>
                <w:color w:val="auto"/>
              </w:rPr>
            </w:pPr>
            <w:r>
              <w:rPr>
                <w:rFonts w:ascii="Arial" w:cs="Arial" w:eastAsia="Arial" w:hAnsi="Arial"/>
                <w:sz w:val="14"/>
                <w:szCs w:val="14"/>
                <w:color w:val="auto"/>
              </w:rPr>
              <w:t>AGAINST</w:t>
            </w:r>
          </w:p>
        </w:tc>
        <w:tc>
          <w:tcPr>
            <w:tcW w:w="2500" w:type="dxa"/>
            <w:vAlign w:val="bottom"/>
          </w:tcPr>
          <w:p>
            <w:pPr>
              <w:ind w:left="980"/>
              <w:spacing w:after="0"/>
              <w:rPr>
                <w:sz w:val="20"/>
                <w:szCs w:val="20"/>
                <w:color w:val="auto"/>
              </w:rPr>
            </w:pPr>
            <w:r>
              <w:rPr>
                <w:rFonts w:ascii="Arial" w:cs="Arial" w:eastAsia="Arial" w:hAnsi="Arial"/>
                <w:sz w:val="14"/>
                <w:szCs w:val="14"/>
                <w:color w:val="auto"/>
              </w:rPr>
              <w:t>ABSTAIN</w:t>
            </w:r>
          </w:p>
        </w:tc>
        <w:tc>
          <w:tcPr>
            <w:tcW w:w="2560" w:type="dxa"/>
            <w:vAlign w:val="bottom"/>
          </w:tcPr>
          <w:p>
            <w:pPr>
              <w:jc w:val="center"/>
              <w:ind w:left="59"/>
              <w:spacing w:after="0"/>
              <w:rPr>
                <w:sz w:val="20"/>
                <w:szCs w:val="20"/>
                <w:color w:val="auto"/>
              </w:rPr>
            </w:pPr>
            <w:r>
              <w:rPr>
                <w:rFonts w:ascii="Arial" w:cs="Arial" w:eastAsia="Arial" w:hAnsi="Arial"/>
                <w:sz w:val="14"/>
                <w:szCs w:val="14"/>
                <w:color w:val="auto"/>
              </w:rPr>
              <w:t>TOTAL</w:t>
            </w:r>
          </w:p>
        </w:tc>
      </w:tr>
      <w:tr>
        <w:trPr>
          <w:trHeight w:val="216"/>
        </w:trPr>
        <w:tc>
          <w:tcPr>
            <w:tcW w:w="2560" w:type="dxa"/>
            <w:vAlign w:val="bottom"/>
            <w:shd w:val="clear" w:color="auto" w:fill="CCEEFF"/>
          </w:tcPr>
          <w:p>
            <w:pPr>
              <w:jc w:val="right"/>
              <w:ind w:right="819"/>
              <w:spacing w:after="0"/>
              <w:rPr>
                <w:sz w:val="20"/>
                <w:szCs w:val="20"/>
                <w:color w:val="auto"/>
              </w:rPr>
            </w:pPr>
            <w:r>
              <w:rPr>
                <w:rFonts w:ascii="Arial" w:cs="Arial" w:eastAsia="Arial" w:hAnsi="Arial"/>
                <w:sz w:val="18"/>
                <w:szCs w:val="18"/>
                <w:color w:val="auto"/>
              </w:rPr>
              <w:t>730,532,821</w:t>
            </w:r>
          </w:p>
        </w:tc>
        <w:tc>
          <w:tcPr>
            <w:tcW w:w="2500" w:type="dxa"/>
            <w:vAlign w:val="bottom"/>
            <w:shd w:val="clear" w:color="auto" w:fill="CCEEFF"/>
          </w:tcPr>
          <w:p>
            <w:pPr>
              <w:jc w:val="right"/>
              <w:ind w:right="919"/>
              <w:spacing w:after="0"/>
              <w:rPr>
                <w:sz w:val="20"/>
                <w:szCs w:val="20"/>
                <w:color w:val="auto"/>
              </w:rPr>
            </w:pPr>
            <w:r>
              <w:rPr>
                <w:rFonts w:ascii="Arial" w:cs="Arial" w:eastAsia="Arial" w:hAnsi="Arial"/>
                <w:sz w:val="18"/>
                <w:szCs w:val="18"/>
                <w:color w:val="auto"/>
              </w:rPr>
              <w:t>754,466</w:t>
            </w:r>
          </w:p>
        </w:tc>
        <w:tc>
          <w:tcPr>
            <w:tcW w:w="2500" w:type="dxa"/>
            <w:vAlign w:val="bottom"/>
            <w:shd w:val="clear" w:color="auto" w:fill="CCEEFF"/>
          </w:tcPr>
          <w:p>
            <w:pPr>
              <w:ind w:left="980"/>
              <w:spacing w:after="0"/>
              <w:rPr>
                <w:sz w:val="20"/>
                <w:szCs w:val="20"/>
                <w:color w:val="auto"/>
              </w:rPr>
            </w:pPr>
            <w:r>
              <w:rPr>
                <w:rFonts w:ascii="Arial" w:cs="Arial" w:eastAsia="Arial" w:hAnsi="Arial"/>
                <w:sz w:val="18"/>
                <w:szCs w:val="18"/>
                <w:color w:val="auto"/>
              </w:rPr>
              <w:t>246,565</w:t>
            </w:r>
          </w:p>
        </w:tc>
        <w:tc>
          <w:tcPr>
            <w:tcW w:w="2560" w:type="dxa"/>
            <w:vAlign w:val="bottom"/>
            <w:shd w:val="clear" w:color="auto" w:fill="CCEEFF"/>
          </w:tcPr>
          <w:p>
            <w:pPr>
              <w:jc w:val="right"/>
              <w:ind w:right="679"/>
              <w:spacing w:after="0"/>
              <w:rPr>
                <w:sz w:val="20"/>
                <w:szCs w:val="20"/>
                <w:color w:val="auto"/>
              </w:rPr>
            </w:pPr>
            <w:r>
              <w:rPr>
                <w:rFonts w:ascii="Arial" w:cs="Arial" w:eastAsia="Arial" w:hAnsi="Arial"/>
                <w:sz w:val="18"/>
                <w:szCs w:val="18"/>
                <w:color w:val="auto"/>
              </w:rPr>
              <w:t>731,533,852</w:t>
            </w:r>
          </w:p>
        </w:tc>
      </w:tr>
    </w:tbl>
    <w:p>
      <w:pPr>
        <w:sectPr>
          <w:pgSz w:w="11900" w:h="16838" w:orient="portrait"/>
          <w:cols w:equalWidth="0" w:num="1">
            <w:col w:w="11024"/>
          </w:cols>
          <w:pgMar w:left="436" w:top="297" w:right="43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June 24,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Mark Casper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Mark Casper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Sr. Vice President and General Counsel</w:t>
      </w:r>
    </w:p>
    <w:sectPr>
      <w:pgSz w:w="11900" w:h="16838" w:orient="portrait"/>
      <w:cols w:equalWidth="0" w:num="1">
        <w:col w:w="10660"/>
      </w:cols>
      <w:pgMar w:left="440" w:top="297" w:right="7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1."/>
      <w:numFmt w:val="decimal"/>
      <w:start w:val="1"/>
    </w:lvl>
  </w:abstractNum>
  <w:abstractNum w:abstractNumId="2">
    <w:nsid w:val="625558EC"/>
    <w:multiLevelType w:val="hybridMultilevel"/>
    <w:lvl w:ilvl="0">
      <w:lvlJc w:val="left"/>
      <w:lvlText w:val="%1."/>
      <w:numFmt w:val="decimal"/>
      <w:start w:val="2"/>
    </w:lvl>
  </w:abstractNum>
  <w:abstractNum w:abstractNumId="3">
    <w:nsid w:val="238E1F29"/>
    <w:multiLevelType w:val="hybridMultilevel"/>
    <w:lvl w:ilvl="0">
      <w:lvlJc w:val="left"/>
      <w:lvlText w:val="%1."/>
      <w:numFmt w:val="decimal"/>
      <w:start w:val="3"/>
    </w:lvl>
  </w:abstractNum>
  <w:abstractNum w:abstractNumId="4">
    <w:nsid w:val="46E87CCD"/>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2022-06-27T05:10:53Z</dcterms:created>
  <dcterms:modified xsi:type="dcterms:W3CDTF">2022-06-27T05:10:53Z</dcterms:modified>
</cp:coreProperties>
</file>