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-236220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20" w:type="dxa"/>
            <w:vAlign w:val="bottom"/>
            <w:vMerge w:val="restart"/>
          </w:tcPr>
          <w:p>
            <w:pPr>
              <w:jc w:val="center"/>
              <w:ind w:right="15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24130</wp:posOffset>
            </wp:positionV>
            <wp:extent cx="7045960" cy="68522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5960" cy="6852285"/>
                    </a:xfrm>
                    <a:prstGeom prst="rect">
                      <a:avLst/>
                    </a:prstGeom>
                    <a:noFill/>
                  </pic:spPr>
                </pic:pic>
              </a:graphicData>
            </a:graphic>
          </wp:anchor>
        </w:drawing>
      </w:r>
    </w:p>
    <w:p>
      <w:pPr>
        <w:spacing w:after="0" w:line="112" w:lineRule="exact"/>
        <w:rPr>
          <w:sz w:val="24"/>
          <w:szCs w:val="24"/>
          <w:color w:val="auto"/>
        </w:rPr>
      </w:pPr>
    </w:p>
    <w:p>
      <w:pPr>
        <w:sectPr>
          <w:pgSz w:w="11900" w:h="16838" w:orient="portrait"/>
          <w:cols w:equalWidth="0" w:num="2">
            <w:col w:w="2280" w:space="260"/>
            <w:col w:w="8540"/>
          </w:cols>
          <w:pgMar w:left="460" w:top="216"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GAYNOR MITCHELL</w:t>
        </w:r>
      </w:hyperlink>
    </w:p>
    <w:p>
      <w:pPr>
        <w:spacing w:after="0" w:line="29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2"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3" w:lineRule="exact"/>
        <w:rPr>
          <w:sz w:val="24"/>
          <w:szCs w:val="24"/>
          <w:color w:val="auto"/>
        </w:rPr>
      </w:pPr>
    </w:p>
    <w:p>
      <w:pPr>
        <w:jc w:val="center"/>
        <w:ind w:right="226"/>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07"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07/15/2022</w:t>
      </w:r>
    </w:p>
    <w:p>
      <w:pPr>
        <w:spacing w:after="0" w:line="20" w:lineRule="exact"/>
        <w:rPr>
          <w:sz w:val="24"/>
          <w:szCs w:val="24"/>
          <w:color w:val="auto"/>
        </w:rPr>
      </w:pPr>
      <w:r>
        <w:rPr>
          <w:sz w:val="24"/>
          <w:szCs w:val="24"/>
          <w:color w:val="auto"/>
        </w:rPr>
        <w:br w:type="column"/>
      </w:r>
    </w:p>
    <w:p>
      <w:pPr>
        <w:ind w:left="-6" w:right="620" w:firstLine="6"/>
        <w:spacing w:after="0" w:line="260"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194" w:type="dxa"/>
        <w:tblCellMar>
          <w:top w:w="0" w:type="dxa"/>
          <w:left w:w="0" w:type="dxa"/>
          <w:bottom w:w="0" w:type="dxa"/>
          <w:right w:w="0" w:type="dxa"/>
        </w:tblCellMar>
      </w:tblPr>
      <w:tr>
        <w:trPr>
          <w:trHeight w:val="172"/>
        </w:trPr>
        <w:tc>
          <w:tcPr>
            <w:tcW w:w="240" w:type="dxa"/>
            <w:vAlign w:val="bottom"/>
          </w:tcPr>
          <w:p>
            <w:pPr>
              <w:spacing w:after="0"/>
              <w:rPr>
                <w:sz w:val="14"/>
                <w:szCs w:val="14"/>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6"/>
        </w:trPr>
        <w:tc>
          <w:tcPr>
            <w:tcW w:w="2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15"/>
        </w:trPr>
        <w:tc>
          <w:tcPr>
            <w:tcW w:w="24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4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1154"/>
        <w:spacing w:after="0"/>
        <w:rPr>
          <w:sz w:val="20"/>
          <w:szCs w:val="20"/>
          <w:color w:val="auto"/>
        </w:rPr>
      </w:pPr>
      <w:r>
        <w:rPr>
          <w:rFonts w:ascii="Times New Roman" w:cs="Times New Roman" w:eastAsia="Times New Roman" w:hAnsi="Times New Roman"/>
          <w:sz w:val="17"/>
          <w:szCs w:val="17"/>
          <w:color w:val="0000FF"/>
        </w:rPr>
        <w:t>EVP, CALO</w:t>
      </w:r>
    </w:p>
    <w:p>
      <w:pPr>
        <w:spacing w:after="0" w:line="311" w:lineRule="exact"/>
        <w:rPr>
          <w:sz w:val="24"/>
          <w:szCs w:val="24"/>
          <w:color w:val="auto"/>
        </w:rPr>
      </w:pPr>
    </w:p>
    <w:p>
      <w:pPr>
        <w:sectPr>
          <w:pgSz w:w="11900" w:h="16838" w:orient="portrait"/>
          <w:cols w:equalWidth="0" w:num="3">
            <w:col w:w="3180" w:space="720"/>
            <w:col w:w="3106" w:space="720"/>
            <w:col w:w="3354"/>
          </w:cols>
          <w:pgMar w:left="460" w:top="216" w:right="359" w:bottom="0" w:gutter="0" w:footer="0" w:header="0"/>
          <w:type w:val="continuous"/>
        </w:sectPr>
      </w:pPr>
    </w:p>
    <w:p>
      <w:pPr>
        <w:spacing w:after="0" w:line="156"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4"/>
                <w:szCs w:val="14"/>
                <w:color w:val="auto"/>
              </w:rPr>
            </w:pPr>
          </w:p>
        </w:tc>
        <w:tc>
          <w:tcPr>
            <w:tcW w:w="1600" w:type="dxa"/>
            <w:vAlign w:val="bottom"/>
          </w:tcPr>
          <w:p>
            <w:pPr>
              <w:spacing w:after="0"/>
              <w:rPr>
                <w:sz w:val="14"/>
                <w:szCs w:val="14"/>
                <w:color w:val="auto"/>
              </w:rPr>
            </w:pPr>
          </w:p>
        </w:tc>
      </w:tr>
      <w:tr>
        <w:trPr>
          <w:trHeight w:val="229"/>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60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spacing w:after="0" w:line="6" w:lineRule="exact"/>
        <w:rPr>
          <w:sz w:val="24"/>
          <w:szCs w:val="24"/>
          <w:color w:val="auto"/>
        </w:rPr>
      </w:pPr>
    </w:p>
    <w:p>
      <w:pPr>
        <w:ind w:left="3820"/>
        <w:spacing w:after="0"/>
        <w:rPr>
          <w:sz w:val="20"/>
          <w:szCs w:val="20"/>
          <w:color w:val="auto"/>
        </w:rPr>
      </w:pPr>
      <w:r>
        <w:rPr>
          <w:rFonts w:ascii="Arial" w:cs="Arial" w:eastAsia="Arial" w:hAnsi="Arial"/>
          <w:sz w:val="13"/>
          <w:szCs w:val="13"/>
          <w:color w:val="auto"/>
        </w:rPr>
        <w:t>Line)</w:t>
      </w:r>
    </w:p>
    <w:p>
      <w:pPr>
        <w:ind w:left="4020"/>
        <w:spacing w:after="0" w:line="235" w:lineRule="auto"/>
        <w:tabs>
          <w:tab w:leader="none" w:pos="434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9"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spacing w:after="0" w:line="6"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740" w:space="160"/>
            <w:col w:w="7180"/>
          </w:cols>
          <w:pgMar w:left="460" w:top="216"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4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tcPr>
          <w:p>
            <w:pPr>
              <w:ind w:left="7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ind w:left="720"/>
              <w:spacing w:after="0" w:line="129"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jc w:val="center"/>
              <w:ind w:left="56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440" w:type="dxa"/>
            <w:vAlign w:val="bottom"/>
          </w:tcPr>
          <w:p>
            <w:pPr>
              <w:spacing w:after="0"/>
              <w:rPr>
                <w:sz w:val="6"/>
                <w:szCs w:val="6"/>
                <w:color w:val="auto"/>
              </w:rPr>
            </w:pPr>
          </w:p>
        </w:tc>
        <w:tc>
          <w:tcPr>
            <w:tcW w:w="17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440" w:type="dxa"/>
            <w:vAlign w:val="bottom"/>
          </w:tcPr>
          <w:p>
            <w:pPr>
              <w:spacing w:after="0"/>
              <w:rPr>
                <w:sz w:val="3"/>
                <w:szCs w:val="3"/>
                <w:color w:val="auto"/>
              </w:rPr>
            </w:pPr>
          </w:p>
        </w:tc>
        <w:tc>
          <w:tcPr>
            <w:tcW w:w="17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7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(A) or</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40" w:type="dxa"/>
            <w:vAlign w:val="bottom"/>
          </w:tcPr>
          <w:p>
            <w:pPr>
              <w:spacing w:after="0"/>
              <w:rPr>
                <w:sz w:val="5"/>
                <w:szCs w:val="5"/>
                <w:color w:val="auto"/>
              </w:rPr>
            </w:pPr>
          </w:p>
        </w:tc>
        <w:tc>
          <w:tcPr>
            <w:tcW w:w="17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44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w w:val="82"/>
              </w:rPr>
              <w:t>S</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5"/>
              </w:rPr>
              <w:t>5,000</w:t>
            </w:r>
            <w:r>
              <w:rPr>
                <w:rFonts w:ascii="Times New Roman" w:cs="Times New Roman" w:eastAsia="Times New Roman" w:hAnsi="Times New Roman"/>
                <w:sz w:val="21"/>
                <w:szCs w:val="21"/>
                <w:color w:val="008000"/>
                <w:w w:val="95"/>
                <w:vertAlign w:val="superscript"/>
              </w:rPr>
              <w:t>(1)</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47.67</w:t>
            </w:r>
            <w:r>
              <w:rPr>
                <w:rFonts w:ascii="Times New Roman" w:cs="Times New Roman" w:eastAsia="Times New Roman" w:hAnsi="Times New Roman"/>
                <w:sz w:val="21"/>
                <w:szCs w:val="21"/>
                <w:color w:val="008000"/>
                <w:w w:val="93"/>
                <w:vertAlign w:val="superscript"/>
              </w:rPr>
              <w:t>(2)</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115,563</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2,816</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118,379</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1,397</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48.22</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116,982</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1,615</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118,597</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801</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48.22</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117,796</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1,257</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119,053</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Borders>
              <w:bottom w:val="single" w:sz="8" w:color="2C2C2C"/>
            </w:tcBorders>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07/15/2022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624</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48.22</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118,429</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65"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6"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(5)</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(5)</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2,816</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07/15/2022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2,816</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w w:val="95"/>
              </w:rPr>
              <w:t>8,450</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(6)</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1,615</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07/15/2022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1,615</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11,301</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(7)</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(7)</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1,257</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07/15/2022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1,257</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13,833</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4"/>
          <w:szCs w:val="24"/>
          <w:color w:val="auto"/>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45" w:lineRule="exact"/>
        <w:rPr>
          <w:rFonts w:ascii="Times New Roman" w:cs="Times New Roman" w:eastAsia="Times New Roman" w:hAnsi="Times New Roman"/>
          <w:sz w:val="13"/>
          <w:szCs w:val="13"/>
          <w:color w:val="008000"/>
        </w:rPr>
      </w:pPr>
    </w:p>
    <w:p>
      <w:pPr>
        <w:ind w:left="40" w:right="260" w:firstLine="3"/>
        <w:spacing w:after="0" w:line="244"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$47.20 to $48.12,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RSU represents a contingent right to receive one Marvell common share upon vesting.</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10/15/2022, 01/15/2023 and 04/15/2023.</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10/15/2022, 01/15/2023, 04/15/2023, 07/15/2023, 10/15/2023, 01/15/2024 and 04/15/2024.</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10/15/2022, 01/15/2023, 04/15/2023, 07/15/2023, 10/15/2023, 01/15/2024, 04/15/2024, 07/15/2024, 10/15/2024, 01/15/2025 and 04/15/2025.</w:t>
      </w:r>
    </w:p>
    <w:p>
      <w:pPr>
        <w:spacing w:after="0" w:line="45"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6"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0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8"/>
              </w:rPr>
              <w:t>Mitchell L. Gaynor by Blair</w:t>
            </w:r>
          </w:p>
        </w:tc>
        <w:tc>
          <w:tcPr>
            <w:tcW w:w="30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07/19/2022</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Times New Roman" w:cs="Times New Roman" w:eastAsia="Times New Roman" w:hAnsi="Times New Roman"/>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9"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2022-07-19T15:02:24Z</dcterms:created>
  <dcterms:modified xsi:type="dcterms:W3CDTF">2022-07-19T15:02:24Z</dcterms:modified>
</cp:coreProperties>
</file>