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93903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939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07/15/2022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5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Chief Operations Officer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2,319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113,197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4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1,150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112,047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1,384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113,431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687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112,744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1,366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114,110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678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113,432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2,186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115,618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1,084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114,534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2,319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2,319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6,959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1,384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1,384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9,687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1,366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1,366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15,036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3050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05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281940</wp:posOffset>
            </wp:positionH>
            <wp:positionV relativeFrom="page">
              <wp:posOffset>88900</wp:posOffset>
            </wp:positionV>
            <wp:extent cx="7045960" cy="21094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2,186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2,186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24,057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Includes 572 shares acquired under the Marvell 2000 Employee Stock Purchase Plan on June 7, 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10/15/2022,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10/15/2022,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10/15/2022, 01/15/2023, 04/15/2023, 07/15/2023, 10/15/2023, 01/15/2024, 04/15/2024, 07/15/2024, 10/15/2024, 01/15/2025 and 04/15/2025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Christopher Koopmans by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4175125</wp:posOffset>
            </wp:positionH>
            <wp:positionV relativeFrom="paragraph">
              <wp:posOffset>-8255</wp:posOffset>
            </wp:positionV>
            <wp:extent cx="113284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07/19/2022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4175125</wp:posOffset>
            </wp:positionH>
            <wp:positionV relativeFrom="paragraph">
              <wp:posOffset>-14605</wp:posOffset>
            </wp:positionV>
            <wp:extent cx="188404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4175125</wp:posOffset>
            </wp:positionH>
            <wp:positionV relativeFrom="paragraph">
              <wp:posOffset>-14605</wp:posOffset>
            </wp:positionV>
            <wp:extent cx="18478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left="20" w:right="3520" w:firstLine="3"/>
        <w:spacing w:after="0" w:line="339" w:lineRule="auto"/>
        <w:tabs>
          <w:tab w:leader="none" w:pos="15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40"/>
      </w:cols>
      <w:pgMar w:left="480" w:top="192" w:right="3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2022-07-19T17:51:44Z</dcterms:created>
  <dcterms:modified xsi:type="dcterms:W3CDTF">2022-07-19T17:51:44Z</dcterms:modified>
</cp:coreProperties>
</file>