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GAYNOR MITCHELL</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08/15/2022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1145"/>
        <w:spacing w:after="0"/>
        <w:rPr>
          <w:sz w:val="20"/>
          <w:szCs w:val="20"/>
          <w:color w:val="auto"/>
        </w:rPr>
      </w:pPr>
      <w:r>
        <w:rPr>
          <w:rFonts w:ascii="Times New Roman" w:cs="Times New Roman" w:eastAsia="Times New Roman" w:hAnsi="Times New Roman"/>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9"/>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4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44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4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78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8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44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gridSpan w:val="2"/>
          </w:tcPr>
          <w:p>
            <w:pPr>
              <w:ind w:left="16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4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4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3"/>
          </w:tcPr>
          <w:p>
            <w:pPr>
              <w:ind w:left="860"/>
              <w:spacing w:after="0"/>
              <w:rPr>
                <w:sz w:val="20"/>
                <w:szCs w:val="20"/>
                <w:color w:val="auto"/>
              </w:rPr>
            </w:pPr>
            <w:r>
              <w:rPr>
                <w:rFonts w:ascii="Times New Roman" w:cs="Times New Roman" w:eastAsia="Times New Roman" w:hAnsi="Times New Roman"/>
                <w:sz w:val="17"/>
                <w:szCs w:val="17"/>
                <w:color w:val="0000FF"/>
              </w:rPr>
              <w:t>08/15/2022</w:t>
            </w:r>
          </w:p>
        </w:tc>
        <w:tc>
          <w:tcPr>
            <w:tcW w:w="44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color w:val="0000FF"/>
              </w:rPr>
              <w:t>5,000</w:t>
            </w:r>
            <w:r>
              <w:rPr>
                <w:rFonts w:ascii="Times New Roman" w:cs="Times New Roman" w:eastAsia="Times New Roman" w:hAnsi="Times New Roman"/>
                <w:sz w:val="22"/>
                <w:szCs w:val="22"/>
                <w:color w:val="008000"/>
                <w:vertAlign w:val="superscript"/>
              </w:rPr>
              <w:t>(1)</w:t>
            </w:r>
          </w:p>
        </w:tc>
        <w:tc>
          <w:tcPr>
            <w:tcW w:w="440" w:type="dxa"/>
            <w:vAlign w:val="bottom"/>
            <w:tcBorders>
              <w:bottom w:val="single" w:sz="8" w:color="2C2C2C"/>
            </w:tcBorders>
          </w:tcPr>
          <w:p>
            <w:pPr>
              <w:jc w:val="right"/>
              <w:spacing w:after="0"/>
              <w:rPr>
                <w:sz w:val="20"/>
                <w:szCs w:val="20"/>
                <w:color w:val="auto"/>
              </w:rPr>
            </w:pPr>
            <w:r>
              <w:rPr>
                <w:rFonts w:ascii="Times New Roman" w:cs="Times New Roman" w:eastAsia="Times New Roman" w:hAnsi="Times New Roman"/>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gridSpan w:val="3"/>
          </w:tcPr>
          <w:p>
            <w:pPr>
              <w:ind w:left="2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55.3</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280"/>
              <w:spacing w:after="0"/>
              <w:rPr>
                <w:sz w:val="20"/>
                <w:szCs w:val="20"/>
                <w:color w:val="auto"/>
              </w:rPr>
            </w:pPr>
            <w:r>
              <w:rPr>
                <w:rFonts w:ascii="Times New Roman" w:cs="Times New Roman" w:eastAsia="Times New Roman" w:hAnsi="Times New Roman"/>
                <w:sz w:val="17"/>
                <w:szCs w:val="17"/>
                <w:color w:val="0000FF"/>
              </w:rPr>
              <w:t>113,429</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2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$54.82 to $55.79,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1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Mitchell L. Gaynor by Blair</w:t>
            </w:r>
          </w:p>
        </w:tc>
        <w:tc>
          <w:tcPr>
            <w:tcW w:w="12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08/17/2022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2022-08-17T10:57:36Z</dcterms:created>
  <dcterms:modified xsi:type="dcterms:W3CDTF">2022-08-17T10:57:36Z</dcterms:modified>
</cp:coreProperties>
</file>