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ind w:left="4020"/>
        <w:spacing w:after="0"/>
        <w:rPr>
          <w:sz w:val="20"/>
          <w:szCs w:val="20"/>
          <w:color w:val="auto"/>
        </w:rPr>
      </w:pPr>
      <w:r>
        <w:rPr>
          <w:rFonts w:ascii="Times New Roman" w:cs="Times New Roman" w:eastAsia="Times New Roman" w:hAnsi="Times New Roman"/>
          <w:sz w:val="22"/>
          <w:szCs w:val="22"/>
          <w:b w:val="1"/>
          <w:bCs w:val="1"/>
          <w:color w:val="auto"/>
        </w:rPr>
        <w:t>Date of Report: August 21, 2022</w:t>
      </w:r>
    </w:p>
    <w:p>
      <w:pPr>
        <w:spacing w:after="0" w:line="18" w:lineRule="exact"/>
        <w:rPr>
          <w:sz w:val="24"/>
          <w:szCs w:val="24"/>
          <w:color w:val="auto"/>
        </w:rPr>
      </w:pPr>
    </w:p>
    <w:p>
      <w:pPr>
        <w:ind w:left="4040"/>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4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INC.</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00"/>
        <w:spacing w:after="0"/>
        <w:rPr>
          <w:sz w:val="20"/>
          <w:szCs w:val="20"/>
          <w:color w:val="auto"/>
        </w:rPr>
      </w:pPr>
      <w:r>
        <w:rPr>
          <w:rFonts w:ascii="Times New Roman" w:cs="Times New Roman" w:eastAsia="Times New Roman" w:hAnsi="Times New Roman"/>
          <w:sz w:val="17"/>
          <w:szCs w:val="17"/>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85-3971597</w:t>
      </w:r>
    </w:p>
    <w:p>
      <w:pPr>
        <w:spacing w:after="0" w:line="24" w:lineRule="exact"/>
        <w:rPr>
          <w:sz w:val="24"/>
          <w:szCs w:val="24"/>
          <w:color w:val="auto"/>
        </w:rPr>
      </w:pPr>
    </w:p>
    <w:p>
      <w:pPr>
        <w:sectPr>
          <w:pgSz w:w="11900" w:h="16838" w:orient="portrait"/>
          <w:cols w:equalWidth="0" w:num="3">
            <w:col w:w="4500" w:space="720"/>
            <w:col w:w="28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61"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1000 N. West Street, Suite 1200</w:t>
      </w:r>
    </w:p>
    <w:p>
      <w:pPr>
        <w:spacing w:after="0" w:line="3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6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(302) 295-4840</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201930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p>
      <w:pPr>
        <w:spacing w:after="0" w:line="200" w:lineRule="exact"/>
        <w:rPr>
          <w:sz w:val="24"/>
          <w:szCs w:val="24"/>
          <w:color w:val="auto"/>
        </w:rPr>
      </w:pPr>
    </w:p>
    <w:p>
      <w:pPr>
        <w:spacing w:after="0" w:line="289"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35"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2" w:lineRule="exact"/>
        <w:rPr>
          <w:sz w:val="24"/>
          <w:szCs w:val="24"/>
          <w:color w:val="auto"/>
        </w:rPr>
      </w:pPr>
    </w:p>
    <w:p>
      <w:pPr>
        <w:ind w:left="8800"/>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27"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133985</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ind w:left="1200" w:right="1000" w:hanging="1200"/>
        <w:spacing w:after="0" w:line="286" w:lineRule="auto"/>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5.02</w:t>
      </w:r>
      <w:r>
        <w:rPr>
          <w:sz w:val="20"/>
          <w:szCs w:val="20"/>
          <w:color w:val="auto"/>
        </w:rPr>
        <w:tab/>
      </w:r>
      <w:r>
        <w:rPr>
          <w:rFonts w:ascii="Times New Roman" w:cs="Times New Roman" w:eastAsia="Times New Roman" w:hAnsi="Times New Roman"/>
          <w:sz w:val="18"/>
          <w:szCs w:val="18"/>
          <w:b w:val="1"/>
          <w:bCs w:val="1"/>
          <w:color w:val="auto"/>
        </w:rPr>
        <w:t>Departure of Directors or Certain Officers; Election of Directors; Appointment of Certain Officers; Compensatory Arrangements of Certain Officers.</w:t>
      </w:r>
    </w:p>
    <w:p>
      <w:pPr>
        <w:spacing w:after="0" w:line="51" w:lineRule="exact"/>
        <w:rPr>
          <w:sz w:val="20"/>
          <w:szCs w:val="20"/>
          <w:color w:val="auto"/>
        </w:rPr>
      </w:pPr>
    </w:p>
    <w:p>
      <w:pPr>
        <w:ind w:right="500"/>
        <w:spacing w:after="0" w:line="282" w:lineRule="auto"/>
        <w:rPr>
          <w:sz w:val="20"/>
          <w:szCs w:val="20"/>
          <w:color w:val="auto"/>
        </w:rPr>
      </w:pPr>
      <w:r>
        <w:rPr>
          <w:rFonts w:ascii="Times New Roman" w:cs="Times New Roman" w:eastAsia="Times New Roman" w:hAnsi="Times New Roman"/>
          <w:sz w:val="18"/>
          <w:szCs w:val="18"/>
          <w:color w:val="auto"/>
        </w:rPr>
        <w:t>The Board of Directors (the “Board”) of Marvell Technology, Inc. (the “Company”) approved the appointment of Rebecca W. House to the Board effective August 22, 2022.</w:t>
      </w:r>
    </w:p>
    <w:p>
      <w:pPr>
        <w:spacing w:after="0" w:line="16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Ms. House plans to stand for election at the 2023 annual meeting of stockholders expected to be held on or around June 2023. The Board has determined Ms. House to be an “independent director” as defined under the applicable rules and regulations of the Securities and Exchange Commission and the listing requirements and rules of The NASDAQ Stock Market.</w:t>
      </w:r>
    </w:p>
    <w:p>
      <w:pPr>
        <w:spacing w:after="0" w:line="176"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Ms. House, age 49, has served as the Senior Vice President, Chief People (since July 2020) and Legal Officer and Secretary since January 3, 2017 of Rockwell Automation, Inc. (a global leader in industrial automation and digital transformation). Prior to that she served as the Assistant General Counsel, Operations and Compliance, and Assistant Secretary, at Harley-Davidson, Inc. (a motorcycle manufacturer). Ms. House serves on the board of directors for FMI Funds, Inc., MIND Research Institute, and the Wisconsin Alumni Research Foundation (WARF). She is also a director and former Board President of Sojourner Family Peace Center, the largest provider of domestic violence services in the state of Wisconsin. She graduated with a bachelor of arts degree from the University of Wisconsin – Madison. She earned her law degree, magna cum laude, from Harvard Law School in Cambridge, Massachusetts.</w:t>
      </w:r>
    </w:p>
    <w:p>
      <w:pPr>
        <w:spacing w:after="0" w:line="189"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There are no family relationships between Ms. House and any other director or executive officer of the Company. Nor are there any transactions between Ms. House or any member of her immediate family and the Company that would be reportable as a related party transaction under the rules of the United States Securities and Exchange Commission. Further, there is no arrangement or understanding between Ms. House and any other persons or entities pursuant to which Ms. House was appointed as a director of the Company.</w:t>
      </w:r>
    </w:p>
    <w:p>
      <w:pPr>
        <w:spacing w:after="0" w:line="180" w:lineRule="exact"/>
        <w:rPr>
          <w:sz w:val="20"/>
          <w:szCs w:val="20"/>
          <w:color w:val="auto"/>
        </w:rPr>
      </w:pPr>
    </w:p>
    <w:p>
      <w:pPr>
        <w:ind w:right="320"/>
        <w:spacing w:after="0" w:line="281" w:lineRule="auto"/>
        <w:rPr>
          <w:sz w:val="20"/>
          <w:szCs w:val="20"/>
          <w:color w:val="auto"/>
        </w:rPr>
      </w:pPr>
      <w:r>
        <w:rPr>
          <w:rFonts w:ascii="Times New Roman" w:cs="Times New Roman" w:eastAsia="Times New Roman" w:hAnsi="Times New Roman"/>
          <w:sz w:val="17"/>
          <w:szCs w:val="17"/>
          <w:color w:val="auto"/>
        </w:rPr>
        <w:t>Ms. House will participate in all director compensation and benefit programs in which the Company’s other non-employee directors participate, including an annual director retainer of $75,000 and an annual equity grant of restricted stock units valued at $235,000, which will be granted on the date of the 2023 annual meeting of stockholders. In addition, upon joining the Board, Ms. House received a restricted stock unit award valued in an amount equal to a prorated portion of the annual equity grant, which prorated grant will vest on the date of the 2023 annual meeting of stockholders.</w:t>
      </w:r>
    </w:p>
    <w:p>
      <w:pPr>
        <w:spacing w:after="0" w:line="1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 copy of the press release announcing Ms. House’s appointment is furnished herewith as Exhibit 99.1 to this Current Report on Form 8-K.</w:t>
      </w:r>
    </w:p>
    <w:p>
      <w:pPr>
        <w:spacing w:after="0" w:line="37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 Exhibits.</w:t>
      </w:r>
    </w:p>
    <w:p>
      <w:pPr>
        <w:spacing w:after="0" w:line="25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7"/>
          <w:szCs w:val="17"/>
          <w:u w:val="single" w:color="auto"/>
          <w:color w:val="0000EE"/>
        </w:rPr>
        <w:t>Press Release dated August 22, 2022</w:t>
      </w:r>
    </w:p>
    <w:p>
      <w:pPr>
        <w:spacing w:after="0" w:line="11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ectPr>
          <w:pgSz w:w="11900" w:h="16838" w:orient="portrait"/>
          <w:cols w:equalWidth="0" w:num="1">
            <w:col w:w="11000"/>
          </w:cols>
          <w:pgMar w:left="440" w:top="293" w:right="459" w:bottom="1440" w:gutter="0" w:footer="0" w:header="0"/>
        </w:sectPr>
      </w:pPr>
    </w:p>
    <w:bookmarkStart w:id="2" w:name="page3"/>
    <w:bookmarkEnd w:id="2"/>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39"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August 22, 2022</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Mark Casper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4"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Mark Casper</w:t>
      </w:r>
    </w:p>
    <w:p>
      <w:pPr>
        <w:spacing w:after="0" w:line="9"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Senior Vice President and General Counsel</w:t>
      </w:r>
    </w:p>
    <w:p>
      <w:pPr>
        <w:sectPr>
          <w:pgSz w:w="11900" w:h="16838" w:orient="portrait"/>
          <w:cols w:equalWidth="0" w:num="1">
            <w:col w:w="10660"/>
          </w:cols>
          <w:pgMar w:left="440" w:top="293" w:right="7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173990</wp:posOffset>
            </wp:positionV>
            <wp:extent cx="1320165" cy="3771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320165" cy="3771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Announces the Appointment of Rebecca House to Board of Directors</w:t>
      </w:r>
    </w:p>
    <w:p>
      <w:pPr>
        <w:spacing w:after="0" w:line="229" w:lineRule="exact"/>
        <w:rPr>
          <w:sz w:val="20"/>
          <w:szCs w:val="20"/>
          <w:color w:val="auto"/>
        </w:rPr>
      </w:pPr>
    </w:p>
    <w:p>
      <w:pPr>
        <w:ind w:right="260"/>
        <w:spacing w:after="0" w:line="312" w:lineRule="auto"/>
        <w:rPr>
          <w:sz w:val="20"/>
          <w:szCs w:val="20"/>
          <w:color w:val="auto"/>
        </w:rPr>
      </w:pPr>
      <w:r>
        <w:rPr>
          <w:rFonts w:ascii="Times New Roman" w:cs="Times New Roman" w:eastAsia="Times New Roman" w:hAnsi="Times New Roman"/>
          <w:sz w:val="17"/>
          <w:szCs w:val="17"/>
          <w:color w:val="auto"/>
        </w:rPr>
        <w:t>SANTA CLARA, Calif. — August 22, 2022 – Marvell (NASDAQ: MRVL), a leader in data infrastructure semiconductor solutions, has appointed Rebecca (Becky) House, Senior Vice President, Chief People and Legal Officer and Secretary of Rockwell Automation, Inc., to its board of directors.</w:t>
      </w:r>
    </w:p>
    <w:p>
      <w:pPr>
        <w:spacing w:after="0" w:line="140"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“Becky has an extensive background in talent management, ethics and compliance, public affairs, security and sustainability, and is a proven leader in building and maintaining exceptional company cultures within large, multinational companies,” said Matt Murphy, President and CEO of Marvell. “Her insights and counsel will be very valuable as we continue to scale and grow Marvell’s business globally.”</w:t>
      </w:r>
    </w:p>
    <w:p>
      <w:pPr>
        <w:spacing w:after="0" w:line="176"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Ms. House is also on the board of directors for FMI Funds, Inc., MIND Research Institute and the Wisconsin Alumni Research Foundation (WARF). She is a director and former Board President of Sojourner Family Peace Center, the largest provider of domestic violence services in the state of Wisconsin. Ms. House previously served as Assistant General Counsel and Assistant Secretary at Harley-Davidson, Inc. Prior to that, she was a partner at Foley &amp; Lardner, LLP, a prominent law firm headquartered in Milwaukee, where she spent 12 years.</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Ms. House earned a J.D., magna cum laude, from Harvard Law School and a B.A. from the University of Wisconsin – Madison.</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40"/>
        <w:spacing w:after="0" w:line="261"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8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w:t>
      </w:r>
    </w:p>
    <w:p>
      <w:pPr>
        <w:spacing w:after="0" w:line="225"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Marvell and the M logo are trademarks of Marvell or its affiliates. Please visit www.marvell.com for a complete list of Marvell trademarks. Other names and brands may be claimed as the property of others.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Kim Markle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pr@marvell.com</w:t>
      </w:r>
    </w:p>
    <w:sectPr>
      <w:pgSz w:w="11900" w:h="16838" w:orient="portrait"/>
      <w:cols w:equalWidth="0" w:num="1">
        <w:col w:w="11020"/>
      </w:cols>
      <w:pgMar w:left="440" w:top="11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2022-08-22T08:23:17Z</dcterms:created>
  <dcterms:modified xsi:type="dcterms:W3CDTF">2022-08-22T08:23:17Z</dcterms:modified>
</cp:coreProperties>
</file>