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1"/>
          <w:szCs w:val="21"/>
          <w:color w:val="auto"/>
        </w:rPr>
        <w:t>SEC Form 4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0" w:lineRule="exact"/>
        <w:rPr>
          <w:sz w:val="24"/>
          <w:szCs w:val="24"/>
          <w:color w:val="auto"/>
        </w:rPr>
      </w:pPr>
    </w:p>
    <w:p>
      <w:pPr>
        <w:ind w:left="360"/>
        <w:spacing w:after="0" w:line="23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-236220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5278120</wp:posOffset>
            </wp:positionH>
            <wp:positionV relativeFrom="paragraph">
              <wp:posOffset>-631190</wp:posOffset>
            </wp:positionV>
            <wp:extent cx="58420" cy="644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3998595</wp:posOffset>
            </wp:positionH>
            <wp:positionV relativeFrom="paragraph">
              <wp:posOffset>-631190</wp:posOffset>
            </wp:positionV>
            <wp:extent cx="58420" cy="644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-1622425</wp:posOffset>
            </wp:positionH>
            <wp:positionV relativeFrom="paragraph">
              <wp:posOffset>24130</wp:posOffset>
            </wp:positionV>
            <wp:extent cx="6992620" cy="663765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2620" cy="6637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1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16" w:right="359" w:bottom="80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Times New Roman" w:cs="Times New Roman" w:eastAsia="Times New Roman" w:hAnsi="Times New Roman"/>
          <w:sz w:val="21"/>
          <w:szCs w:val="21"/>
          <w:u w:val="single" w:color="auto"/>
          <w:color w:val="0000EE"/>
        </w:rPr>
      </w:pPr>
      <w:hyperlink r:id="rId12">
        <w:r>
          <w:rPr>
            <w:rFonts w:ascii="Times New Roman" w:cs="Times New Roman" w:eastAsia="Times New Roman" w:hAnsi="Times New Roman"/>
            <w:sz w:val="21"/>
            <w:szCs w:val="21"/>
            <w:u w:val="single" w:color="auto"/>
            <w:color w:val="0000EE"/>
          </w:rPr>
          <w:t>Meintjes Willem A</w:t>
        </w:r>
      </w:hyperlink>
    </w:p>
    <w:p>
      <w:pPr>
        <w:spacing w:after="0" w:line="295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72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jc w:val="center"/>
        <w:ind w:right="226"/>
        <w:spacing w:after="0"/>
        <w:rPr>
          <w:rFonts w:ascii="Times New Roman" w:cs="Times New Roman" w:eastAsia="Times New Roman" w:hAnsi="Times New Roman"/>
          <w:sz w:val="20"/>
          <w:szCs w:val="20"/>
          <w:color w:val="0000EE"/>
        </w:rPr>
      </w:pPr>
      <w:hyperlink r:id="rId13">
        <w:r>
          <w:rPr>
            <w:rFonts w:ascii="Times New Roman" w:cs="Times New Roman" w:eastAsia="Times New Roman" w:hAnsi="Times New Roman"/>
            <w:sz w:val="20"/>
            <w:szCs w:val="20"/>
            <w:u w:val="single" w:color="auto"/>
            <w:color w:val="0000EE"/>
          </w:rPr>
          <w:t>Marvell Technology, Inc.</w:t>
        </w:r>
        <w:r>
          <w:rPr>
            <w:rFonts w:ascii="Times New Roman" w:cs="Times New Roman" w:eastAsia="Times New Roman" w:hAnsi="Times New Roman"/>
            <w:sz w:val="20"/>
            <w:szCs w:val="20"/>
            <w:color w:val="0000EE"/>
          </w:rPr>
          <w:t xml:space="preserve"> </w:t>
        </w:r>
      </w:hyperlink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[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15"/>
          <w:szCs w:val="15"/>
          <w:color w:val="0000FF"/>
        </w:rPr>
        <w:t>MRVL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]</w:t>
      </w:r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12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10/15/2022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-6" w:right="620" w:firstLine="6"/>
        <w:spacing w:after="0" w:line="260" w:lineRule="auto"/>
        <w:tabs>
          <w:tab w:leader="none" w:pos="139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1" w:lineRule="exact"/>
        <w:rPr>
          <w:sz w:val="24"/>
          <w:szCs w:val="24"/>
          <w:color w:val="auto"/>
        </w:rPr>
      </w:pPr>
    </w:p>
    <w:tbl>
      <w:tblPr>
        <w:tblLayout w:type="fixed"/>
        <w:tblInd w:w="194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2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6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2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7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3" w:lineRule="exact"/>
        <w:rPr>
          <w:sz w:val="24"/>
          <w:szCs w:val="24"/>
          <w:color w:val="auto"/>
        </w:rPr>
      </w:pPr>
    </w:p>
    <w:p>
      <w:pPr>
        <w:ind w:left="534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SVP, Chief Accounting Officer</w:t>
      </w:r>
    </w:p>
    <w:p>
      <w:pPr>
        <w:spacing w:after="0" w:line="311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180" w:space="720"/>
            <w:col w:w="3106" w:space="720"/>
            <w:col w:w="3354"/>
          </w:cols>
          <w:pgMar w:left="460" w:top="216" w:right="359" w:bottom="800" w:gutter="0" w:footer="0" w:header="0"/>
          <w:type w:val="continuous"/>
        </w:sectPr>
      </w:pPr>
    </w:p>
    <w:p>
      <w:pPr>
        <w:spacing w:after="0" w:line="156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2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35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0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60"/>
            <w:col w:w="7180"/>
          </w:cols>
          <w:pgMar w:left="460" w:top="216" w:right="359" w:bottom="80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3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3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3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  <w:vMerge w:val="restart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3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10/15/2022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1,160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jc w:val="right"/>
              <w:ind w:righ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82,572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10/15/2022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90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0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1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3"/>
              </w:rPr>
              <w:t>459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37.01</w:t>
            </w: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82,113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10/15/2022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1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3"/>
              </w:rPr>
              <w:t>539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jc w:val="right"/>
              <w:ind w:righ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82,652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10/15/2022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90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0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1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3"/>
              </w:rPr>
              <w:t>214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37.01</w:t>
            </w: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82,438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10/15/2022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1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3"/>
              </w:rPr>
              <w:t>765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jc w:val="right"/>
              <w:ind w:righ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83,203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10/15/2022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90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0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1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3"/>
              </w:rPr>
              <w:t>307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37.01</w:t>
            </w: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82,896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20" w:type="dxa"/>
            <w:vAlign w:val="bottom"/>
            <w:tcBorders>
              <w:top w:val="single" w:sz="8" w:color="2C2C2C"/>
            </w:tcBorders>
            <w:gridSpan w:val="15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5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2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</w:tcPr>
          <w:p>
            <w:pPr>
              <w:jc w:val="center"/>
              <w:ind w:right="3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Expiration Date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</w:tcPr>
          <w:p>
            <w:pPr>
              <w:jc w:val="center"/>
              <w:ind w:right="36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58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58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88"/>
              </w:rPr>
              <w:t>(Instr. 5)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(3)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1,160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jc w:val="center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10/15/2022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ind w:left="20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1,160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  <w:vMerge w:val="restart"/>
          </w:tcPr>
          <w:p>
            <w:pPr>
              <w:jc w:val="center"/>
              <w:ind w:left="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jc w:val="right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2,320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(4)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539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jc w:val="center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10/15/2022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ind w:left="2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539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  <w:vMerge w:val="restart"/>
          </w:tcPr>
          <w:p>
            <w:pPr>
              <w:jc w:val="center"/>
              <w:ind w:left="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jc w:val="right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3,229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(5)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765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jc w:val="center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10/15/2022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ind w:left="2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765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  <w:vMerge w:val="restart"/>
          </w:tcPr>
          <w:p>
            <w:pPr>
              <w:jc w:val="center"/>
              <w:ind w:left="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jc w:val="right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7,655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-2818765</wp:posOffset>
            </wp:positionV>
            <wp:extent cx="29210" cy="282384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823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Each RSU represents a contingent right to receive one Marvell Technology, Inc. common share upon vesting.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will vest on 10/15/2022, 01/15/2023 and 04/15/2023.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will vest on 10/15/2022, 01/15/2023, 04/15/2023, 07/15/2023, 10/15/2023, 01/15/2024 and 04/15/2024.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will vest on 10/15/2022, 01/15/2023, 04/15/2023, 07/15/2023, 10/15/2023, 01/15/2024, 04/15/2024, 07/15/2024, 10/15/2024, 01/15/2025 and 04/15/2025.</w:t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16" w:lineRule="exact"/>
        <w:rPr>
          <w:sz w:val="24"/>
          <w:szCs w:val="24"/>
          <w:color w:val="auto"/>
        </w:rPr>
      </w:pPr>
    </w:p>
    <w:tbl>
      <w:tblPr>
        <w:tblLayout w:type="fixed"/>
        <w:tblInd w:w="660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22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Willem Meintjes by Blair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5"/>
              </w:rPr>
              <w:t>10/18/2022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172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200" w:type="dxa"/>
            <w:vAlign w:val="bottom"/>
            <w:gridSpan w:val="3"/>
            <w:vMerge w:val="restart"/>
          </w:tcPr>
          <w:p>
            <w:pPr>
              <w:spacing w:after="0" w:line="18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Walters as Attorney-in-Fact</w:t>
            </w:r>
          </w:p>
        </w:tc>
        <w:tc>
          <w:tcPr>
            <w:tcW w:w="760" w:type="dxa"/>
            <w:vAlign w:val="bottom"/>
            <w:tcBorders>
              <w:bottom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4"/>
        </w:trPr>
        <w:tc>
          <w:tcPr>
            <w:tcW w:w="22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1860" w:type="dxa"/>
            <w:vAlign w:val="bottom"/>
            <w:gridSpan w:val="2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22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3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9" w:lineRule="auto"/>
        <w:tabs>
          <w:tab w:leader="none" w:pos="177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16" w:right="359" w:bottom="80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635800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2022-10-18T12:47:21Z</dcterms:created>
  <dcterms:modified xsi:type="dcterms:W3CDTF">2022-10-18T12:47:21Z</dcterms:modified>
</cp:coreProperties>
</file>