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9"/>
        <w:spacing w:after="0"/>
        <w:rPr>
          <w:sz w:val="20"/>
          <w:szCs w:val="20"/>
          <w:color w:val="auto"/>
        </w:rPr>
      </w:pPr>
      <w:r>
        <w:rPr>
          <w:rFonts w:ascii="Times New Roman" w:cs="Times New Roman" w:eastAsia="Times New Roman" w:hAnsi="Times New Roman"/>
          <w:sz w:val="28"/>
          <w:szCs w:val="28"/>
          <w:b w:val="1"/>
          <w:bCs w:val="1"/>
          <w:color w:val="auto"/>
        </w:rPr>
        <w:drawing>
          <wp:anchor simplePos="0" relativeHeight="251657728" behindDoc="1" locked="0" layoutInCell="0" allowOverlap="1">
            <wp:simplePos x="0" y="0"/>
            <wp:positionH relativeFrom="page">
              <wp:posOffset>389890</wp:posOffset>
            </wp:positionH>
            <wp:positionV relativeFrom="page">
              <wp:posOffset>364490</wp:posOffset>
            </wp:positionV>
            <wp:extent cx="67684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768465" cy="8255"/>
                    </a:xfrm>
                    <a:prstGeom prst="rect">
                      <a:avLst/>
                    </a:prstGeom>
                    <a:noFill/>
                  </pic:spPr>
                </pic:pic>
              </a:graphicData>
            </a:graphic>
          </wp:anchor>
        </w:drawing>
        <w:drawing>
          <wp:anchor simplePos="0" relativeHeight="251657728" behindDoc="1" locked="0" layoutInCell="0" allowOverlap="1">
            <wp:simplePos x="0" y="0"/>
            <wp:positionH relativeFrom="page">
              <wp:posOffset>389890</wp:posOffset>
            </wp:positionH>
            <wp:positionV relativeFrom="page">
              <wp:posOffset>330835</wp:posOffset>
            </wp:positionV>
            <wp:extent cx="6768465"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768465" cy="8255"/>
                    </a:xfrm>
                    <a:prstGeom prst="rect">
                      <a:avLst/>
                    </a:prstGeom>
                    <a:noFill/>
                  </pic:spPr>
                </pic:pic>
              </a:graphicData>
            </a:graphic>
          </wp:anchor>
        </w:drawing>
        <w:t>UNITED STATES</w:t>
      </w:r>
    </w:p>
    <w:p>
      <w:pPr>
        <w:spacing w:after="0" w:line="20"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8"/>
          <w:szCs w:val="28"/>
          <w:b w:val="1"/>
          <w:bCs w:val="1"/>
          <w:color w:val="auto"/>
        </w:rPr>
        <w:t>SECURITIES AND EXCHANGE COMMISSION</w:t>
      </w:r>
    </w:p>
    <w:p>
      <w:pPr>
        <w:jc w:val="center"/>
        <w:ind w:right="-179"/>
        <w:spacing w:after="0"/>
        <w:rPr>
          <w:sz w:val="20"/>
          <w:szCs w:val="20"/>
          <w:color w:val="auto"/>
        </w:rPr>
      </w:pPr>
      <w:r>
        <w:rPr>
          <w:rFonts w:ascii="Times New Roman" w:cs="Times New Roman" w:eastAsia="Times New Roman" w:hAnsi="Times New Roman"/>
          <w:sz w:val="21"/>
          <w:szCs w:val="21"/>
          <w:b w:val="1"/>
          <w:bCs w:val="1"/>
          <w:color w:val="auto"/>
        </w:rPr>
        <w:t>Washington, D.C. 20549</w:t>
      </w:r>
    </w:p>
    <w:p>
      <w:pPr>
        <w:spacing w:after="0" w:line="10" w:lineRule="exact"/>
        <w:rPr>
          <w:sz w:val="24"/>
          <w:szCs w:val="24"/>
          <w:color w:val="auto"/>
        </w:rPr>
      </w:pPr>
    </w:p>
    <w:p>
      <w:pPr>
        <w:ind w:left="45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179"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8"/>
          <w:szCs w:val="28"/>
          <w:b w:val="1"/>
          <w:bCs w:val="1"/>
          <w:color w:val="auto"/>
        </w:rPr>
        <w:t>FORM 8-K</w:t>
      </w:r>
    </w:p>
    <w:p>
      <w:pPr>
        <w:spacing w:after="0" w:line="77" w:lineRule="exact"/>
        <w:rPr>
          <w:sz w:val="24"/>
          <w:szCs w:val="24"/>
          <w:color w:val="auto"/>
        </w:rPr>
      </w:pPr>
    </w:p>
    <w:p>
      <w:pPr>
        <w:ind w:left="45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14" w:lineRule="exact"/>
        <w:rPr>
          <w:sz w:val="24"/>
          <w:szCs w:val="24"/>
          <w:color w:val="auto"/>
        </w:rPr>
      </w:pPr>
    </w:p>
    <w:p>
      <w:pPr>
        <w:ind w:left="4640"/>
        <w:spacing w:after="0"/>
        <w:rPr>
          <w:sz w:val="20"/>
          <w:szCs w:val="20"/>
          <w:color w:val="auto"/>
        </w:rPr>
      </w:pPr>
      <w:r>
        <w:rPr>
          <w:rFonts w:ascii="Times New Roman" w:cs="Times New Roman" w:eastAsia="Times New Roman" w:hAnsi="Times New Roman"/>
          <w:sz w:val="21"/>
          <w:szCs w:val="21"/>
          <w:b w:val="1"/>
          <w:bCs w:val="1"/>
          <w:color w:val="auto"/>
        </w:rPr>
        <w:t>CURRENT REPORT</w:t>
      </w:r>
    </w:p>
    <w:p>
      <w:pPr>
        <w:spacing w:after="0" w:line="219" w:lineRule="exact"/>
        <w:rPr>
          <w:sz w:val="24"/>
          <w:szCs w:val="24"/>
          <w:color w:val="auto"/>
        </w:rPr>
      </w:pPr>
    </w:p>
    <w:p>
      <w:pPr>
        <w:ind w:left="3940"/>
        <w:spacing w:after="0"/>
        <w:rPr>
          <w:sz w:val="20"/>
          <w:szCs w:val="20"/>
          <w:color w:val="auto"/>
        </w:rPr>
      </w:pPr>
      <w:r>
        <w:rPr>
          <w:rFonts w:ascii="Times New Roman" w:cs="Times New Roman" w:eastAsia="Times New Roman" w:hAnsi="Times New Roman"/>
          <w:sz w:val="21"/>
          <w:szCs w:val="21"/>
          <w:b w:val="1"/>
          <w:bCs w:val="1"/>
          <w:color w:val="auto"/>
        </w:rPr>
        <w:t>Pursuant to Section 13 or 15(d) of the</w:t>
      </w:r>
    </w:p>
    <w:p>
      <w:pPr>
        <w:spacing w:after="0" w:line="61"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1"/>
          <w:szCs w:val="21"/>
          <w:b w:val="1"/>
          <w:bCs w:val="1"/>
          <w:color w:val="auto"/>
        </w:rPr>
        <w:t>Securities Exchange Act of 1934</w:t>
      </w:r>
    </w:p>
    <w:p>
      <w:pPr>
        <w:spacing w:after="0" w:line="297"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1"/>
          <w:szCs w:val="21"/>
          <w:b w:val="1"/>
          <w:bCs w:val="1"/>
          <w:color w:val="auto"/>
        </w:rPr>
        <w:t>Date of Report: December 1, 2022</w:t>
      </w:r>
    </w:p>
    <w:p>
      <w:pPr>
        <w:spacing w:after="0" w:line="61"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21"/>
          <w:szCs w:val="21"/>
          <w:b w:val="1"/>
          <w:bCs w:val="1"/>
          <w:color w:val="auto"/>
        </w:rPr>
        <w:t>(Date of earliest event reported)</w:t>
      </w:r>
    </w:p>
    <w:p>
      <w:pPr>
        <w:spacing w:after="0" w:line="61" w:lineRule="exact"/>
        <w:rPr>
          <w:sz w:val="24"/>
          <w:szCs w:val="24"/>
          <w:color w:val="auto"/>
        </w:rPr>
      </w:pPr>
    </w:p>
    <w:p>
      <w:pPr>
        <w:ind w:left="4520"/>
        <w:spacing w:after="0"/>
        <w:rPr>
          <w:sz w:val="20"/>
          <w:szCs w:val="20"/>
          <w:color w:val="auto"/>
        </w:rPr>
      </w:pPr>
      <w:r>
        <w:rPr>
          <w:rFonts w:ascii="Times New Roman" w:cs="Times New Roman" w:eastAsia="Times New Roman" w:hAnsi="Times New Roman"/>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2490470</wp:posOffset>
            </wp:positionH>
            <wp:positionV relativeFrom="paragraph">
              <wp:posOffset>22225</wp:posOffset>
            </wp:positionV>
            <wp:extent cx="2169795"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169795" cy="62611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jc w:val="center"/>
        <w:ind w:right="-179"/>
        <w:spacing w:after="0"/>
        <w:rPr>
          <w:sz w:val="20"/>
          <w:szCs w:val="20"/>
          <w:color w:val="auto"/>
        </w:rPr>
      </w:pPr>
      <w:r>
        <w:rPr>
          <w:rFonts w:ascii="Times New Roman" w:cs="Times New Roman" w:eastAsia="Times New Roman" w:hAnsi="Times New Roman"/>
          <w:sz w:val="32"/>
          <w:szCs w:val="32"/>
          <w:b w:val="1"/>
          <w:bCs w:val="1"/>
          <w:color w:val="auto"/>
        </w:rPr>
        <w:t>MARVELL TECHNOLOGY, INC.</w:t>
      </w:r>
    </w:p>
    <w:p>
      <w:pPr>
        <w:spacing w:after="0" w:line="79" w:lineRule="exact"/>
        <w:rPr>
          <w:sz w:val="24"/>
          <w:szCs w:val="24"/>
          <w:color w:val="auto"/>
        </w:rPr>
      </w:pPr>
    </w:p>
    <w:tbl>
      <w:tblPr>
        <w:tblLayout w:type="fixed"/>
        <w:tblInd w:w="1800" w:type="dxa"/>
        <w:tblCellMar>
          <w:top w:w="0" w:type="dxa"/>
          <w:left w:w="0" w:type="dxa"/>
          <w:bottom w:w="0" w:type="dxa"/>
          <w:right w:w="0" w:type="dxa"/>
        </w:tblCellMar>
      </w:tblPr>
      <w:tr>
        <w:trPr>
          <w:trHeight w:val="230"/>
        </w:trPr>
        <w:tc>
          <w:tcPr>
            <w:tcW w:w="1820" w:type="dxa"/>
            <w:vAlign w:val="bottom"/>
          </w:tcPr>
          <w:p>
            <w:pPr>
              <w:spacing w:after="0"/>
              <w:rPr>
                <w:sz w:val="20"/>
                <w:szCs w:val="20"/>
                <w:color w:val="auto"/>
              </w:rPr>
            </w:pPr>
          </w:p>
        </w:tc>
        <w:tc>
          <w:tcPr>
            <w:tcW w:w="4260" w:type="dxa"/>
            <w:vAlign w:val="bottom"/>
          </w:tcPr>
          <w:p>
            <w:pPr>
              <w:jc w:val="center"/>
              <w:ind w:right="178"/>
              <w:spacing w:after="0"/>
              <w:rPr>
                <w:sz w:val="20"/>
                <w:szCs w:val="20"/>
                <w:color w:val="auto"/>
              </w:rPr>
            </w:pPr>
            <w:r>
              <w:rPr>
                <w:rFonts w:ascii="Times New Roman" w:cs="Times New Roman" w:eastAsia="Times New Roman" w:hAnsi="Times New Roman"/>
                <w:sz w:val="18"/>
                <w:szCs w:val="18"/>
                <w:b w:val="1"/>
                <w:bCs w:val="1"/>
                <w:color w:val="auto"/>
                <w:w w:val="97"/>
              </w:rPr>
              <w:t>(Exact name of registrant as specified in its charter)</w:t>
            </w:r>
          </w:p>
        </w:tc>
        <w:tc>
          <w:tcPr>
            <w:tcW w:w="2340" w:type="dxa"/>
            <w:vAlign w:val="bottom"/>
          </w:tcPr>
          <w:p>
            <w:pPr>
              <w:spacing w:after="0"/>
              <w:rPr>
                <w:sz w:val="20"/>
                <w:szCs w:val="20"/>
                <w:color w:val="auto"/>
              </w:rPr>
            </w:pPr>
          </w:p>
        </w:tc>
      </w:tr>
      <w:tr>
        <w:trPr>
          <w:trHeight w:val="250"/>
        </w:trPr>
        <w:tc>
          <w:tcPr>
            <w:tcW w:w="1820" w:type="dxa"/>
            <w:vAlign w:val="bottom"/>
          </w:tcPr>
          <w:p>
            <w:pPr>
              <w:spacing w:after="0"/>
              <w:rPr>
                <w:sz w:val="21"/>
                <w:szCs w:val="21"/>
                <w:color w:val="auto"/>
              </w:rPr>
            </w:pPr>
          </w:p>
        </w:tc>
        <w:tc>
          <w:tcPr>
            <w:tcW w:w="4260" w:type="dxa"/>
            <w:vAlign w:val="bottom"/>
          </w:tcPr>
          <w:p>
            <w:pPr>
              <w:jc w:val="center"/>
              <w:ind w:right="118"/>
              <w:spacing w:after="0"/>
              <w:rPr>
                <w:sz w:val="20"/>
                <w:szCs w:val="20"/>
                <w:color w:val="auto"/>
              </w:rPr>
            </w:pPr>
            <w:r>
              <w:rPr>
                <w:rFonts w:ascii="Times New Roman" w:cs="Times New Roman" w:eastAsia="Times New Roman" w:hAnsi="Times New Roman"/>
                <w:sz w:val="18"/>
                <w:szCs w:val="18"/>
                <w:color w:val="auto"/>
                <w:w w:val="96"/>
              </w:rPr>
              <w:t>_________________________</w:t>
            </w:r>
          </w:p>
        </w:tc>
        <w:tc>
          <w:tcPr>
            <w:tcW w:w="2340" w:type="dxa"/>
            <w:vAlign w:val="bottom"/>
          </w:tcPr>
          <w:p>
            <w:pPr>
              <w:spacing w:after="0"/>
              <w:rPr>
                <w:sz w:val="21"/>
                <w:szCs w:val="21"/>
                <w:color w:val="auto"/>
              </w:rPr>
            </w:pPr>
          </w:p>
        </w:tc>
      </w:tr>
      <w:tr>
        <w:trPr>
          <w:trHeight w:val="276"/>
        </w:trPr>
        <w:tc>
          <w:tcPr>
            <w:tcW w:w="1820" w:type="dxa"/>
            <w:vAlign w:val="bottom"/>
          </w:tcPr>
          <w:p>
            <w:pPr>
              <w:jc w:val="center"/>
              <w:ind w:right="4"/>
              <w:spacing w:after="0"/>
              <w:rPr>
                <w:sz w:val="20"/>
                <w:szCs w:val="20"/>
                <w:color w:val="auto"/>
              </w:rPr>
            </w:pPr>
            <w:r>
              <w:rPr>
                <w:rFonts w:ascii="Times New Roman" w:cs="Times New Roman" w:eastAsia="Times New Roman" w:hAnsi="Times New Roman"/>
                <w:sz w:val="18"/>
                <w:szCs w:val="18"/>
                <w:b w:val="1"/>
                <w:bCs w:val="1"/>
                <w:color w:val="auto"/>
                <w:w w:val="95"/>
              </w:rPr>
              <w:t>Delaware</w:t>
            </w:r>
          </w:p>
        </w:tc>
        <w:tc>
          <w:tcPr>
            <w:tcW w:w="4260" w:type="dxa"/>
            <w:vAlign w:val="bottom"/>
          </w:tcPr>
          <w:p>
            <w:pPr>
              <w:jc w:val="right"/>
              <w:ind w:right="1478"/>
              <w:spacing w:after="0"/>
              <w:rPr>
                <w:sz w:val="20"/>
                <w:szCs w:val="20"/>
                <w:color w:val="auto"/>
              </w:rPr>
            </w:pPr>
            <w:r>
              <w:rPr>
                <w:rFonts w:ascii="Times New Roman" w:cs="Times New Roman" w:eastAsia="Times New Roman" w:hAnsi="Times New Roman"/>
                <w:sz w:val="18"/>
                <w:szCs w:val="18"/>
                <w:b w:val="1"/>
                <w:bCs w:val="1"/>
                <w:color w:val="auto"/>
              </w:rPr>
              <w:t>001-40357</w:t>
            </w:r>
          </w:p>
        </w:tc>
        <w:tc>
          <w:tcPr>
            <w:tcW w:w="2340" w:type="dxa"/>
            <w:vAlign w:val="bottom"/>
          </w:tcPr>
          <w:p>
            <w:pPr>
              <w:jc w:val="right"/>
              <w:ind w:right="521"/>
              <w:spacing w:after="0"/>
              <w:rPr>
                <w:sz w:val="20"/>
                <w:szCs w:val="20"/>
                <w:color w:val="auto"/>
              </w:rPr>
            </w:pPr>
            <w:r>
              <w:rPr>
                <w:rFonts w:ascii="Times New Roman" w:cs="Times New Roman" w:eastAsia="Times New Roman" w:hAnsi="Times New Roman"/>
                <w:sz w:val="18"/>
                <w:szCs w:val="18"/>
                <w:b w:val="1"/>
                <w:bCs w:val="1"/>
                <w:color w:val="auto"/>
              </w:rPr>
              <w:t>85-3971597</w:t>
            </w:r>
          </w:p>
        </w:tc>
      </w:tr>
      <w:tr>
        <w:trPr>
          <w:trHeight w:val="199"/>
        </w:trPr>
        <w:tc>
          <w:tcPr>
            <w:tcW w:w="1820" w:type="dxa"/>
            <w:vAlign w:val="bottom"/>
          </w:tcPr>
          <w:p>
            <w:pPr>
              <w:jc w:val="center"/>
              <w:ind w:right="4"/>
              <w:spacing w:after="0"/>
              <w:rPr>
                <w:sz w:val="20"/>
                <w:szCs w:val="20"/>
                <w:color w:val="auto"/>
              </w:rPr>
            </w:pPr>
            <w:r>
              <w:rPr>
                <w:rFonts w:ascii="Times New Roman" w:cs="Times New Roman" w:eastAsia="Times New Roman" w:hAnsi="Times New Roman"/>
                <w:sz w:val="14"/>
                <w:szCs w:val="14"/>
                <w:b w:val="1"/>
                <w:bCs w:val="1"/>
                <w:color w:val="auto"/>
                <w:w w:val="99"/>
              </w:rPr>
              <w:t>(State or other jurisdiction of</w:t>
            </w:r>
          </w:p>
        </w:tc>
        <w:tc>
          <w:tcPr>
            <w:tcW w:w="4260" w:type="dxa"/>
            <w:vAlign w:val="bottom"/>
          </w:tcPr>
          <w:p>
            <w:pPr>
              <w:jc w:val="center"/>
              <w:ind w:left="278"/>
              <w:spacing w:after="0"/>
              <w:rPr>
                <w:sz w:val="20"/>
                <w:szCs w:val="20"/>
                <w:color w:val="auto"/>
              </w:rPr>
            </w:pPr>
            <w:r>
              <w:rPr>
                <w:rFonts w:ascii="Times New Roman" w:cs="Times New Roman" w:eastAsia="Times New Roman" w:hAnsi="Times New Roman"/>
                <w:sz w:val="14"/>
                <w:szCs w:val="14"/>
                <w:b w:val="1"/>
                <w:bCs w:val="1"/>
                <w:color w:val="auto"/>
                <w:w w:val="99"/>
              </w:rPr>
              <w:t>(Commission File Number)</w:t>
            </w:r>
          </w:p>
        </w:tc>
        <w:tc>
          <w:tcPr>
            <w:tcW w:w="2340" w:type="dxa"/>
            <w:vAlign w:val="bottom"/>
          </w:tcPr>
          <w:p>
            <w:pPr>
              <w:jc w:val="center"/>
              <w:ind w:left="221"/>
              <w:spacing w:after="0"/>
              <w:rPr>
                <w:sz w:val="20"/>
                <w:szCs w:val="20"/>
                <w:color w:val="auto"/>
              </w:rPr>
            </w:pPr>
            <w:r>
              <w:rPr>
                <w:rFonts w:ascii="Times New Roman" w:cs="Times New Roman" w:eastAsia="Times New Roman" w:hAnsi="Times New Roman"/>
                <w:sz w:val="14"/>
                <w:szCs w:val="14"/>
                <w:b w:val="1"/>
                <w:bCs w:val="1"/>
                <w:color w:val="auto"/>
              </w:rPr>
              <w:t>(IRS Employer Identification No.)</w:t>
            </w:r>
          </w:p>
        </w:tc>
      </w:tr>
      <w:tr>
        <w:trPr>
          <w:trHeight w:val="185"/>
        </w:trPr>
        <w:tc>
          <w:tcPr>
            <w:tcW w:w="1820" w:type="dxa"/>
            <w:vAlign w:val="bottom"/>
          </w:tcPr>
          <w:p>
            <w:pPr>
              <w:jc w:val="center"/>
              <w:ind w:right="4"/>
              <w:spacing w:after="0"/>
              <w:rPr>
                <w:sz w:val="20"/>
                <w:szCs w:val="20"/>
                <w:color w:val="auto"/>
              </w:rPr>
            </w:pPr>
            <w:r>
              <w:rPr>
                <w:rFonts w:ascii="Times New Roman" w:cs="Times New Roman" w:eastAsia="Times New Roman" w:hAnsi="Times New Roman"/>
                <w:sz w:val="14"/>
                <w:szCs w:val="14"/>
                <w:b w:val="1"/>
                <w:bCs w:val="1"/>
                <w:color w:val="auto"/>
                <w:w w:val="98"/>
              </w:rPr>
              <w:t>incorporation)</w:t>
            </w:r>
          </w:p>
        </w:tc>
        <w:tc>
          <w:tcPr>
            <w:tcW w:w="4260" w:type="dxa"/>
            <w:vAlign w:val="bottom"/>
          </w:tcPr>
          <w:p>
            <w:pPr>
              <w:spacing w:after="0"/>
              <w:rPr>
                <w:sz w:val="16"/>
                <w:szCs w:val="16"/>
                <w:color w:val="auto"/>
              </w:rPr>
            </w:pPr>
          </w:p>
        </w:tc>
        <w:tc>
          <w:tcPr>
            <w:tcW w:w="2340" w:type="dxa"/>
            <w:vAlign w:val="bottom"/>
          </w:tcPr>
          <w:p>
            <w:pPr>
              <w:spacing w:after="0"/>
              <w:rPr>
                <w:sz w:val="16"/>
                <w:szCs w:val="16"/>
                <w:color w:val="auto"/>
              </w:rPr>
            </w:pPr>
          </w:p>
        </w:tc>
      </w:tr>
      <w:tr>
        <w:trPr>
          <w:trHeight w:val="463"/>
        </w:trPr>
        <w:tc>
          <w:tcPr>
            <w:tcW w:w="1820" w:type="dxa"/>
            <w:vAlign w:val="bottom"/>
          </w:tcPr>
          <w:p>
            <w:pPr>
              <w:spacing w:after="0"/>
              <w:rPr>
                <w:sz w:val="24"/>
                <w:szCs w:val="24"/>
                <w:color w:val="auto"/>
              </w:rPr>
            </w:pPr>
          </w:p>
        </w:tc>
        <w:tc>
          <w:tcPr>
            <w:tcW w:w="4260" w:type="dxa"/>
            <w:vAlign w:val="bottom"/>
          </w:tcPr>
          <w:p>
            <w:pPr>
              <w:jc w:val="center"/>
              <w:ind w:right="178"/>
              <w:spacing w:after="0"/>
              <w:rPr>
                <w:sz w:val="20"/>
                <w:szCs w:val="20"/>
                <w:color w:val="auto"/>
              </w:rPr>
            </w:pPr>
            <w:r>
              <w:rPr>
                <w:rFonts w:ascii="Times New Roman" w:cs="Times New Roman" w:eastAsia="Times New Roman" w:hAnsi="Times New Roman"/>
                <w:sz w:val="18"/>
                <w:szCs w:val="18"/>
                <w:b w:val="1"/>
                <w:bCs w:val="1"/>
                <w:color w:val="auto"/>
                <w:w w:val="96"/>
              </w:rPr>
              <w:t>1000 N. West Street, Suite 1200</w:t>
            </w:r>
          </w:p>
        </w:tc>
        <w:tc>
          <w:tcPr>
            <w:tcW w:w="2340" w:type="dxa"/>
            <w:vAlign w:val="bottom"/>
          </w:tcPr>
          <w:p>
            <w:pPr>
              <w:spacing w:after="0"/>
              <w:rPr>
                <w:sz w:val="24"/>
                <w:szCs w:val="24"/>
                <w:color w:val="auto"/>
              </w:rPr>
            </w:pPr>
          </w:p>
        </w:tc>
      </w:tr>
      <w:tr>
        <w:trPr>
          <w:trHeight w:val="230"/>
        </w:trPr>
        <w:tc>
          <w:tcPr>
            <w:tcW w:w="1820" w:type="dxa"/>
            <w:vAlign w:val="bottom"/>
          </w:tcPr>
          <w:p>
            <w:pPr>
              <w:spacing w:after="0"/>
              <w:rPr>
                <w:sz w:val="20"/>
                <w:szCs w:val="20"/>
                <w:color w:val="auto"/>
              </w:rPr>
            </w:pPr>
          </w:p>
        </w:tc>
        <w:tc>
          <w:tcPr>
            <w:tcW w:w="4260" w:type="dxa"/>
            <w:vAlign w:val="bottom"/>
          </w:tcPr>
          <w:p>
            <w:pPr>
              <w:jc w:val="center"/>
              <w:ind w:right="178"/>
              <w:spacing w:after="0"/>
              <w:rPr>
                <w:sz w:val="20"/>
                <w:szCs w:val="20"/>
                <w:color w:val="auto"/>
              </w:rPr>
            </w:pPr>
            <w:r>
              <w:rPr>
                <w:rFonts w:ascii="Times New Roman" w:cs="Times New Roman" w:eastAsia="Times New Roman" w:hAnsi="Times New Roman"/>
                <w:sz w:val="18"/>
                <w:szCs w:val="18"/>
                <w:b w:val="1"/>
                <w:bCs w:val="1"/>
                <w:color w:val="auto"/>
                <w:w w:val="96"/>
              </w:rPr>
              <w:t>Wilmington, Delaware 19801</w:t>
            </w:r>
          </w:p>
        </w:tc>
        <w:tc>
          <w:tcPr>
            <w:tcW w:w="2340" w:type="dxa"/>
            <w:vAlign w:val="bottom"/>
          </w:tcPr>
          <w:p>
            <w:pPr>
              <w:spacing w:after="0"/>
              <w:rPr>
                <w:sz w:val="20"/>
                <w:szCs w:val="20"/>
                <w:color w:val="auto"/>
              </w:rPr>
            </w:pPr>
          </w:p>
        </w:tc>
      </w:tr>
      <w:tr>
        <w:trPr>
          <w:trHeight w:val="187"/>
        </w:trPr>
        <w:tc>
          <w:tcPr>
            <w:tcW w:w="1820" w:type="dxa"/>
            <w:vAlign w:val="bottom"/>
          </w:tcPr>
          <w:p>
            <w:pPr>
              <w:spacing w:after="0"/>
              <w:rPr>
                <w:sz w:val="16"/>
                <w:szCs w:val="16"/>
                <w:color w:val="auto"/>
              </w:rPr>
            </w:pPr>
          </w:p>
        </w:tc>
        <w:tc>
          <w:tcPr>
            <w:tcW w:w="4260" w:type="dxa"/>
            <w:vAlign w:val="bottom"/>
          </w:tcPr>
          <w:p>
            <w:pPr>
              <w:jc w:val="center"/>
              <w:ind w:right="158"/>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tc>
        <w:tc>
          <w:tcPr>
            <w:tcW w:w="2340" w:type="dxa"/>
            <w:vAlign w:val="bottom"/>
          </w:tcPr>
          <w:p>
            <w:pPr>
              <w:spacing w:after="0"/>
              <w:rPr>
                <w:sz w:val="16"/>
                <w:szCs w:val="16"/>
                <w:color w:val="auto"/>
              </w:rPr>
            </w:pPr>
          </w:p>
        </w:tc>
      </w:tr>
      <w:tr>
        <w:trPr>
          <w:trHeight w:val="299"/>
        </w:trPr>
        <w:tc>
          <w:tcPr>
            <w:tcW w:w="1820" w:type="dxa"/>
            <w:vAlign w:val="bottom"/>
          </w:tcPr>
          <w:p>
            <w:pPr>
              <w:spacing w:after="0"/>
              <w:rPr>
                <w:sz w:val="24"/>
                <w:szCs w:val="24"/>
                <w:color w:val="auto"/>
              </w:rPr>
            </w:pPr>
          </w:p>
        </w:tc>
        <w:tc>
          <w:tcPr>
            <w:tcW w:w="4260" w:type="dxa"/>
            <w:vAlign w:val="bottom"/>
          </w:tcPr>
          <w:p>
            <w:pPr>
              <w:jc w:val="right"/>
              <w:ind w:right="1618"/>
              <w:spacing w:after="0"/>
              <w:rPr>
                <w:sz w:val="20"/>
                <w:szCs w:val="20"/>
                <w:color w:val="auto"/>
              </w:rPr>
            </w:pPr>
            <w:r>
              <w:rPr>
                <w:rFonts w:ascii="Times New Roman" w:cs="Times New Roman" w:eastAsia="Times New Roman" w:hAnsi="Times New Roman"/>
                <w:sz w:val="18"/>
                <w:szCs w:val="18"/>
                <w:b w:val="1"/>
                <w:bCs w:val="1"/>
                <w:color w:val="auto"/>
              </w:rPr>
              <w:t>(302) 295-4840</w:t>
            </w:r>
          </w:p>
        </w:tc>
        <w:tc>
          <w:tcPr>
            <w:tcW w:w="2340" w:type="dxa"/>
            <w:vAlign w:val="bottom"/>
          </w:tcPr>
          <w:p>
            <w:pPr>
              <w:spacing w:after="0"/>
              <w:rPr>
                <w:sz w:val="24"/>
                <w:szCs w:val="24"/>
                <w:color w:val="auto"/>
              </w:rPr>
            </w:pPr>
          </w:p>
        </w:tc>
      </w:tr>
      <w:tr>
        <w:trPr>
          <w:trHeight w:val="200"/>
        </w:trPr>
        <w:tc>
          <w:tcPr>
            <w:tcW w:w="1820" w:type="dxa"/>
            <w:vAlign w:val="bottom"/>
          </w:tcPr>
          <w:p>
            <w:pPr>
              <w:spacing w:after="0"/>
              <w:rPr>
                <w:sz w:val="17"/>
                <w:szCs w:val="17"/>
                <w:color w:val="auto"/>
              </w:rPr>
            </w:pPr>
          </w:p>
        </w:tc>
        <w:tc>
          <w:tcPr>
            <w:tcW w:w="4260" w:type="dxa"/>
            <w:vAlign w:val="bottom"/>
          </w:tcPr>
          <w:p>
            <w:pPr>
              <w:jc w:val="center"/>
              <w:ind w:right="178"/>
              <w:spacing w:after="0"/>
              <w:rPr>
                <w:sz w:val="20"/>
                <w:szCs w:val="20"/>
                <w:color w:val="auto"/>
              </w:rPr>
            </w:pPr>
            <w:r>
              <w:rPr>
                <w:rFonts w:ascii="Times New Roman" w:cs="Times New Roman" w:eastAsia="Times New Roman" w:hAnsi="Times New Roman"/>
                <w:sz w:val="14"/>
                <w:szCs w:val="14"/>
                <w:b w:val="1"/>
                <w:bCs w:val="1"/>
                <w:color w:val="auto"/>
                <w:w w:val="99"/>
              </w:rPr>
              <w:t>(Registrant’s telephone number, including area code)</w:t>
            </w:r>
          </w:p>
        </w:tc>
        <w:tc>
          <w:tcPr>
            <w:tcW w:w="2340" w:type="dxa"/>
            <w:vAlign w:val="bottom"/>
          </w:tcPr>
          <w:p>
            <w:pPr>
              <w:spacing w:after="0"/>
              <w:rPr>
                <w:sz w:val="17"/>
                <w:szCs w:val="17"/>
                <w:color w:val="auto"/>
              </w:rPr>
            </w:pPr>
          </w:p>
        </w:tc>
      </w:tr>
      <w:tr>
        <w:trPr>
          <w:trHeight w:val="247"/>
        </w:trPr>
        <w:tc>
          <w:tcPr>
            <w:tcW w:w="1820" w:type="dxa"/>
            <w:vAlign w:val="bottom"/>
          </w:tcPr>
          <w:p>
            <w:pPr>
              <w:spacing w:after="0"/>
              <w:rPr>
                <w:sz w:val="21"/>
                <w:szCs w:val="21"/>
                <w:color w:val="auto"/>
              </w:rPr>
            </w:pPr>
          </w:p>
        </w:tc>
        <w:tc>
          <w:tcPr>
            <w:tcW w:w="4260" w:type="dxa"/>
            <w:vAlign w:val="bottom"/>
          </w:tcPr>
          <w:p>
            <w:pPr>
              <w:jc w:val="right"/>
              <w:ind w:right="1078"/>
              <w:spacing w:after="0"/>
              <w:rPr>
                <w:sz w:val="20"/>
                <w:szCs w:val="20"/>
                <w:color w:val="auto"/>
              </w:rPr>
            </w:pPr>
            <w:r>
              <w:rPr>
                <w:rFonts w:ascii="Times New Roman" w:cs="Times New Roman" w:eastAsia="Times New Roman" w:hAnsi="Times New Roman"/>
                <w:sz w:val="18"/>
                <w:szCs w:val="18"/>
                <w:color w:val="auto"/>
              </w:rPr>
              <w:t>_________________________</w:t>
            </w:r>
          </w:p>
        </w:tc>
        <w:tc>
          <w:tcPr>
            <w:tcW w:w="2340" w:type="dxa"/>
            <w:vAlign w:val="bottom"/>
          </w:tcPr>
          <w:p>
            <w:pPr>
              <w:spacing w:after="0"/>
              <w:rPr>
                <w:sz w:val="21"/>
                <w:szCs w:val="21"/>
                <w:color w:val="auto"/>
              </w:rPr>
            </w:pPr>
          </w:p>
        </w:tc>
      </w:tr>
    </w:tbl>
    <w:p>
      <w:pPr>
        <w:spacing w:after="0" w:line="8" w:lineRule="exact"/>
        <w:rPr>
          <w:sz w:val="24"/>
          <w:szCs w:val="24"/>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22" w:lineRule="exact"/>
        <w:rPr>
          <w:sz w:val="24"/>
          <w:szCs w:val="24"/>
          <w:color w:val="auto"/>
        </w:rPr>
      </w:pPr>
    </w:p>
    <w:p>
      <w:pPr>
        <w:ind w:left="400" w:hanging="338"/>
        <w:spacing w:after="0"/>
        <w:tabs>
          <w:tab w:leader="none" w:pos="4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61"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74"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74" w:lineRule="exact"/>
        <w:rPr>
          <w:rFonts w:ascii="MS PGothic" w:cs="MS PGothic" w:eastAsia="MS PGothic" w:hAnsi="MS PGothic"/>
          <w:sz w:val="18"/>
          <w:szCs w:val="18"/>
          <w:color w:val="auto"/>
        </w:rPr>
      </w:pPr>
    </w:p>
    <w:p>
      <w:pPr>
        <w:ind w:left="360" w:hanging="298"/>
        <w:spacing w:after="0"/>
        <w:tabs>
          <w:tab w:leader="none" w:pos="3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74"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50"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1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r>
      <w:tr>
        <w:trPr>
          <w:trHeight w:val="211"/>
        </w:trPr>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w w:val="98"/>
              </w:rPr>
              <w:t>Title of each class</w:t>
            </w:r>
          </w:p>
        </w:tc>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1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8"/>
              </w:rPr>
              <w:t>on which registered</w:t>
            </w:r>
          </w:p>
        </w:tc>
      </w:tr>
      <w:tr>
        <w:trPr>
          <w:trHeight w:val="24"/>
        </w:trPr>
        <w:tc>
          <w:tcPr>
            <w:tcW w:w="316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16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140" w:type="dxa"/>
            <w:vAlign w:val="bottom"/>
            <w:tcBorders>
              <w:bottom w:val="single" w:sz="8" w:color="auto"/>
            </w:tcBorders>
          </w:tcPr>
          <w:p>
            <w:pPr>
              <w:spacing w:after="0"/>
              <w:rPr>
                <w:sz w:val="2"/>
                <w:szCs w:val="2"/>
                <w:color w:val="auto"/>
              </w:rPr>
            </w:pPr>
          </w:p>
        </w:tc>
      </w:tr>
      <w:tr>
        <w:trPr>
          <w:trHeight w:val="229"/>
        </w:trPr>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8"/>
                <w:szCs w:val="18"/>
                <w:b w:val="1"/>
                <w:bCs w:val="1"/>
                <w:color w:val="auto"/>
                <w:w w:val="97"/>
              </w:rPr>
              <w:t>Common Stock</w:t>
            </w:r>
          </w:p>
        </w:tc>
        <w:tc>
          <w:tcPr>
            <w:tcW w:w="3300" w:type="dxa"/>
            <w:vAlign w:val="bottom"/>
            <w:gridSpan w:val="2"/>
          </w:tcPr>
          <w:p>
            <w:pPr>
              <w:jc w:val="center"/>
              <w:ind w:right="140"/>
              <w:spacing w:after="0"/>
              <w:rPr>
                <w:sz w:val="20"/>
                <w:szCs w:val="20"/>
                <w:color w:val="auto"/>
              </w:rPr>
            </w:pPr>
            <w:r>
              <w:rPr>
                <w:rFonts w:ascii="Times New Roman" w:cs="Times New Roman" w:eastAsia="Times New Roman" w:hAnsi="Times New Roman"/>
                <w:sz w:val="18"/>
                <w:szCs w:val="18"/>
                <w:b w:val="1"/>
                <w:bCs w:val="1"/>
                <w:color w:val="auto"/>
                <w:w w:val="94"/>
              </w:rPr>
              <w:t>MRVL</w:t>
            </w:r>
          </w:p>
        </w:tc>
        <w:tc>
          <w:tcPr>
            <w:tcW w:w="314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The Nasdaq Global Select Market</w:t>
            </w:r>
          </w:p>
        </w:tc>
      </w:tr>
    </w:tbl>
    <w:p>
      <w:pPr>
        <w:spacing w:after="0" w:line="219" w:lineRule="exact"/>
        <w:rPr>
          <w:sz w:val="24"/>
          <w:szCs w:val="24"/>
          <w:color w:val="auto"/>
        </w:rPr>
      </w:pPr>
    </w:p>
    <w:p>
      <w:pPr>
        <w:spacing w:after="0"/>
        <w:rPr>
          <w:sz w:val="20"/>
          <w:szCs w:val="20"/>
          <w:color w:val="auto"/>
        </w:rPr>
      </w:pPr>
      <w:r>
        <w:rPr>
          <w:rFonts w:ascii="Times New Roman" w:cs="Times New Roman" w:eastAsia="Times New Roman" w:hAnsi="Times New Roman"/>
          <w:sz w:val="16"/>
          <w:szCs w:val="16"/>
          <w:color w:val="auto"/>
        </w:rPr>
        <w:t>Indicate by check mark whether the registrant is an emerging growth company as defined in Rule 405 of the Securities Act of 1933 (§230.405 of this chapter)</w:t>
      </w:r>
    </w:p>
    <w:p>
      <w:pPr>
        <w:spacing w:after="0" w:line="44" w:lineRule="exact"/>
        <w:rPr>
          <w:sz w:val="24"/>
          <w:szCs w:val="24"/>
          <w:color w:val="auto"/>
        </w:rPr>
      </w:pPr>
    </w:p>
    <w:p>
      <w:pPr>
        <w:spacing w:after="0" w:line="207" w:lineRule="exact"/>
        <w:tabs>
          <w:tab w:leader="none" w:pos="6680" w:val="left"/>
          <w:tab w:leader="none" w:pos="8780" w:val="left"/>
        </w:tabs>
        <w:rPr>
          <w:sz w:val="20"/>
          <w:szCs w:val="20"/>
          <w:color w:val="auto"/>
        </w:rPr>
      </w:pPr>
      <w:r>
        <w:rPr>
          <w:rFonts w:ascii="Times New Roman" w:cs="Times New Roman" w:eastAsia="Times New Roman" w:hAnsi="Times New Roman"/>
          <w:sz w:val="18"/>
          <w:szCs w:val="18"/>
          <w:color w:val="auto"/>
        </w:rPr>
        <w:t>or Rule 12b-2 of the Securities Exchange Act of 1934 (§240.12b-2 of this chapter).</w:t>
      </w:r>
      <w:r>
        <w:rPr>
          <w:sz w:val="20"/>
          <w:szCs w:val="20"/>
          <w:color w:val="auto"/>
        </w:rPr>
        <w:tab/>
      </w:r>
      <w:r>
        <w:rPr>
          <w:rFonts w:ascii="Times New Roman" w:cs="Times New Roman" w:eastAsia="Times New Roman" w:hAnsi="Times New Roman"/>
          <w:sz w:val="18"/>
          <w:szCs w:val="18"/>
          <w:color w:val="auto"/>
        </w:rPr>
        <w:t>Emerging growth company</w:t>
      </w:r>
      <w:r>
        <w:rPr>
          <w:sz w:val="20"/>
          <w:szCs w:val="20"/>
          <w:color w:val="auto"/>
        </w:rPr>
        <w:tab/>
      </w:r>
      <w:r>
        <w:rPr>
          <w:rFonts w:ascii="MS PGothic" w:cs="MS PGothic" w:eastAsia="MS PGothic" w:hAnsi="MS PGothic"/>
          <w:sz w:val="14"/>
          <w:szCs w:val="14"/>
          <w:color w:val="auto"/>
        </w:rPr>
        <w:t>☐</w:t>
      </w:r>
    </w:p>
    <w:p>
      <w:pPr>
        <w:spacing w:after="0" w:line="104" w:lineRule="exact"/>
        <w:rPr>
          <w:sz w:val="24"/>
          <w:szCs w:val="24"/>
          <w:color w:val="auto"/>
        </w:rPr>
      </w:pPr>
    </w:p>
    <w:p>
      <w:pPr>
        <w:ind w:right="100"/>
        <w:spacing w:after="0" w:line="22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467995</wp:posOffset>
            </wp:positionV>
            <wp:extent cx="716153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61530" cy="4191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113665</wp:posOffset>
            </wp:positionV>
            <wp:extent cx="676846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768465" cy="825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80010</wp:posOffset>
            </wp:positionV>
            <wp:extent cx="676846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768465" cy="8255"/>
                    </a:xfrm>
                    <a:prstGeom prst="rect">
                      <a:avLst/>
                    </a:prstGeom>
                    <a:noFill/>
                  </pic:spPr>
                </pic:pic>
              </a:graphicData>
            </a:graphic>
          </wp:anchor>
        </w:drawing>
      </w:r>
    </w:p>
    <w:p>
      <w:pPr>
        <w:sectPr>
          <w:pgSz w:w="11900" w:h="16838" w:orient="portrait"/>
          <w:cols w:equalWidth="0" w:num="1">
            <w:col w:w="11060"/>
          </w:cols>
          <w:pgMar w:left="320" w:top="774" w:right="51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t>Item 2.02 Results of Operations and Financial Condition.</w:t>
      </w:r>
    </w:p>
    <w:p>
      <w:pPr>
        <w:spacing w:after="0" w:line="240" w:lineRule="exact"/>
        <w:rPr>
          <w:sz w:val="20"/>
          <w:szCs w:val="20"/>
          <w:color w:val="auto"/>
        </w:rPr>
      </w:pPr>
    </w:p>
    <w:p>
      <w:pPr>
        <w:ind w:right="60" w:firstLine="631"/>
        <w:spacing w:after="0" w:line="252" w:lineRule="auto"/>
        <w:rPr>
          <w:sz w:val="20"/>
          <w:szCs w:val="20"/>
          <w:color w:val="auto"/>
        </w:rPr>
      </w:pPr>
      <w:r>
        <w:rPr>
          <w:rFonts w:ascii="Times New Roman" w:cs="Times New Roman" w:eastAsia="Times New Roman" w:hAnsi="Times New Roman"/>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4" w:lineRule="exact"/>
        <w:rPr>
          <w:sz w:val="20"/>
          <w:szCs w:val="20"/>
          <w:color w:val="auto"/>
        </w:rPr>
      </w:pPr>
    </w:p>
    <w:p>
      <w:pPr>
        <w:ind w:right="240" w:firstLine="631"/>
        <w:spacing w:after="0" w:line="268" w:lineRule="auto"/>
        <w:rPr>
          <w:sz w:val="20"/>
          <w:szCs w:val="20"/>
          <w:color w:val="auto"/>
        </w:rPr>
      </w:pPr>
      <w:r>
        <w:rPr>
          <w:rFonts w:ascii="Times New Roman" w:cs="Times New Roman" w:eastAsia="Times New Roman" w:hAnsi="Times New Roman"/>
          <w:sz w:val="18"/>
          <w:szCs w:val="18"/>
          <w:color w:val="auto"/>
        </w:rPr>
        <w:t>On December 1, 2022, Marvell Technology, Inc. (“Marvell”) issued a press release reporting its financial results for the third quarter of fiscal 2023 ended October 29, 2022. A copy of the press release is furnished herewith as Exhibit 99.1.</w:t>
      </w:r>
    </w:p>
    <w:p>
      <w:pPr>
        <w:spacing w:after="0" w:line="195" w:lineRule="exact"/>
        <w:rPr>
          <w:sz w:val="20"/>
          <w:szCs w:val="20"/>
          <w:color w:val="auto"/>
        </w:rPr>
      </w:pPr>
    </w:p>
    <w:p>
      <w:pPr>
        <w:ind w:firstLine="631"/>
        <w:spacing w:after="0" w:line="252" w:lineRule="auto"/>
        <w:rPr>
          <w:sz w:val="20"/>
          <w:szCs w:val="20"/>
          <w:color w:val="auto"/>
        </w:rPr>
      </w:pPr>
      <w:r>
        <w:rPr>
          <w:rFonts w:ascii="Times New Roman" w:cs="Times New Roman" w:eastAsia="Times New Roman" w:hAnsi="Times New Roman"/>
          <w:sz w:val="18"/>
          <w:szCs w:val="18"/>
          <w:color w:val="auto"/>
        </w:rPr>
        <w:t xml:space="preserve">Marvell will conduct a conference call on Thursday, December 1, 2022 at 1:45 p.m. Pacific Time to discuss results for the third quarter of fiscal 2023. Interested parties may join the conference call by dialing 1-888-317-6003 or 1-412-317-6061, passcode </w:t>
      </w:r>
      <w:r>
        <w:rPr>
          <w:rFonts w:ascii="Times New Roman" w:cs="Times New Roman" w:eastAsia="Times New Roman" w:hAnsi="Times New Roman"/>
          <w:sz w:val="18"/>
          <w:szCs w:val="18"/>
          <w:b w:val="1"/>
          <w:bCs w:val="1"/>
          <w:color w:val="auto"/>
        </w:rPr>
        <w:t>7355192</w:t>
      </w:r>
      <w:r>
        <w:rPr>
          <w:rFonts w:ascii="Times New Roman" w:cs="Times New Roman" w:eastAsia="Times New Roman" w:hAnsi="Times New Roman"/>
          <w:sz w:val="18"/>
          <w:szCs w:val="18"/>
          <w:color w:val="auto"/>
        </w:rPr>
        <w:t xml:space="preserve">. The call will be webcast and can be accessed at the Marvell Investor Relations website at http://investor.marvell.com/. A replay of the call can be accessed by dialing 1-877-344-7529 or 1-412-317-0088, passcode </w:t>
      </w:r>
      <w:r>
        <w:rPr>
          <w:rFonts w:ascii="Times New Roman" w:cs="Times New Roman" w:eastAsia="Times New Roman" w:hAnsi="Times New Roman"/>
          <w:sz w:val="18"/>
          <w:szCs w:val="18"/>
          <w:b w:val="1"/>
          <w:bCs w:val="1"/>
          <w:color w:val="auto"/>
        </w:rPr>
        <w:t>2531241</w:t>
      </w:r>
      <w:r>
        <w:rPr>
          <w:rFonts w:ascii="Times New Roman" w:cs="Times New Roman" w:eastAsia="Times New Roman" w:hAnsi="Times New Roman"/>
          <w:sz w:val="18"/>
          <w:szCs w:val="18"/>
          <w:color w:val="auto"/>
        </w:rPr>
        <w:t xml:space="preserve"> until Thursday, December 8, 2022.</w:t>
      </w:r>
    </w:p>
    <w:p>
      <w:pPr>
        <w:spacing w:after="0" w:line="206" w:lineRule="exact"/>
        <w:rPr>
          <w:sz w:val="20"/>
          <w:szCs w:val="20"/>
          <w:color w:val="auto"/>
        </w:rPr>
      </w:pPr>
    </w:p>
    <w:p>
      <w:pPr>
        <w:spacing w:after="0"/>
        <w:tabs>
          <w:tab w:leader="none" w:pos="86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6"/>
          <w:szCs w:val="16"/>
          <w:b w:val="1"/>
          <w:bCs w:val="1"/>
          <w:color w:val="auto"/>
        </w:rPr>
        <w:t>Financial Statements and Exhibits.</w:t>
      </w:r>
    </w:p>
    <w:p>
      <w:pPr>
        <w:spacing w:after="0" w:line="216" w:lineRule="exact"/>
        <w:rPr>
          <w:sz w:val="20"/>
          <w:szCs w:val="20"/>
          <w:color w:val="auto"/>
        </w:rPr>
      </w:pPr>
    </w:p>
    <w:p>
      <w:pPr>
        <w:ind w:left="640"/>
        <w:spacing w:after="0"/>
        <w:tabs>
          <w:tab w:leader="none" w:pos="1000" w:val="left"/>
        </w:tabs>
        <w:rPr>
          <w:sz w:val="20"/>
          <w:szCs w:val="20"/>
          <w:color w:val="auto"/>
        </w:rPr>
      </w:pPr>
      <w:r>
        <w:rPr>
          <w:rFonts w:ascii="Times New Roman" w:cs="Times New Roman" w:eastAsia="Times New Roman" w:hAnsi="Times New Roman"/>
          <w:sz w:val="18"/>
          <w:szCs w:val="18"/>
          <w:color w:val="auto"/>
        </w:rPr>
        <w:t>(d)</w:t>
      </w:r>
      <w:r>
        <w:rPr>
          <w:sz w:val="20"/>
          <w:szCs w:val="20"/>
          <w:color w:val="auto"/>
        </w:rPr>
        <w:tab/>
      </w:r>
      <w:r>
        <w:rPr>
          <w:rFonts w:ascii="Times New Roman" w:cs="Times New Roman" w:eastAsia="Times New Roman" w:hAnsi="Times New Roman"/>
          <w:sz w:val="16"/>
          <w:szCs w:val="16"/>
          <w:color w:val="auto"/>
        </w:rPr>
        <w:t>Exhibits.</w:t>
      </w:r>
    </w:p>
    <w:p>
      <w:pPr>
        <w:spacing w:after="0" w:line="214" w:lineRule="exact"/>
        <w:rPr>
          <w:sz w:val="20"/>
          <w:szCs w:val="20"/>
          <w:color w:val="auto"/>
        </w:rPr>
      </w:pPr>
    </w:p>
    <w:p>
      <w:pPr>
        <w:ind w:left="1260"/>
        <w:spacing w:after="0"/>
        <w:tabs>
          <w:tab w:leader="none" w:pos="172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6"/>
          <w:szCs w:val="16"/>
          <w:u w:val="single" w:color="auto"/>
          <w:color w:val="0000FF"/>
        </w:rPr>
        <w:t>Press Release dated December 1, 2022, titled “Marvell Technology, Inc. Reports Third Quarter of Fiscal Year 2023 Financial Results”</w:t>
      </w:r>
    </w:p>
    <w:p>
      <w:pPr>
        <w:spacing w:after="0" w:line="21" w:lineRule="exact"/>
        <w:rPr>
          <w:sz w:val="20"/>
          <w:szCs w:val="20"/>
          <w:color w:val="auto"/>
        </w:rPr>
      </w:pPr>
    </w:p>
    <w:p>
      <w:pPr>
        <w:ind w:left="1260"/>
        <w:spacing w:after="0"/>
        <w:tabs>
          <w:tab w:leader="none" w:pos="168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6"/>
          <w:szCs w:val="16"/>
          <w:color w:val="auto"/>
        </w:rPr>
        <w:t>Cover Page Interactive Data File (the cover page XBRL tags are embedded within the Inline XBRL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215265</wp:posOffset>
            </wp:positionV>
            <wp:extent cx="7161530" cy="419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61530" cy="41910"/>
                    </a:xfrm>
                    <a:prstGeom prst="rect">
                      <a:avLst/>
                    </a:prstGeom>
                    <a:noFill/>
                  </pic:spPr>
                </pic:pic>
              </a:graphicData>
            </a:graphic>
          </wp:anchor>
        </w:drawing>
      </w:r>
    </w:p>
    <w:p>
      <w:pPr>
        <w:sectPr>
          <w:pgSz w:w="11900" w:h="16838" w:orient="portrait"/>
          <w:cols w:equalWidth="0" w:num="1">
            <w:col w:w="11160"/>
          </w:cols>
          <w:pgMar w:left="320" w:top="369" w:right="419" w:bottom="1440" w:gutter="0" w:footer="0" w:header="0"/>
        </w:sectPr>
      </w:pPr>
    </w:p>
    <w:bookmarkStart w:id="2" w:name="page3"/>
    <w:bookmarkEnd w:id="2"/>
    <w:p>
      <w:pPr>
        <w:jc w:val="center"/>
        <w:ind w:right="-179"/>
        <w:spacing w:after="0"/>
        <w:rPr>
          <w:sz w:val="20"/>
          <w:szCs w:val="20"/>
          <w:color w:val="auto"/>
        </w:rPr>
      </w:pPr>
      <w:r>
        <w:rPr>
          <w:rFonts w:ascii="Times New Roman" w:cs="Times New Roman" w:eastAsia="Times New Roman" w:hAnsi="Times New Roman"/>
          <w:sz w:val="18"/>
          <w:szCs w:val="18"/>
          <w:b w:val="1"/>
          <w:bCs w:val="1"/>
          <w:color w:val="auto"/>
        </w:rPr>
        <w:t>SIGNATURE</w:t>
      </w:r>
    </w:p>
    <w:p>
      <w:pPr>
        <w:spacing w:after="0" w:line="242" w:lineRule="exact"/>
        <w:rPr>
          <w:sz w:val="20"/>
          <w:szCs w:val="20"/>
          <w:color w:val="auto"/>
        </w:rPr>
      </w:pPr>
    </w:p>
    <w:p>
      <w:pPr>
        <w:ind w:firstLine="631"/>
        <w:spacing w:after="0" w:line="268"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8" w:lineRule="exact"/>
        <w:rPr>
          <w:sz w:val="20"/>
          <w:szCs w:val="20"/>
          <w:color w:val="auto"/>
        </w:rPr>
      </w:pPr>
    </w:p>
    <w:p>
      <w:pPr>
        <w:ind w:left="6740"/>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79" w:lineRule="exact"/>
        <w:rPr>
          <w:sz w:val="20"/>
          <w:szCs w:val="20"/>
          <w:color w:val="auto"/>
        </w:rPr>
      </w:pPr>
    </w:p>
    <w:p>
      <w:pPr>
        <w:ind w:left="1120"/>
        <w:spacing w:after="0"/>
        <w:tabs>
          <w:tab w:leader="none" w:pos="6720" w:val="left"/>
          <w:tab w:leader="none" w:pos="7200" w:val="left"/>
        </w:tabs>
        <w:rPr>
          <w:sz w:val="20"/>
          <w:szCs w:val="20"/>
          <w:color w:val="auto"/>
        </w:rPr>
      </w:pPr>
      <w:r>
        <w:rPr>
          <w:rFonts w:ascii="Times New Roman" w:cs="Times New Roman" w:eastAsia="Times New Roman" w:hAnsi="Times New Roman"/>
          <w:sz w:val="18"/>
          <w:szCs w:val="18"/>
          <w:color w:val="auto"/>
        </w:rPr>
        <w:t>Date: December 1, 2022</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6"/>
          <w:szCs w:val="16"/>
          <w:color w:val="auto"/>
        </w:rPr>
        <w:t>/</w:t>
      </w:r>
      <w:r>
        <w:rPr>
          <w:rFonts w:ascii="Times New Roman" w:cs="Times New Roman" w:eastAsia="Times New Roman" w:hAnsi="Times New Roman"/>
          <w:sz w:val="13"/>
          <w:szCs w:val="13"/>
          <w:color w:val="auto"/>
        </w:rPr>
        <w:t>S</w:t>
      </w:r>
      <w:r>
        <w:rPr>
          <w:rFonts w:ascii="Times New Roman" w:cs="Times New Roman" w:eastAsia="Times New Roman" w:hAnsi="Times New Roman"/>
          <w:sz w:val="16"/>
          <w:szCs w:val="16"/>
          <w:color w:val="auto"/>
        </w:rPr>
        <w:t>/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4577080</wp:posOffset>
            </wp:positionH>
            <wp:positionV relativeFrom="paragraph">
              <wp:posOffset>22225</wp:posOffset>
            </wp:positionV>
            <wp:extent cx="227012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270125" cy="8255"/>
                    </a:xfrm>
                    <a:prstGeom prst="rect">
                      <a:avLst/>
                    </a:prstGeom>
                    <a:noFill/>
                  </pic:spPr>
                </pic:pic>
              </a:graphicData>
            </a:graphic>
          </wp:anchor>
        </w:drawing>
      </w:r>
    </w:p>
    <w:p>
      <w:pPr>
        <w:spacing w:after="0" w:line="21" w:lineRule="exact"/>
        <w:rPr>
          <w:sz w:val="20"/>
          <w:szCs w:val="20"/>
          <w:color w:val="auto"/>
        </w:rPr>
      </w:pPr>
    </w:p>
    <w:p>
      <w:pPr>
        <w:ind w:left="722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23" w:lineRule="exact"/>
        <w:rPr>
          <w:sz w:val="20"/>
          <w:szCs w:val="20"/>
          <w:color w:val="auto"/>
        </w:rPr>
      </w:pPr>
    </w:p>
    <w:p>
      <w:pPr>
        <w:ind w:left="722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1080"/>
          </w:cols>
          <w:pgMar w:left="320" w:top="987" w:right="4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5678805</wp:posOffset>
            </wp:positionH>
            <wp:positionV relativeFrom="paragraph">
              <wp:posOffset>173355</wp:posOffset>
            </wp:positionV>
            <wp:extent cx="1460500" cy="442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460500" cy="442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 Reports Third Quarter of Fiscal Year 2023</w:t>
      </w:r>
    </w:p>
    <w:p>
      <w:pPr>
        <w:spacing w:after="0" w:line="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Financial Results</w:t>
      </w:r>
    </w:p>
    <w:p>
      <w:pPr>
        <w:spacing w:after="0" w:line="115" w:lineRule="exact"/>
        <w:rPr>
          <w:sz w:val="20"/>
          <w:szCs w:val="20"/>
          <w:color w:val="auto"/>
        </w:rPr>
      </w:pPr>
    </w:p>
    <w:p>
      <w:pPr>
        <w:ind w:left="640" w:hanging="319"/>
        <w:spacing w:after="0"/>
        <w:tabs>
          <w:tab w:leader="none" w:pos="64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Net Revenue: $1.537 billion, grew by 27% year-on-year</w:t>
      </w:r>
    </w:p>
    <w:p>
      <w:pPr>
        <w:spacing w:after="0" w:line="21" w:lineRule="exact"/>
        <w:rPr>
          <w:rFonts w:ascii="Times New Roman" w:cs="Times New Roman" w:eastAsia="Times New Roman" w:hAnsi="Times New Roman"/>
          <w:sz w:val="18"/>
          <w:szCs w:val="18"/>
          <w:color w:val="auto"/>
        </w:rPr>
      </w:pPr>
    </w:p>
    <w:p>
      <w:pPr>
        <w:ind w:left="640" w:hanging="319"/>
        <w:spacing w:after="0"/>
        <w:tabs>
          <w:tab w:leader="none" w:pos="64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Gross Margin: 50.6% GAAP gross margin; 64.0% non-GAAP gross margin</w:t>
      </w:r>
    </w:p>
    <w:p>
      <w:pPr>
        <w:spacing w:after="0" w:line="3" w:lineRule="exact"/>
        <w:rPr>
          <w:rFonts w:ascii="Times New Roman" w:cs="Times New Roman" w:eastAsia="Times New Roman" w:hAnsi="Times New Roman"/>
          <w:sz w:val="18"/>
          <w:szCs w:val="18"/>
          <w:color w:val="auto"/>
        </w:rPr>
      </w:pPr>
    </w:p>
    <w:p>
      <w:pPr>
        <w:ind w:left="640" w:hanging="319"/>
        <w:spacing w:after="0"/>
        <w:tabs>
          <w:tab w:leader="none" w:pos="64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Q3 Diluted income per share: $0.02 GAAP diluted income per share; $0.57 non-GAAP diluted income per share</w:t>
      </w:r>
    </w:p>
    <w:p>
      <w:pPr>
        <w:spacing w:after="0" w:line="220" w:lineRule="exact"/>
        <w:rPr>
          <w:sz w:val="20"/>
          <w:szCs w:val="20"/>
          <w:color w:val="auto"/>
        </w:rPr>
      </w:pPr>
    </w:p>
    <w:p>
      <w:pPr>
        <w:ind w:right="300"/>
        <w:spacing w:after="0" w:line="255" w:lineRule="auto"/>
        <w:rPr>
          <w:sz w:val="20"/>
          <w:szCs w:val="20"/>
          <w:color w:val="auto"/>
        </w:rPr>
      </w:pPr>
      <w:r>
        <w:rPr>
          <w:rFonts w:ascii="Times New Roman" w:cs="Times New Roman" w:eastAsia="Times New Roman" w:hAnsi="Times New Roman"/>
          <w:sz w:val="18"/>
          <w:szCs w:val="18"/>
          <w:b w:val="1"/>
          <w:bCs w:val="1"/>
          <w:color w:val="auto"/>
        </w:rPr>
        <w:t xml:space="preserve">Santa Clara, Calif. (December 1, 2022) </w:t>
      </w:r>
      <w:r>
        <w:rPr>
          <w:rFonts w:ascii="Times New Roman" w:cs="Times New Roman" w:eastAsia="Times New Roman" w:hAnsi="Times New Roman"/>
          <w:sz w:val="18"/>
          <w:szCs w:val="18"/>
          <w:color w:val="auto"/>
        </w:rPr>
        <w:t>- Marvell Technology, Inc. (NASDAQ: MRVL), a leader in infrastructure semiconductor solutions, today reported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financial results for the third quarter of fiscal year 2023.</w:t>
      </w:r>
    </w:p>
    <w:p>
      <w:pPr>
        <w:spacing w:after="0" w:line="206" w:lineRule="exact"/>
        <w:rPr>
          <w:sz w:val="20"/>
          <w:szCs w:val="20"/>
          <w:color w:val="auto"/>
        </w:rPr>
      </w:pPr>
    </w:p>
    <w:p>
      <w:pPr>
        <w:ind w:right="520"/>
        <w:spacing w:after="0"/>
        <w:rPr>
          <w:sz w:val="20"/>
          <w:szCs w:val="20"/>
          <w:color w:val="auto"/>
        </w:rPr>
      </w:pPr>
      <w:r>
        <w:rPr>
          <w:rFonts w:ascii="Times New Roman" w:cs="Times New Roman" w:eastAsia="Times New Roman" w:hAnsi="Times New Roman"/>
          <w:sz w:val="18"/>
          <w:szCs w:val="18"/>
          <w:color w:val="auto"/>
        </w:rPr>
        <w:t>Net revenue for the third quarter of fiscal 2023 was $1.537 billion, at the lower end of the Company’s guidance provided on August 25, 2022. GAAP net income for the third quarter of fiscal 2023 was $13 million, or $0.02 per diluted share. Non-GAAP net income for the third quarter of fiscal 2023 was $492 million, or $0.57 per diluted share. Cash flow from operations for the third quarter was $411.0 million.</w:t>
      </w:r>
    </w:p>
    <w:p>
      <w:pPr>
        <w:spacing w:after="0" w:line="220" w:lineRule="exact"/>
        <w:rPr>
          <w:sz w:val="20"/>
          <w:szCs w:val="20"/>
          <w:color w:val="auto"/>
        </w:rPr>
      </w:pPr>
    </w:p>
    <w:p>
      <w:pPr>
        <w:ind w:right="120"/>
        <w:spacing w:after="0" w:line="248" w:lineRule="auto"/>
        <w:rPr>
          <w:sz w:val="20"/>
          <w:szCs w:val="20"/>
          <w:color w:val="auto"/>
        </w:rPr>
      </w:pPr>
      <w:r>
        <w:rPr>
          <w:rFonts w:ascii="Times New Roman" w:cs="Times New Roman" w:eastAsia="Times New Roman" w:hAnsi="Times New Roman"/>
          <w:sz w:val="18"/>
          <w:szCs w:val="18"/>
          <w:color w:val="auto"/>
        </w:rPr>
        <w:t>“In the third quarter of fiscal 2023, we delivered revenue of $1.54 billion, a record for Marvell, growing 27 percent year over year driven by our key growth drivers of cloud, 5G and automotive, as well as share and content gains in our enterprise networking end market,” said Matt Murphy, Marvell’s President and CEO. “Inventory reductions, in particular at our storage customers, are impacting our near-term results and guidance, and we are working closely with them to manage their change in demand in an orderly fashion to clear the path to a resumption of growth. Our design win pipeline remains strong, our new cloud-optimized products are starting to ramp, and we are well positioned to navigate the current environment successfully and remain confident in our long-term growth drivers.”</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Fourth Quarter of Fiscal 2023 Financial Outlook</w:t>
      </w:r>
    </w:p>
    <w:p>
      <w:pPr>
        <w:spacing w:after="0" w:line="124" w:lineRule="exact"/>
        <w:rPr>
          <w:sz w:val="20"/>
          <w:szCs w:val="20"/>
          <w:color w:val="auto"/>
        </w:rPr>
      </w:pPr>
    </w:p>
    <w:p>
      <w:pPr>
        <w:ind w:left="640" w:hanging="319"/>
        <w:spacing w:after="0"/>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Net revenue is expected to be $1.400 billion +/- 5%.</w:t>
      </w:r>
    </w:p>
    <w:p>
      <w:pPr>
        <w:spacing w:after="0" w:line="10" w:lineRule="exact"/>
        <w:rPr>
          <w:rFonts w:ascii="Times New Roman" w:cs="Times New Roman" w:eastAsia="Times New Roman" w:hAnsi="Times New Roman"/>
          <w:sz w:val="18"/>
          <w:szCs w:val="18"/>
          <w:color w:val="auto"/>
        </w:rPr>
      </w:pPr>
    </w:p>
    <w:p>
      <w:pPr>
        <w:ind w:left="640" w:hanging="319"/>
        <w:spacing w:after="0" w:line="228"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gross margin is expected to be 49.2% +/- 1%.</w:t>
      </w:r>
    </w:p>
    <w:p>
      <w:pPr>
        <w:ind w:left="640" w:hanging="319"/>
        <w:spacing w:after="0"/>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gross margin is expected to be approximately 64.0%.</w:t>
      </w:r>
    </w:p>
    <w:p>
      <w:pPr>
        <w:spacing w:after="0" w:line="1" w:lineRule="exact"/>
        <w:rPr>
          <w:rFonts w:ascii="Times New Roman" w:cs="Times New Roman" w:eastAsia="Times New Roman" w:hAnsi="Times New Roman"/>
          <w:sz w:val="18"/>
          <w:szCs w:val="18"/>
          <w:color w:val="auto"/>
        </w:rPr>
      </w:pPr>
    </w:p>
    <w:p>
      <w:pPr>
        <w:ind w:left="640" w:hanging="319"/>
        <w:spacing w:after="0" w:line="231"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operating expenses are expected to be approximately $646 million.</w:t>
      </w:r>
    </w:p>
    <w:p>
      <w:pPr>
        <w:ind w:left="640" w:hanging="319"/>
        <w:spacing w:after="0" w:line="228"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operating expenses are expected to be approximately $430 million.</w:t>
      </w:r>
    </w:p>
    <w:p>
      <w:pPr>
        <w:ind w:left="640" w:hanging="319"/>
        <w:spacing w:after="0" w:line="228"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weighted average shares outstanding are expected to be 855 million.</w:t>
      </w:r>
    </w:p>
    <w:p>
      <w:pPr>
        <w:ind w:left="640" w:hanging="319"/>
        <w:spacing w:after="0"/>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Diluted weighted average shares outstanding are expected to be 861 million.</w:t>
      </w:r>
    </w:p>
    <w:p>
      <w:pPr>
        <w:spacing w:after="0" w:line="1" w:lineRule="exact"/>
        <w:rPr>
          <w:rFonts w:ascii="Times New Roman" w:cs="Times New Roman" w:eastAsia="Times New Roman" w:hAnsi="Times New Roman"/>
          <w:sz w:val="18"/>
          <w:szCs w:val="18"/>
          <w:color w:val="auto"/>
        </w:rPr>
      </w:pPr>
    </w:p>
    <w:p>
      <w:pPr>
        <w:ind w:left="640" w:hanging="319"/>
        <w:spacing w:after="0" w:line="231" w:lineRule="auto"/>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GAAP diluted income per share is expected to be $0.00 +/- $0.05 per share.</w:t>
      </w:r>
    </w:p>
    <w:p>
      <w:pPr>
        <w:ind w:left="640" w:hanging="319"/>
        <w:spacing w:after="0"/>
        <w:tabs>
          <w:tab w:leader="none" w:pos="64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Non-GAAP diluted income per share is expected to be $0.46 +/- $0.05 per share.</w:t>
      </w:r>
    </w:p>
    <w:p>
      <w:pPr>
        <w:spacing w:after="0" w:line="207" w:lineRule="exact"/>
        <w:rPr>
          <w:sz w:val="20"/>
          <w:szCs w:val="20"/>
          <w:color w:val="auto"/>
        </w:rPr>
      </w:pPr>
    </w:p>
    <w:p>
      <w:pPr>
        <w:spacing w:after="0" w:line="268" w:lineRule="auto"/>
        <w:rPr>
          <w:sz w:val="20"/>
          <w:szCs w:val="20"/>
          <w:color w:val="auto"/>
        </w:rPr>
      </w:pPr>
      <w:r>
        <w:rPr>
          <w:rFonts w:ascii="Times New Roman" w:cs="Times New Roman" w:eastAsia="Times New Roman" w:hAnsi="Times New Roman"/>
          <w:sz w:val="18"/>
          <w:szCs w:val="18"/>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369" w:right="3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b w:val="1"/>
          <w:bCs w:val="1"/>
          <w:color w:val="auto"/>
        </w:rPr>
        <w:t>Conference Call</w:t>
      </w:r>
    </w:p>
    <w:p>
      <w:pPr>
        <w:spacing w:after="0" w:line="229" w:lineRule="exact"/>
        <w:rPr>
          <w:sz w:val="20"/>
          <w:szCs w:val="20"/>
          <w:color w:val="auto"/>
        </w:rPr>
      </w:pPr>
    </w:p>
    <w:p>
      <w:pPr>
        <w:ind w:right="80"/>
        <w:spacing w:after="0" w:line="241" w:lineRule="auto"/>
        <w:rPr>
          <w:sz w:val="20"/>
          <w:szCs w:val="20"/>
          <w:color w:val="auto"/>
        </w:rPr>
      </w:pPr>
      <w:r>
        <w:rPr>
          <w:rFonts w:ascii="Times New Roman" w:cs="Times New Roman" w:eastAsia="Times New Roman" w:hAnsi="Times New Roman"/>
          <w:sz w:val="18"/>
          <w:szCs w:val="18"/>
          <w:color w:val="auto"/>
        </w:rPr>
        <w:t>Marvell will conduct a conference call on Thursday, December 1, 2022 at 1:45 p.m. Pacific Time to discuss results for the third quarter of fiscal 2023. Interested parties may join the conference call by dialing 1-888-317-6003 or 1-412-317-6061, passcode 7355192. The call will be webcast and can be accessed at the Marvell Investor Relations website at http://investor.marvell.com/. A replay of the call can be accessed by dialing 1-877-344-7529 or 1-412-317-0088, passcode 2531241 until Thursday, December 8, 2022.</w:t>
      </w:r>
    </w:p>
    <w:p>
      <w:pPr>
        <w:spacing w:after="0" w:line="21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Discussion of Non-GAAP Financial Measures</w:t>
      </w:r>
    </w:p>
    <w:p>
      <w:pPr>
        <w:spacing w:after="0" w:line="229" w:lineRule="exact"/>
        <w:rPr>
          <w:sz w:val="20"/>
          <w:szCs w:val="20"/>
          <w:color w:val="auto"/>
        </w:rPr>
      </w:pPr>
    </w:p>
    <w:p>
      <w:pPr>
        <w:spacing w:after="0" w:line="241" w:lineRule="auto"/>
        <w:rPr>
          <w:sz w:val="20"/>
          <w:szCs w:val="20"/>
          <w:color w:val="auto"/>
        </w:rPr>
      </w:pPr>
      <w:r>
        <w:rPr>
          <w:rFonts w:ascii="Times New Roman" w:cs="Times New Roman" w:eastAsia="Times New Roman" w:hAnsi="Times New Roman"/>
          <w:sz w:val="18"/>
          <w:szCs w:val="18"/>
          <w:color w:val="auto"/>
        </w:rPr>
        <w:t>Non-GAAP financial measures exclude the effect of stock-based compensation expense, amortization of the inventory fair value adjustment associated with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207" w:lineRule="exact"/>
        <w:rPr>
          <w:sz w:val="20"/>
          <w:szCs w:val="20"/>
          <w:color w:val="auto"/>
        </w:rPr>
      </w:pPr>
    </w:p>
    <w:p>
      <w:pPr>
        <w:ind w:right="20"/>
        <w:spacing w:after="0" w:line="238" w:lineRule="auto"/>
        <w:rPr>
          <w:sz w:val="20"/>
          <w:szCs w:val="20"/>
          <w:color w:val="auto"/>
        </w:rPr>
      </w:pPr>
      <w:r>
        <w:rPr>
          <w:rFonts w:ascii="Times New Roman" w:cs="Times New Roman" w:eastAsia="Times New Roman" w:hAnsi="Times New Roman"/>
          <w:sz w:val="18"/>
          <w:szCs w:val="18"/>
          <w:color w:val="auto"/>
        </w:rPr>
        <w:t>Marvell uses a non-GAAP tax rate to compute the non-GAAP tax provision. This non-GAAP tax rate is based on Marvell’s estimated annual GAAP income tax forecast, adjusted to account for items excluded from Marvell’s non-GAAP income, as well as the effects of significant non-recurring and period specific tax items which vary in size and frequency, and excludes tax deductions and benefits from acquired tax loss and credit carryforwards and changes in valuation allowance on acquired deferred tax assets. Marvell’s non-GAAP tax rate is determined on an annual basis and may be adjusted during the year to take into account events that may materially affect the non-GAAP tax rate such as tax law changes; acquisitions; significant changes in Marvell’s geographic mix of revenue and expenses; or changes to Marvell’s corporate structure. For the third quarter of fiscal 2023, a non-GAAP tax rate of 6.0% has been applied to the non-GAAP financial results.</w:t>
      </w:r>
    </w:p>
    <w:p>
      <w:pPr>
        <w:spacing w:after="0" w:line="219" w:lineRule="exact"/>
        <w:rPr>
          <w:sz w:val="20"/>
          <w:szCs w:val="20"/>
          <w:color w:val="auto"/>
        </w:rPr>
      </w:pPr>
    </w:p>
    <w:p>
      <w:pPr>
        <w:ind w:right="160"/>
        <w:spacing w:after="0" w:line="237" w:lineRule="auto"/>
        <w:rPr>
          <w:sz w:val="20"/>
          <w:szCs w:val="20"/>
          <w:color w:val="auto"/>
        </w:rPr>
      </w:pPr>
      <w:r>
        <w:rPr>
          <w:rFonts w:ascii="Times New Roman" w:cs="Times New Roman" w:eastAsia="Times New Roman" w:hAnsi="Times New Roman"/>
          <w:sz w:val="18"/>
          <w:szCs w:val="18"/>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219" w:lineRule="exact"/>
        <w:rPr>
          <w:sz w:val="20"/>
          <w:szCs w:val="20"/>
          <w:color w:val="auto"/>
        </w:rPr>
      </w:pPr>
    </w:p>
    <w:p>
      <w:pPr>
        <w:ind w:right="900"/>
        <w:spacing w:after="0" w:line="253" w:lineRule="auto"/>
        <w:rPr>
          <w:sz w:val="20"/>
          <w:szCs w:val="20"/>
          <w:color w:val="auto"/>
        </w:rPr>
      </w:pPr>
      <w:r>
        <w:rPr>
          <w:rFonts w:ascii="Times New Roman" w:cs="Times New Roman" w:eastAsia="Times New Roman" w:hAnsi="Times New Roman"/>
          <w:sz w:val="18"/>
          <w:szCs w:val="18"/>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94" w:lineRule="exact"/>
        <w:rPr>
          <w:sz w:val="20"/>
          <w:szCs w:val="20"/>
          <w:color w:val="auto"/>
        </w:rPr>
      </w:pPr>
    </w:p>
    <w:p>
      <w:pPr>
        <w:ind w:left="640" w:hanging="319"/>
        <w:spacing w:after="0"/>
        <w:tabs>
          <w:tab w:leader="none" w:pos="6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evaluation of Marvell’s operating performance;</w:t>
      </w:r>
    </w:p>
    <w:p>
      <w:pPr>
        <w:spacing w:after="0" w:line="21" w:lineRule="exact"/>
        <w:rPr>
          <w:rFonts w:ascii="Times New Roman" w:cs="Times New Roman" w:eastAsia="Times New Roman" w:hAnsi="Times New Roman"/>
          <w:sz w:val="18"/>
          <w:szCs w:val="18"/>
          <w:color w:val="auto"/>
        </w:rPr>
      </w:pPr>
    </w:p>
    <w:p>
      <w:pPr>
        <w:ind w:left="640" w:hanging="319"/>
        <w:spacing w:after="0" w:line="231" w:lineRule="auto"/>
        <w:tabs>
          <w:tab w:leader="none" w:pos="6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establishment of internal operating budgets;</w:t>
      </w:r>
    </w:p>
    <w:p>
      <w:pPr>
        <w:ind w:left="640" w:hanging="319"/>
        <w:spacing w:after="0" w:line="228" w:lineRule="auto"/>
        <w:tabs>
          <w:tab w:leader="none" w:pos="6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performance comparisons with internal forecasts and targeted business models; and</w:t>
      </w:r>
    </w:p>
    <w:p>
      <w:pPr>
        <w:ind w:left="640" w:right="120" w:hanging="319"/>
        <w:spacing w:after="0" w:line="245" w:lineRule="auto"/>
        <w:tabs>
          <w:tab w:leader="none" w:pos="636"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Management’s determination of the achievement and measurement of certain performance-based equity awards (adjustments may vary from award to award).</w:t>
      </w:r>
    </w:p>
    <w:p>
      <w:pPr>
        <w:spacing w:after="0" w:line="83" w:lineRule="exact"/>
        <w:rPr>
          <w:sz w:val="20"/>
          <w:szCs w:val="20"/>
          <w:color w:val="auto"/>
        </w:rPr>
      </w:pPr>
    </w:p>
    <w:p>
      <w:pPr>
        <w:ind w:right="120"/>
        <w:spacing w:after="0" w:line="294" w:lineRule="auto"/>
        <w:rPr>
          <w:sz w:val="20"/>
          <w:szCs w:val="20"/>
          <w:color w:val="auto"/>
        </w:rPr>
      </w:pPr>
      <w:r>
        <w:rPr>
          <w:rFonts w:ascii="Times New Roman" w:cs="Times New Roman" w:eastAsia="Times New Roman" w:hAnsi="Times New Roman"/>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50" w:right="33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color w:val="auto"/>
        </w:rPr>
        <w:t>Forward-Looking Statements under the Private Securities Litigation Reform Act of 1995</w:t>
      </w:r>
    </w:p>
    <w:p>
      <w:pPr>
        <w:spacing w:after="0" w:line="163" w:lineRule="exact"/>
        <w:rPr>
          <w:sz w:val="20"/>
          <w:szCs w:val="20"/>
          <w:color w:val="auto"/>
        </w:rPr>
      </w:pPr>
    </w:p>
    <w:p>
      <w:pPr>
        <w:spacing w:after="0" w:line="257" w:lineRule="auto"/>
        <w:rPr>
          <w:sz w:val="20"/>
          <w:szCs w:val="20"/>
          <w:color w:val="auto"/>
        </w:rPr>
      </w:pPr>
      <w:r>
        <w:rPr>
          <w:rFonts w:ascii="Times New Roman" w:cs="Times New Roman" w:eastAsia="Times New Roman" w:hAnsi="Times New Roman"/>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risks related to changes in general economic conditions, or expectations of such conditions, such as rising interest rates, economic slowdowns, recessions, inflation, and stagflation; risks related to our ability to estimate customer demand and future sales accurately; risks related to higher inventory levels; risks related to cancellations, rescheduling or deferrals of significant customer orders or shipments, as well as the ability of our customers to manage inventory; the risk of downturns in the semiconductor industry; our ability to retain and hire key personnel; risks related to the rapid growth of the Company; risks related to the impact of the COVID-19 pandemic which have impacted, and may continue to impact our business and operations, the transportation and manufacturing of our products, and the operations of our customers, distributors, vendors, suppliers, and partners; disruptions caused by COVID-19, including as a result of restrictions that may be imposed by us or third parties, such as quarantines or restrictions on our employees' ability to work, innovate, collaborate, and travel; supply chain disruptions or component shortages that may impact the production of our products including our kitting process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reliance on our manufacturing partners for the manufacture, assembly, testing and packaging of our products; risks related to the ASIC business model which requires us to use third-party IP including the risk that we may lose business or experience reputational harm if third parties, including customers, lose confidence in our ability to protect their IP rights;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our ability to define, design and develop products for the Cloud and 5G markets; our ability to secure design wins from our customers and prospective customers; our ability to market our 5G products to Tier 1 infrastructure customers; our ability to complete and realize the anticipated benefits of any acquisitions, divestitures and investments; decreases in gross margin and results of operations in the future due to a number of factors, including increasing interest rates and volatility in foreign exchange rates; severe financial hardship or bankruptcy of one or more of our major customers;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our ability to limit costs related to defective products; risks related to our debt obligations; the outcome of pending or future litigation and legal and regulatory proceedings; risk related to our ESG program;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our ability to accurately categorize our products by end markets; our ability to scale our operations in response to changes in demand for existing or new products and services; risks associated with acquisition and consolidation activity in the semiconductor industry, including any consolidation of our manufacturing partners; our ability to protect our intellectual property; our maintenance of an effective system of internal controls;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40"/>
          </w:cols>
          <w:pgMar w:left="320" w:top="750" w:right="33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229" w:lineRule="exact"/>
        <w:rPr>
          <w:sz w:val="20"/>
          <w:szCs w:val="20"/>
          <w:color w:val="auto"/>
        </w:rPr>
      </w:pPr>
    </w:p>
    <w:p>
      <w:pPr>
        <w:spacing w:after="0" w:line="24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9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9"/>
          <w:szCs w:val="9"/>
          <w:i w:val="1"/>
          <w:iCs w:val="1"/>
          <w:color w:val="auto"/>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320" w:top="750" w:right="399" w:bottom="1440" w:gutter="0" w:footer="0" w:header="0"/>
        </w:sectPr>
      </w:pPr>
    </w:p>
    <w:bookmarkStart w:id="7" w:name="page8"/>
    <w:bookmarkEnd w:id="7"/>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Operations (Unaudited)</w:t>
      </w:r>
    </w:p>
    <w:p>
      <w:pPr>
        <w:spacing w:after="0" w:line="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millions, except per share amounts)</w:t>
      </w:r>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42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20" w:type="dxa"/>
            <w:vAlign w:val="bottom"/>
            <w:gridSpan w:val="3"/>
          </w:tcPr>
          <w:p>
            <w:pPr>
              <w:ind w:left="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500" w:type="dxa"/>
            <w:vAlign w:val="bottom"/>
            <w:gridSpan w:val="4"/>
          </w:tcPr>
          <w:p>
            <w:pPr>
              <w:jc w:val="right"/>
              <w:ind w:right="654"/>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24"/>
        </w:trPr>
        <w:tc>
          <w:tcPr>
            <w:tcW w:w="4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6"/>
        </w:trPr>
        <w:tc>
          <w:tcPr>
            <w:tcW w:w="428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ind w:left="100"/>
              <w:spacing w:after="0" w:line="127"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26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ind w:left="160"/>
              <w:spacing w:after="0" w:line="127" w:lineRule="exact"/>
              <w:rPr>
                <w:sz w:val="20"/>
                <w:szCs w:val="20"/>
                <w:color w:val="auto"/>
              </w:rPr>
            </w:pPr>
            <w:r>
              <w:rPr>
                <w:rFonts w:ascii="Times New Roman" w:cs="Times New Roman" w:eastAsia="Times New Roman" w:hAnsi="Times New Roman"/>
                <w:sz w:val="14"/>
                <w:szCs w:val="14"/>
                <w:b w:val="1"/>
                <w:bCs w:val="1"/>
                <w:color w:val="auto"/>
              </w:rPr>
              <w:t>July 30,</w:t>
            </w:r>
          </w:p>
        </w:tc>
        <w:tc>
          <w:tcPr>
            <w:tcW w:w="20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tcPr>
          <w:p>
            <w:pPr>
              <w:jc w:val="right"/>
              <w:ind w:right="194"/>
              <w:spacing w:after="0" w:line="127" w:lineRule="exact"/>
              <w:rPr>
                <w:sz w:val="20"/>
                <w:szCs w:val="20"/>
                <w:color w:val="auto"/>
              </w:rPr>
            </w:pPr>
            <w:r>
              <w:rPr>
                <w:rFonts w:ascii="Times New Roman" w:cs="Times New Roman" w:eastAsia="Times New Roman" w:hAnsi="Times New Roman"/>
                <w:sz w:val="14"/>
                <w:szCs w:val="14"/>
                <w:b w:val="1"/>
                <w:bCs w:val="1"/>
                <w:color w:val="auto"/>
              </w:rPr>
              <w:t>October 30,</w:t>
            </w:r>
          </w:p>
        </w:tc>
        <w:tc>
          <w:tcPr>
            <w:tcW w:w="14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20" w:type="dxa"/>
            <w:vAlign w:val="bottom"/>
            <w:tcBorders>
              <w:top w:val="single" w:sz="8" w:color="auto"/>
            </w:tcBorders>
            <w:gridSpan w:val="2"/>
          </w:tcPr>
          <w:p>
            <w:pPr>
              <w:ind w:left="100"/>
              <w:spacing w:after="0" w:line="127"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20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tcPr>
          <w:p>
            <w:pPr>
              <w:jc w:val="right"/>
              <w:ind w:right="194"/>
              <w:spacing w:after="0" w:line="127" w:lineRule="exact"/>
              <w:rPr>
                <w:sz w:val="20"/>
                <w:szCs w:val="20"/>
                <w:color w:val="auto"/>
              </w:rPr>
            </w:pPr>
            <w:r>
              <w:rPr>
                <w:rFonts w:ascii="Times New Roman" w:cs="Times New Roman" w:eastAsia="Times New Roman" w:hAnsi="Times New Roman"/>
                <w:sz w:val="14"/>
                <w:szCs w:val="14"/>
                <w:b w:val="1"/>
                <w:bCs w:val="1"/>
                <w:color w:val="auto"/>
              </w:rPr>
              <w:t>October 30,</w:t>
            </w:r>
          </w:p>
        </w:tc>
        <w:tc>
          <w:tcPr>
            <w:tcW w:w="0" w:type="dxa"/>
            <w:vAlign w:val="bottom"/>
          </w:tcPr>
          <w:p>
            <w:pPr>
              <w:spacing w:after="0"/>
              <w:rPr>
                <w:sz w:val="1"/>
                <w:szCs w:val="1"/>
                <w:color w:val="auto"/>
              </w:rPr>
            </w:pPr>
          </w:p>
        </w:tc>
      </w:tr>
      <w:tr>
        <w:trPr>
          <w:trHeight w:val="190"/>
        </w:trPr>
        <w:tc>
          <w:tcPr>
            <w:tcW w:w="428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2021</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5"/>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4"/>
              <w:spacing w:after="0"/>
              <w:rPr>
                <w:sz w:val="20"/>
                <w:szCs w:val="20"/>
                <w:color w:val="auto"/>
              </w:rPr>
            </w:pPr>
            <w:r>
              <w:rPr>
                <w:rFonts w:ascii="Times New Roman" w:cs="Times New Roman" w:eastAsia="Times New Roman" w:hAnsi="Times New Roman"/>
                <w:sz w:val="14"/>
                <w:szCs w:val="14"/>
                <w:b w:val="1"/>
                <w:bCs w:val="1"/>
                <w:color w:val="auto"/>
              </w:rPr>
              <w:t>2021</w:t>
            </w:r>
          </w:p>
        </w:tc>
        <w:tc>
          <w:tcPr>
            <w:tcW w:w="0" w:type="dxa"/>
            <w:vAlign w:val="bottom"/>
          </w:tcPr>
          <w:p>
            <w:pPr>
              <w:spacing w:after="0"/>
              <w:rPr>
                <w:sz w:val="1"/>
                <w:szCs w:val="1"/>
                <w:color w:val="auto"/>
              </w:rPr>
            </w:pPr>
          </w:p>
        </w:tc>
      </w:tr>
      <w:tr>
        <w:trPr>
          <w:trHeight w:val="222"/>
        </w:trPr>
        <w:tc>
          <w:tcPr>
            <w:tcW w:w="42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Net revenue</w:t>
            </w: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1,537.3</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w:t>
            </w: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1,516.9</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1,211.2</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4,501.1</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3,119.4</w:t>
            </w:r>
          </w:p>
        </w:tc>
        <w:tc>
          <w:tcPr>
            <w:tcW w:w="0" w:type="dxa"/>
            <w:vAlign w:val="bottom"/>
          </w:tcPr>
          <w:p>
            <w:pPr>
              <w:spacing w:after="0"/>
              <w:rPr>
                <w:sz w:val="1"/>
                <w:szCs w:val="1"/>
                <w:color w:val="auto"/>
              </w:rPr>
            </w:pPr>
          </w:p>
        </w:tc>
      </w:tr>
      <w:tr>
        <w:trPr>
          <w:trHeight w:val="223"/>
        </w:trPr>
        <w:tc>
          <w:tcPr>
            <w:tcW w:w="4280" w:type="dxa"/>
            <w:vAlign w:val="bottom"/>
            <w:tcBorders>
              <w:bottom w:val="single" w:sz="8" w:color="CCEEFF"/>
            </w:tcBorders>
          </w:tcPr>
          <w:p>
            <w:pPr>
              <w:ind w:left="240"/>
              <w:spacing w:after="0"/>
              <w:rPr>
                <w:sz w:val="20"/>
                <w:szCs w:val="20"/>
                <w:color w:val="auto"/>
              </w:rPr>
            </w:pPr>
            <w:r>
              <w:rPr>
                <w:rFonts w:ascii="Times New Roman" w:cs="Times New Roman" w:eastAsia="Times New Roman" w:hAnsi="Times New Roman"/>
                <w:sz w:val="18"/>
                <w:szCs w:val="18"/>
                <w:color w:val="auto"/>
              </w:rPr>
              <w:t>Cost of goods sold</w:t>
            </w: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760.0</w:t>
            </w:r>
          </w:p>
        </w:tc>
        <w:tc>
          <w:tcPr>
            <w:tcW w:w="14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730.9</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623.4</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2,186.9</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1,741.6</w:t>
            </w:r>
          </w:p>
        </w:tc>
        <w:tc>
          <w:tcPr>
            <w:tcW w:w="0" w:type="dxa"/>
            <w:vAlign w:val="bottom"/>
          </w:tcPr>
          <w:p>
            <w:pPr>
              <w:spacing w:after="0"/>
              <w:rPr>
                <w:sz w:val="1"/>
                <w:szCs w:val="1"/>
                <w:color w:val="auto"/>
              </w:rPr>
            </w:pPr>
          </w:p>
        </w:tc>
      </w:tr>
      <w:tr>
        <w:trPr>
          <w:trHeight w:val="217"/>
        </w:trPr>
        <w:tc>
          <w:tcPr>
            <w:tcW w:w="42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Gross profit</w:t>
            </w: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777.3</w:t>
            </w:r>
          </w:p>
        </w:tc>
        <w:tc>
          <w:tcPr>
            <w:tcW w:w="14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786.0</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587.8</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2,314.2</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1,377.8</w:t>
            </w:r>
          </w:p>
        </w:tc>
        <w:tc>
          <w:tcPr>
            <w:tcW w:w="0" w:type="dxa"/>
            <w:vAlign w:val="bottom"/>
          </w:tcPr>
          <w:p>
            <w:pPr>
              <w:spacing w:after="0"/>
              <w:rPr>
                <w:sz w:val="1"/>
                <w:szCs w:val="1"/>
                <w:color w:val="auto"/>
              </w:rPr>
            </w:pPr>
          </w:p>
        </w:tc>
      </w:tr>
      <w:tr>
        <w:trPr>
          <w:trHeight w:val="243"/>
        </w:trPr>
        <w:tc>
          <w:tcPr>
            <w:tcW w:w="42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Operating expenses:</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28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448.1</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449.0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371.9</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1,341.2</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1,025.0</w:t>
            </w: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Selling, general and administrative</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207.8</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211.7</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243.4</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640.2</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704.1</w:t>
            </w:r>
          </w:p>
        </w:tc>
        <w:tc>
          <w:tcPr>
            <w:tcW w:w="0" w:type="dxa"/>
            <w:vAlign w:val="bottom"/>
          </w:tcPr>
          <w:p>
            <w:pPr>
              <w:spacing w:after="0"/>
              <w:rPr>
                <w:sz w:val="1"/>
                <w:szCs w:val="1"/>
                <w:color w:val="auto"/>
              </w:rPr>
            </w:pPr>
          </w:p>
        </w:tc>
      </w:tr>
      <w:tr>
        <w:trPr>
          <w:trHeight w:val="223"/>
        </w:trPr>
        <w:tc>
          <w:tcPr>
            <w:tcW w:w="428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Legal settlement (a)</w:t>
            </w:r>
          </w:p>
        </w:tc>
        <w:tc>
          <w:tcPr>
            <w:tcW w:w="200" w:type="dxa"/>
            <w:vAlign w:val="bottom"/>
          </w:tcPr>
          <w:p>
            <w:pPr>
              <w:spacing w:after="0"/>
              <w:rPr>
                <w:sz w:val="19"/>
                <w:szCs w:val="19"/>
                <w:color w:val="auto"/>
              </w:rPr>
            </w:pPr>
          </w:p>
        </w:tc>
        <w:tc>
          <w:tcPr>
            <w:tcW w:w="12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85.0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100.0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Restructuring related charges</w:t>
            </w: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15.6</w:t>
            </w:r>
          </w:p>
        </w:tc>
        <w:tc>
          <w:tcPr>
            <w:tcW w:w="14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18.1</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31.1</w:t>
            </w:r>
          </w:p>
        </w:tc>
        <w:tc>
          <w:tcPr>
            <w:tcW w:w="0" w:type="dxa"/>
            <w:vAlign w:val="bottom"/>
          </w:tcPr>
          <w:p>
            <w:pPr>
              <w:spacing w:after="0"/>
              <w:rPr>
                <w:sz w:val="1"/>
                <w:szCs w:val="1"/>
                <w:color w:val="auto"/>
              </w:rPr>
            </w:pPr>
          </w:p>
        </w:tc>
      </w:tr>
      <w:tr>
        <w:trPr>
          <w:trHeight w:val="217"/>
        </w:trPr>
        <w:tc>
          <w:tcPr>
            <w:tcW w:w="4280" w:type="dxa"/>
            <w:vAlign w:val="bottom"/>
            <w:tcBorders>
              <w:bottom w:val="single" w:sz="8" w:color="CCEEFF"/>
            </w:tcBorders>
          </w:tcPr>
          <w:p>
            <w:pPr>
              <w:ind w:left="920"/>
              <w:spacing w:after="0"/>
              <w:rPr>
                <w:sz w:val="20"/>
                <w:szCs w:val="20"/>
                <w:color w:val="auto"/>
              </w:rPr>
            </w:pPr>
            <w:r>
              <w:rPr>
                <w:rFonts w:ascii="Times New Roman" w:cs="Times New Roman" w:eastAsia="Times New Roman" w:hAnsi="Times New Roman"/>
                <w:sz w:val="18"/>
                <w:szCs w:val="18"/>
                <w:color w:val="auto"/>
              </w:rPr>
              <w:t>Total operating expenses</w:t>
            </w:r>
          </w:p>
        </w:tc>
        <w:tc>
          <w:tcPr>
            <w:tcW w:w="20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671.5</w:t>
            </w:r>
          </w:p>
        </w:tc>
        <w:tc>
          <w:tcPr>
            <w:tcW w:w="14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746.9</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621.2</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2,099.5</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1,760.2</w:t>
            </w:r>
          </w:p>
        </w:tc>
        <w:tc>
          <w:tcPr>
            <w:tcW w:w="0" w:type="dxa"/>
            <w:vAlign w:val="bottom"/>
          </w:tcPr>
          <w:p>
            <w:pPr>
              <w:spacing w:after="0"/>
              <w:rPr>
                <w:sz w:val="1"/>
                <w:szCs w:val="1"/>
                <w:color w:val="auto"/>
              </w:rPr>
            </w:pPr>
          </w:p>
        </w:tc>
      </w:tr>
      <w:tr>
        <w:trPr>
          <w:trHeight w:val="217"/>
        </w:trPr>
        <w:tc>
          <w:tcPr>
            <w:tcW w:w="4280" w:type="dxa"/>
            <w:vAlign w:val="bottom"/>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Operating income (loss)</w:t>
            </w: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105.8</w:t>
            </w:r>
          </w:p>
        </w:tc>
        <w:tc>
          <w:tcPr>
            <w:tcW w:w="1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39.1</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(33.4)</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214.7</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(382.4)</w:t>
            </w:r>
          </w:p>
        </w:tc>
        <w:tc>
          <w:tcPr>
            <w:tcW w:w="0" w:type="dxa"/>
            <w:vAlign w:val="bottom"/>
          </w:tcPr>
          <w:p>
            <w:pPr>
              <w:spacing w:after="0"/>
              <w:rPr>
                <w:sz w:val="1"/>
                <w:szCs w:val="1"/>
                <w:color w:val="auto"/>
              </w:rPr>
            </w:pPr>
          </w:p>
        </w:tc>
      </w:tr>
      <w:tr>
        <w:trPr>
          <w:trHeight w:val="223"/>
        </w:trPr>
        <w:tc>
          <w:tcPr>
            <w:tcW w:w="4280" w:type="dxa"/>
            <w:vAlign w:val="bottom"/>
          </w:tcPr>
          <w:p>
            <w:pPr>
              <w:ind w:left="500"/>
              <w:spacing w:after="0"/>
              <w:rPr>
                <w:sz w:val="20"/>
                <w:szCs w:val="20"/>
                <w:color w:val="auto"/>
              </w:rPr>
            </w:pPr>
            <w:r>
              <w:rPr>
                <w:rFonts w:ascii="Times New Roman" w:cs="Times New Roman" w:eastAsia="Times New Roman" w:hAnsi="Times New Roman"/>
                <w:sz w:val="18"/>
                <w:szCs w:val="18"/>
                <w:color w:val="auto"/>
              </w:rPr>
              <w:t>Interest income</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w:t>
            </w: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0.8</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0.6</w:t>
            </w: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Interest expense</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(45.2)</w:t>
            </w: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(39.8)</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(35.4)</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(121.3)</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(104.3)</w:t>
            </w:r>
          </w:p>
        </w:tc>
        <w:tc>
          <w:tcPr>
            <w:tcW w:w="0" w:type="dxa"/>
            <w:vAlign w:val="bottom"/>
          </w:tcPr>
          <w:p>
            <w:pPr>
              <w:spacing w:after="0"/>
              <w:rPr>
                <w:sz w:val="1"/>
                <w:szCs w:val="1"/>
                <w:color w:val="auto"/>
              </w:rPr>
            </w:pPr>
          </w:p>
        </w:tc>
      </w:tr>
      <w:tr>
        <w:trPr>
          <w:trHeight w:val="223"/>
        </w:trPr>
        <w:tc>
          <w:tcPr>
            <w:tcW w:w="4280" w:type="dxa"/>
            <w:vAlign w:val="bottom"/>
            <w:tcBorders>
              <w:bottom w:val="single" w:sz="8" w:color="CCEEFF"/>
            </w:tcBorders>
          </w:tcPr>
          <w:p>
            <w:pPr>
              <w:ind w:left="500"/>
              <w:spacing w:after="0"/>
              <w:rPr>
                <w:sz w:val="20"/>
                <w:szCs w:val="20"/>
                <w:color w:val="auto"/>
              </w:rPr>
            </w:pPr>
            <w:r>
              <w:rPr>
                <w:rFonts w:ascii="Times New Roman" w:cs="Times New Roman" w:eastAsia="Times New Roman" w:hAnsi="Times New Roman"/>
                <w:sz w:val="18"/>
                <w:szCs w:val="18"/>
                <w:color w:val="auto"/>
              </w:rPr>
              <w:t>Other income (loss), net</w:t>
            </w: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14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12.1</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0" w:type="dxa"/>
            <w:vAlign w:val="bottom"/>
          </w:tcPr>
          <w:p>
            <w:pPr>
              <w:spacing w:after="0"/>
              <w:rPr>
                <w:sz w:val="1"/>
                <w:szCs w:val="1"/>
                <w:color w:val="auto"/>
              </w:rPr>
            </w:pPr>
          </w:p>
        </w:tc>
      </w:tr>
      <w:tr>
        <w:trPr>
          <w:trHeight w:val="217"/>
        </w:trPr>
        <w:tc>
          <w:tcPr>
            <w:tcW w:w="4280" w:type="dxa"/>
            <w:vAlign w:val="bottom"/>
            <w:shd w:val="clear" w:color="auto" w:fill="CCEEFF"/>
          </w:tcPr>
          <w:p>
            <w:pPr>
              <w:ind w:left="920"/>
              <w:spacing w:after="0"/>
              <w:rPr>
                <w:sz w:val="20"/>
                <w:szCs w:val="20"/>
                <w:color w:val="auto"/>
              </w:rPr>
            </w:pPr>
            <w:r>
              <w:rPr>
                <w:rFonts w:ascii="Times New Roman" w:cs="Times New Roman" w:eastAsia="Times New Roman" w:hAnsi="Times New Roman"/>
                <w:sz w:val="18"/>
                <w:szCs w:val="18"/>
                <w:color w:val="auto"/>
              </w:rPr>
              <w:t>Interest and other income (loss), net</w:t>
            </w: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(40.5)</w:t>
            </w:r>
          </w:p>
        </w:tc>
        <w:tc>
          <w:tcPr>
            <w:tcW w:w="140" w:type="dxa"/>
            <w:vAlign w:val="bottom"/>
            <w:shd w:val="clear" w:color="auto" w:fill="CCEEFF"/>
          </w:tcPr>
          <w:p>
            <w:pPr>
              <w:spacing w:after="0"/>
              <w:rPr>
                <w:sz w:val="18"/>
                <w:szCs w:val="18"/>
                <w:color w:val="auto"/>
              </w:rPr>
            </w:pPr>
          </w:p>
        </w:tc>
        <w:tc>
          <w:tcPr>
            <w:tcW w:w="26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(35.3)</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(34.2)</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(106.4)</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(103.2)</w:t>
            </w:r>
          </w:p>
        </w:tc>
        <w:tc>
          <w:tcPr>
            <w:tcW w:w="0" w:type="dxa"/>
            <w:vAlign w:val="bottom"/>
          </w:tcPr>
          <w:p>
            <w:pPr>
              <w:spacing w:after="0"/>
              <w:rPr>
                <w:sz w:val="1"/>
                <w:szCs w:val="1"/>
                <w:color w:val="auto"/>
              </w:rPr>
            </w:pPr>
          </w:p>
        </w:tc>
      </w:tr>
      <w:tr>
        <w:trPr>
          <w:trHeight w:val="217"/>
        </w:trPr>
        <w:tc>
          <w:tcPr>
            <w:tcW w:w="428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Income (loss) before income taxes</w:t>
            </w: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65.3</w:t>
            </w:r>
          </w:p>
        </w:tc>
        <w:tc>
          <w:tcPr>
            <w:tcW w:w="1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(67.6)</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108.3</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(485.6)</w:t>
            </w:r>
          </w:p>
        </w:tc>
        <w:tc>
          <w:tcPr>
            <w:tcW w:w="0" w:type="dxa"/>
            <w:vAlign w:val="bottom"/>
          </w:tcPr>
          <w:p>
            <w:pPr>
              <w:spacing w:after="0"/>
              <w:rPr>
                <w:sz w:val="1"/>
                <w:szCs w:val="1"/>
                <w:color w:val="auto"/>
              </w:rPr>
            </w:pPr>
          </w:p>
        </w:tc>
      </w:tr>
      <w:tr>
        <w:trPr>
          <w:trHeight w:val="223"/>
        </w:trPr>
        <w:tc>
          <w:tcPr>
            <w:tcW w:w="4280" w:type="dxa"/>
            <w:vAlign w:val="bottom"/>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52.0</w:t>
            </w:r>
          </w:p>
        </w:tc>
        <w:tc>
          <w:tcPr>
            <w:tcW w:w="14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256.4</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(58.4)</w:t>
            </w:r>
          </w:p>
        </w:tc>
        <w:tc>
          <w:tcPr>
            <w:tcW w:w="0" w:type="dxa"/>
            <w:vAlign w:val="bottom"/>
          </w:tcPr>
          <w:p>
            <w:pPr>
              <w:spacing w:after="0"/>
              <w:rPr>
                <w:sz w:val="1"/>
                <w:szCs w:val="1"/>
                <w:color w:val="auto"/>
              </w:rPr>
            </w:pPr>
          </w:p>
        </w:tc>
      </w:tr>
      <w:tr>
        <w:trPr>
          <w:trHeight w:val="190"/>
        </w:trPr>
        <w:tc>
          <w:tcPr>
            <w:tcW w:w="4280" w:type="dxa"/>
            <w:vAlign w:val="bottom"/>
          </w:tcPr>
          <w:p>
            <w:pPr>
              <w:ind w:left="280"/>
              <w:spacing w:after="0" w:line="190" w:lineRule="exact"/>
              <w:rPr>
                <w:sz w:val="20"/>
                <w:szCs w:val="20"/>
                <w:color w:val="auto"/>
              </w:rPr>
            </w:pPr>
            <w:r>
              <w:rPr>
                <w:rFonts w:ascii="Times New Roman" w:cs="Times New Roman" w:eastAsia="Times New Roman" w:hAnsi="Times New Roman"/>
                <w:sz w:val="18"/>
                <w:szCs w:val="18"/>
                <w:color w:val="auto"/>
              </w:rPr>
              <w:t>Net income (loss)</w:t>
            </w:r>
          </w:p>
        </w:tc>
        <w:tc>
          <w:tcPr>
            <w:tcW w:w="20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13.3</w:t>
            </w:r>
          </w:p>
        </w:tc>
        <w:tc>
          <w:tcPr>
            <w:tcW w:w="140" w:type="dxa"/>
            <w:vAlign w:val="bottom"/>
          </w:tcPr>
          <w:p>
            <w:pPr>
              <w:spacing w:after="0"/>
              <w:rPr>
                <w:sz w:val="16"/>
                <w:szCs w:val="16"/>
                <w:color w:val="auto"/>
              </w:rPr>
            </w:pPr>
          </w:p>
        </w:tc>
        <w:tc>
          <w:tcPr>
            <w:tcW w:w="260" w:type="dxa"/>
            <w:vAlign w:val="bottom"/>
            <w:tcBorders>
              <w:bottom w:val="single" w:sz="8" w:color="auto"/>
            </w:tcBorders>
          </w:tcPr>
          <w:p>
            <w:pPr>
              <w:ind w:left="20"/>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4.3</w:t>
            </w:r>
          </w:p>
        </w:tc>
        <w:tc>
          <w:tcPr>
            <w:tcW w:w="140" w:type="dxa"/>
            <w:vAlign w:val="bottom"/>
          </w:tcPr>
          <w:p>
            <w:pPr>
              <w:spacing w:after="0"/>
              <w:rPr>
                <w:sz w:val="16"/>
                <w:szCs w:val="16"/>
                <w:color w:val="auto"/>
              </w:rPr>
            </w:pPr>
          </w:p>
        </w:tc>
        <w:tc>
          <w:tcPr>
            <w:tcW w:w="20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(62.6)</w:t>
            </w:r>
          </w:p>
        </w:tc>
        <w:tc>
          <w:tcPr>
            <w:tcW w:w="140" w:type="dxa"/>
            <w:vAlign w:val="bottom"/>
          </w:tcPr>
          <w:p>
            <w:pPr>
              <w:spacing w:after="0"/>
              <w:rPr>
                <w:sz w:val="16"/>
                <w:szCs w:val="16"/>
                <w:color w:val="auto"/>
              </w:rPr>
            </w:pPr>
          </w:p>
        </w:tc>
        <w:tc>
          <w:tcPr>
            <w:tcW w:w="20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(148.1)</w:t>
            </w:r>
          </w:p>
        </w:tc>
        <w:tc>
          <w:tcPr>
            <w:tcW w:w="140" w:type="dxa"/>
            <w:vAlign w:val="bottom"/>
          </w:tcPr>
          <w:p>
            <w:pPr>
              <w:spacing w:after="0"/>
              <w:rPr>
                <w:sz w:val="16"/>
                <w:szCs w:val="16"/>
                <w:color w:val="auto"/>
              </w:rPr>
            </w:pPr>
          </w:p>
        </w:tc>
        <w:tc>
          <w:tcPr>
            <w:tcW w:w="20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0" w:lineRule="exact"/>
              <w:rPr>
                <w:sz w:val="20"/>
                <w:szCs w:val="20"/>
                <w:color w:val="auto"/>
              </w:rPr>
            </w:pPr>
            <w:r>
              <w:rPr>
                <w:rFonts w:ascii="Times New Roman" w:cs="Times New Roman" w:eastAsia="Times New Roman" w:hAnsi="Times New Roman"/>
                <w:sz w:val="18"/>
                <w:szCs w:val="18"/>
                <w:color w:val="auto"/>
              </w:rPr>
              <w:t>(427.2)</w:t>
            </w:r>
          </w:p>
        </w:tc>
        <w:tc>
          <w:tcPr>
            <w:tcW w:w="0" w:type="dxa"/>
            <w:vAlign w:val="bottom"/>
          </w:tcPr>
          <w:p>
            <w:pPr>
              <w:spacing w:after="0"/>
              <w:rPr>
                <w:sz w:val="1"/>
                <w:szCs w:val="1"/>
                <w:color w:val="auto"/>
              </w:rPr>
            </w:pPr>
          </w:p>
        </w:tc>
      </w:tr>
      <w:tr>
        <w:trPr>
          <w:trHeight w:val="20"/>
        </w:trPr>
        <w:tc>
          <w:tcPr>
            <w:tcW w:w="428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97"/>
        </w:trPr>
        <w:tc>
          <w:tcPr>
            <w:tcW w:w="4280" w:type="dxa"/>
            <w:vAlign w:val="bottom"/>
          </w:tcPr>
          <w:p>
            <w:pPr>
              <w:ind w:left="280"/>
              <w:spacing w:after="0" w:line="197" w:lineRule="exact"/>
              <w:rPr>
                <w:sz w:val="20"/>
                <w:szCs w:val="20"/>
                <w:color w:val="auto"/>
              </w:rPr>
            </w:pPr>
            <w:r>
              <w:rPr>
                <w:rFonts w:ascii="Times New Roman" w:cs="Times New Roman" w:eastAsia="Times New Roman" w:hAnsi="Times New Roman"/>
                <w:sz w:val="18"/>
                <w:szCs w:val="18"/>
                <w:color w:val="auto"/>
              </w:rPr>
              <w:t>Net income (loss) per share — basic:</w:t>
            </w:r>
          </w:p>
        </w:tc>
        <w:tc>
          <w:tcPr>
            <w:tcW w:w="20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0.02</w:t>
            </w:r>
          </w:p>
        </w:tc>
        <w:tc>
          <w:tcPr>
            <w:tcW w:w="140" w:type="dxa"/>
            <w:vAlign w:val="bottom"/>
          </w:tcPr>
          <w:p>
            <w:pPr>
              <w:spacing w:after="0"/>
              <w:rPr>
                <w:sz w:val="17"/>
                <w:szCs w:val="17"/>
                <w:color w:val="auto"/>
              </w:rPr>
            </w:pPr>
          </w:p>
        </w:tc>
        <w:tc>
          <w:tcPr>
            <w:tcW w:w="260" w:type="dxa"/>
            <w:vAlign w:val="bottom"/>
            <w:tcBorders>
              <w:bottom w:val="single" w:sz="8" w:color="auto"/>
            </w:tcBorders>
          </w:tcPr>
          <w:p>
            <w:pPr>
              <w:ind w:left="20"/>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0.01</w:t>
            </w:r>
          </w:p>
        </w:tc>
        <w:tc>
          <w:tcPr>
            <w:tcW w:w="140" w:type="dxa"/>
            <w:vAlign w:val="bottom"/>
          </w:tcPr>
          <w:p>
            <w:pPr>
              <w:spacing w:after="0"/>
              <w:rPr>
                <w:sz w:val="17"/>
                <w:szCs w:val="17"/>
                <w:color w:val="auto"/>
              </w:rPr>
            </w:pPr>
          </w:p>
        </w:tc>
        <w:tc>
          <w:tcPr>
            <w:tcW w:w="20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(0.08)</w:t>
            </w:r>
          </w:p>
        </w:tc>
        <w:tc>
          <w:tcPr>
            <w:tcW w:w="140" w:type="dxa"/>
            <w:vAlign w:val="bottom"/>
          </w:tcPr>
          <w:p>
            <w:pPr>
              <w:spacing w:after="0"/>
              <w:rPr>
                <w:sz w:val="17"/>
                <w:szCs w:val="17"/>
                <w:color w:val="auto"/>
              </w:rPr>
            </w:pPr>
          </w:p>
        </w:tc>
        <w:tc>
          <w:tcPr>
            <w:tcW w:w="20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(0.17)</w:t>
            </w:r>
          </w:p>
        </w:tc>
        <w:tc>
          <w:tcPr>
            <w:tcW w:w="140" w:type="dxa"/>
            <w:vAlign w:val="bottom"/>
          </w:tcPr>
          <w:p>
            <w:pPr>
              <w:spacing w:after="0"/>
              <w:rPr>
                <w:sz w:val="17"/>
                <w:szCs w:val="17"/>
                <w:color w:val="auto"/>
              </w:rPr>
            </w:pPr>
          </w:p>
        </w:tc>
        <w:tc>
          <w:tcPr>
            <w:tcW w:w="20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(0.55)</w:t>
            </w:r>
          </w:p>
        </w:tc>
        <w:tc>
          <w:tcPr>
            <w:tcW w:w="0" w:type="dxa"/>
            <w:vAlign w:val="bottom"/>
          </w:tcPr>
          <w:p>
            <w:pPr>
              <w:spacing w:after="0"/>
              <w:rPr>
                <w:sz w:val="1"/>
                <w:szCs w:val="1"/>
                <w:color w:val="auto"/>
              </w:rPr>
            </w:pPr>
          </w:p>
        </w:tc>
      </w:tr>
      <w:tr>
        <w:trPr>
          <w:trHeight w:val="20"/>
        </w:trPr>
        <w:tc>
          <w:tcPr>
            <w:tcW w:w="428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97"/>
        </w:trPr>
        <w:tc>
          <w:tcPr>
            <w:tcW w:w="4280" w:type="dxa"/>
            <w:vAlign w:val="bottom"/>
          </w:tcPr>
          <w:p>
            <w:pPr>
              <w:ind w:left="280"/>
              <w:spacing w:after="0" w:line="197" w:lineRule="exact"/>
              <w:rPr>
                <w:sz w:val="20"/>
                <w:szCs w:val="20"/>
                <w:color w:val="auto"/>
              </w:rPr>
            </w:pPr>
            <w:r>
              <w:rPr>
                <w:rFonts w:ascii="Times New Roman" w:cs="Times New Roman" w:eastAsia="Times New Roman" w:hAnsi="Times New Roman"/>
                <w:sz w:val="18"/>
                <w:szCs w:val="18"/>
                <w:color w:val="auto"/>
              </w:rPr>
              <w:t>Net income (loss) per share — diluted:</w:t>
            </w:r>
          </w:p>
        </w:tc>
        <w:tc>
          <w:tcPr>
            <w:tcW w:w="20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0.02</w:t>
            </w:r>
          </w:p>
        </w:tc>
        <w:tc>
          <w:tcPr>
            <w:tcW w:w="140" w:type="dxa"/>
            <w:vAlign w:val="bottom"/>
          </w:tcPr>
          <w:p>
            <w:pPr>
              <w:spacing w:after="0"/>
              <w:rPr>
                <w:sz w:val="17"/>
                <w:szCs w:val="17"/>
                <w:color w:val="auto"/>
              </w:rPr>
            </w:pPr>
          </w:p>
        </w:tc>
        <w:tc>
          <w:tcPr>
            <w:tcW w:w="260" w:type="dxa"/>
            <w:vAlign w:val="bottom"/>
            <w:tcBorders>
              <w:bottom w:val="single" w:sz="8" w:color="auto"/>
            </w:tcBorders>
          </w:tcPr>
          <w:p>
            <w:pPr>
              <w:ind w:left="20"/>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2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0.01</w:t>
            </w:r>
          </w:p>
        </w:tc>
        <w:tc>
          <w:tcPr>
            <w:tcW w:w="140" w:type="dxa"/>
            <w:vAlign w:val="bottom"/>
          </w:tcPr>
          <w:p>
            <w:pPr>
              <w:spacing w:after="0"/>
              <w:rPr>
                <w:sz w:val="17"/>
                <w:szCs w:val="17"/>
                <w:color w:val="auto"/>
              </w:rPr>
            </w:pPr>
          </w:p>
        </w:tc>
        <w:tc>
          <w:tcPr>
            <w:tcW w:w="20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(0.08)</w:t>
            </w:r>
          </w:p>
        </w:tc>
        <w:tc>
          <w:tcPr>
            <w:tcW w:w="140" w:type="dxa"/>
            <w:vAlign w:val="bottom"/>
          </w:tcPr>
          <w:p>
            <w:pPr>
              <w:spacing w:after="0"/>
              <w:rPr>
                <w:sz w:val="17"/>
                <w:szCs w:val="17"/>
                <w:color w:val="auto"/>
              </w:rPr>
            </w:pPr>
          </w:p>
        </w:tc>
        <w:tc>
          <w:tcPr>
            <w:tcW w:w="20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(0.17)</w:t>
            </w:r>
          </w:p>
        </w:tc>
        <w:tc>
          <w:tcPr>
            <w:tcW w:w="140" w:type="dxa"/>
            <w:vAlign w:val="bottom"/>
          </w:tcPr>
          <w:p>
            <w:pPr>
              <w:spacing w:after="0"/>
              <w:rPr>
                <w:sz w:val="17"/>
                <w:szCs w:val="17"/>
                <w:color w:val="auto"/>
              </w:rPr>
            </w:pPr>
          </w:p>
        </w:tc>
        <w:tc>
          <w:tcPr>
            <w:tcW w:w="20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w:t>
            </w:r>
          </w:p>
        </w:tc>
        <w:tc>
          <w:tcPr>
            <w:tcW w:w="1080" w:type="dxa"/>
            <w:vAlign w:val="bottom"/>
            <w:tcBorders>
              <w:bottom w:val="single" w:sz="8" w:color="auto"/>
            </w:tcBorders>
          </w:tcPr>
          <w:p>
            <w:pPr>
              <w:jc w:val="right"/>
              <w:spacing w:after="0" w:line="197" w:lineRule="exact"/>
              <w:rPr>
                <w:sz w:val="20"/>
                <w:szCs w:val="20"/>
                <w:color w:val="auto"/>
              </w:rPr>
            </w:pPr>
            <w:r>
              <w:rPr>
                <w:rFonts w:ascii="Times New Roman" w:cs="Times New Roman" w:eastAsia="Times New Roman" w:hAnsi="Times New Roman"/>
                <w:sz w:val="18"/>
                <w:szCs w:val="18"/>
                <w:color w:val="auto"/>
              </w:rPr>
              <w:t>(0.55)</w:t>
            </w:r>
          </w:p>
        </w:tc>
        <w:tc>
          <w:tcPr>
            <w:tcW w:w="0" w:type="dxa"/>
            <w:vAlign w:val="bottom"/>
          </w:tcPr>
          <w:p>
            <w:pPr>
              <w:spacing w:after="0"/>
              <w:rPr>
                <w:sz w:val="1"/>
                <w:szCs w:val="1"/>
                <w:color w:val="auto"/>
              </w:rPr>
            </w:pPr>
          </w:p>
        </w:tc>
      </w:tr>
      <w:tr>
        <w:trPr>
          <w:trHeight w:val="20"/>
        </w:trPr>
        <w:tc>
          <w:tcPr>
            <w:tcW w:w="428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2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280" w:type="dxa"/>
            <w:vAlign w:val="bottom"/>
          </w:tcPr>
          <w:p>
            <w:pPr>
              <w:ind w:left="280"/>
              <w:spacing w:after="0"/>
              <w:rPr>
                <w:sz w:val="20"/>
                <w:szCs w:val="20"/>
                <w:color w:val="auto"/>
              </w:rPr>
            </w:pPr>
            <w:r>
              <w:rPr>
                <w:rFonts w:ascii="Times New Roman" w:cs="Times New Roman" w:eastAsia="Times New Roman" w:hAnsi="Times New Roman"/>
                <w:sz w:val="18"/>
                <w:szCs w:val="18"/>
                <w:color w:val="auto"/>
              </w:rPr>
              <w:t>Weighted average shares:</w:t>
            </w:r>
          </w:p>
        </w:tc>
        <w:tc>
          <w:tcPr>
            <w:tcW w:w="2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8"/>
        </w:trPr>
        <w:tc>
          <w:tcPr>
            <w:tcW w:w="4280" w:type="dxa"/>
            <w:vAlign w:val="bottom"/>
            <w:tcBorders>
              <w:bottom w:val="single" w:sz="8" w:color="CCEEFF"/>
            </w:tcBorders>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Basic</w:t>
            </w:r>
          </w:p>
        </w:tc>
        <w:tc>
          <w:tcPr>
            <w:tcW w:w="200" w:type="dxa"/>
            <w:vAlign w:val="bottom"/>
            <w:tcBorders>
              <w:bottom w:val="single" w:sz="8" w:color="auto"/>
            </w:tcBorders>
            <w:shd w:val="clear" w:color="auto" w:fill="CCEEFF"/>
          </w:tcPr>
          <w:p>
            <w:pPr>
              <w:spacing w:after="0"/>
              <w:rPr>
                <w:sz w:val="21"/>
                <w:szCs w:val="21"/>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852.6</w:t>
            </w:r>
          </w:p>
        </w:tc>
        <w:tc>
          <w:tcPr>
            <w:tcW w:w="14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spacing w:after="0"/>
              <w:rPr>
                <w:sz w:val="21"/>
                <w:szCs w:val="21"/>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850.9</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828.6</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850.5</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781.0</w:t>
            </w:r>
          </w:p>
        </w:tc>
        <w:tc>
          <w:tcPr>
            <w:tcW w:w="0" w:type="dxa"/>
            <w:vAlign w:val="bottom"/>
          </w:tcPr>
          <w:p>
            <w:pPr>
              <w:spacing w:after="0"/>
              <w:rPr>
                <w:sz w:val="1"/>
                <w:szCs w:val="1"/>
                <w:color w:val="auto"/>
              </w:rPr>
            </w:pPr>
          </w:p>
        </w:tc>
      </w:tr>
      <w:tr>
        <w:trPr>
          <w:trHeight w:val="20"/>
        </w:trPr>
        <w:tc>
          <w:tcPr>
            <w:tcW w:w="4280" w:type="dxa"/>
            <w:vAlign w:val="bottom"/>
            <w:tcBorders>
              <w:top w:val="single" w:sz="8" w:color="CCEEFF"/>
              <w:bottom w:val="single" w:sz="8" w:color="CCEEFF"/>
            </w:tcBorders>
            <w:vMerge w:val="restart"/>
          </w:tcPr>
          <w:p>
            <w:pPr>
              <w:ind w:left="500"/>
              <w:spacing w:after="0"/>
              <w:rPr>
                <w:sz w:val="20"/>
                <w:szCs w:val="20"/>
                <w:color w:val="auto"/>
              </w:rPr>
            </w:pPr>
            <w:r>
              <w:rPr>
                <w:rFonts w:ascii="Times New Roman" w:cs="Times New Roman" w:eastAsia="Times New Roman" w:hAnsi="Times New Roman"/>
                <w:sz w:val="18"/>
                <w:szCs w:val="18"/>
                <w:color w:val="auto"/>
              </w:rPr>
              <w:t>Diluted</w:t>
            </w: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80" w:type="dxa"/>
            <w:vAlign w:val="bottom"/>
            <w:vMerge w:val="continue"/>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8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858.4</w:t>
            </w:r>
          </w:p>
        </w:tc>
        <w:tc>
          <w:tcPr>
            <w:tcW w:w="14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857.9</w:t>
            </w:r>
          </w:p>
        </w:tc>
        <w:tc>
          <w:tcPr>
            <w:tcW w:w="14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8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828.6</w:t>
            </w:r>
          </w:p>
        </w:tc>
        <w:tc>
          <w:tcPr>
            <w:tcW w:w="14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8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850.5</w:t>
            </w:r>
          </w:p>
        </w:tc>
        <w:tc>
          <w:tcPr>
            <w:tcW w:w="14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8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781.0</w:t>
            </w:r>
          </w:p>
        </w:tc>
        <w:tc>
          <w:tcPr>
            <w:tcW w:w="0" w:type="dxa"/>
            <w:vAlign w:val="bottom"/>
          </w:tcPr>
          <w:p>
            <w:pPr>
              <w:spacing w:after="0"/>
              <w:rPr>
                <w:sz w:val="1"/>
                <w:szCs w:val="1"/>
                <w:color w:val="auto"/>
              </w:rPr>
            </w:pPr>
          </w:p>
        </w:tc>
      </w:tr>
      <w:tr>
        <w:trPr>
          <w:trHeight w:val="20"/>
        </w:trPr>
        <w:tc>
          <w:tcPr>
            <w:tcW w:w="428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3" w:lineRule="exact"/>
        <w:rPr>
          <w:sz w:val="20"/>
          <w:szCs w:val="20"/>
          <w:color w:val="auto"/>
        </w:rPr>
      </w:pPr>
    </w:p>
    <w:p>
      <w:pPr>
        <w:ind w:left="440" w:hanging="417"/>
        <w:spacing w:after="0"/>
        <w:tabs>
          <w:tab w:leader="none" w:pos="440" w:val="left"/>
        </w:tabs>
        <w:numPr>
          <w:ilvl w:val="0"/>
          <w:numId w:val="5"/>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Relates to a settlement of a contractual dispute.</w:t>
      </w:r>
    </w:p>
    <w:p>
      <w:pPr>
        <w:sectPr>
          <w:pgSz w:w="11900" w:h="16838" w:orient="portrait"/>
          <w:cols w:equalWidth="0" w:num="1">
            <w:col w:w="11240"/>
          </w:cols>
          <w:pgMar w:left="320" w:top="750" w:right="339" w:bottom="1440" w:gutter="0" w:footer="0" w:header="0"/>
        </w:sectPr>
      </w:pPr>
    </w:p>
    <w:bookmarkStart w:id="8" w:name="page9"/>
    <w:bookmarkEnd w:id="8"/>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1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Condensed Consolidated Balance Sheets (Unaudited)</w:t>
      </w:r>
    </w:p>
    <w:p>
      <w:pPr>
        <w:spacing w:after="0" w:line="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(In millions)</w:t>
      </w:r>
    </w:p>
    <w:tbl>
      <w:tblPr>
        <w:tblLayout w:type="fixed"/>
        <w:tblInd w:w="0" w:type="dxa"/>
        <w:tblCellMar>
          <w:top w:w="0" w:type="dxa"/>
          <w:left w:w="0" w:type="dxa"/>
          <w:bottom w:w="0" w:type="dxa"/>
          <w:right w:w="0" w:type="dxa"/>
        </w:tblCellMar>
      </w:tblPr>
      <w:tr>
        <w:trPr>
          <w:trHeight w:val="150"/>
        </w:trPr>
        <w:tc>
          <w:tcPr>
            <w:tcW w:w="77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540" w:type="dxa"/>
            <w:vAlign w:val="bottom"/>
            <w:gridSpan w:val="2"/>
          </w:tcPr>
          <w:p>
            <w:pPr>
              <w:ind w:left="160"/>
              <w:spacing w:after="0" w:line="150"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280" w:type="dxa"/>
            <w:vAlign w:val="bottom"/>
          </w:tcPr>
          <w:p>
            <w:pPr>
              <w:spacing w:after="0"/>
              <w:rPr>
                <w:sz w:val="13"/>
                <w:szCs w:val="13"/>
                <w:color w:val="auto"/>
              </w:rPr>
            </w:pPr>
          </w:p>
        </w:tc>
        <w:tc>
          <w:tcPr>
            <w:tcW w:w="1320" w:type="dxa"/>
            <w:vAlign w:val="bottom"/>
          </w:tcPr>
          <w:p>
            <w:pPr>
              <w:jc w:val="right"/>
              <w:ind w:right="354"/>
              <w:spacing w:after="0" w:line="150" w:lineRule="exact"/>
              <w:rPr>
                <w:sz w:val="20"/>
                <w:szCs w:val="20"/>
                <w:color w:val="auto"/>
              </w:rPr>
            </w:pPr>
            <w:r>
              <w:rPr>
                <w:rFonts w:ascii="Times New Roman" w:cs="Times New Roman" w:eastAsia="Times New Roman" w:hAnsi="Times New Roman"/>
                <w:sz w:val="14"/>
                <w:szCs w:val="14"/>
                <w:b w:val="1"/>
                <w:bCs w:val="1"/>
                <w:color w:val="auto"/>
              </w:rPr>
              <w:t>January 29,</w:t>
            </w:r>
          </w:p>
        </w:tc>
      </w:tr>
      <w:tr>
        <w:trPr>
          <w:trHeight w:val="190"/>
        </w:trPr>
        <w:tc>
          <w:tcPr>
            <w:tcW w:w="77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574"/>
              <w:spacing w:after="0"/>
              <w:rPr>
                <w:sz w:val="20"/>
                <w:szCs w:val="20"/>
                <w:color w:val="auto"/>
              </w:rPr>
            </w:pPr>
            <w:r>
              <w:rPr>
                <w:rFonts w:ascii="Times New Roman" w:cs="Times New Roman" w:eastAsia="Times New Roman" w:hAnsi="Times New Roman"/>
                <w:sz w:val="14"/>
                <w:szCs w:val="14"/>
                <w:b w:val="1"/>
                <w:bCs w:val="1"/>
                <w:color w:val="auto"/>
              </w:rPr>
              <w:t>2022</w:t>
            </w:r>
          </w:p>
        </w:tc>
        <w:tc>
          <w:tcPr>
            <w:tcW w:w="2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574"/>
              <w:spacing w:after="0"/>
              <w:rPr>
                <w:sz w:val="20"/>
                <w:szCs w:val="20"/>
                <w:color w:val="auto"/>
              </w:rPr>
            </w:pPr>
            <w:r>
              <w:rPr>
                <w:rFonts w:ascii="Times New Roman" w:cs="Times New Roman" w:eastAsia="Times New Roman" w:hAnsi="Times New Roman"/>
                <w:sz w:val="14"/>
                <w:szCs w:val="14"/>
                <w:b w:val="1"/>
                <w:bCs w:val="1"/>
                <w:color w:val="auto"/>
              </w:rPr>
              <w:t>2022</w:t>
            </w:r>
          </w:p>
        </w:tc>
      </w:tr>
      <w:tr>
        <w:trPr>
          <w:trHeight w:val="209"/>
        </w:trPr>
        <w:tc>
          <w:tcPr>
            <w:tcW w:w="776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b w:val="1"/>
                <w:bCs w:val="1"/>
                <w:color w:val="auto"/>
              </w:rPr>
              <w:t>Assets</w:t>
            </w: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Current assets:</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28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723.4</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613.5</w:t>
            </w:r>
          </w:p>
        </w:tc>
      </w:tr>
      <w:tr>
        <w:trPr>
          <w:trHeight w:val="223"/>
        </w:trPr>
        <w:tc>
          <w:tcPr>
            <w:tcW w:w="776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Accounts receivable,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1,390.7</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1,048.6</w:t>
            </w: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Inventories</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957.5</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720.3</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107.7</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111.0</w:t>
            </w:r>
          </w:p>
        </w:tc>
      </w:tr>
      <w:tr>
        <w:trPr>
          <w:trHeight w:val="217"/>
        </w:trPr>
        <w:tc>
          <w:tcPr>
            <w:tcW w:w="7760" w:type="dxa"/>
            <w:vAlign w:val="bottom"/>
            <w:shd w:val="clear" w:color="auto" w:fill="CCEEFF"/>
          </w:tcPr>
          <w:p>
            <w:pPr>
              <w:ind w:left="1060"/>
              <w:spacing w:after="0"/>
              <w:rPr>
                <w:sz w:val="20"/>
                <w:szCs w:val="20"/>
                <w:color w:val="auto"/>
              </w:rPr>
            </w:pPr>
            <w:r>
              <w:rPr>
                <w:rFonts w:ascii="Times New Roman" w:cs="Times New Roman" w:eastAsia="Times New Roman" w:hAnsi="Times New Roman"/>
                <w:sz w:val="18"/>
                <w:szCs w:val="18"/>
                <w:color w:val="auto"/>
              </w:rPr>
              <w:t>Total current assets</w:t>
            </w: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3,179.3</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2,493.4</w:t>
            </w: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521.5</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462.8</w:t>
            </w:r>
          </w:p>
        </w:tc>
      </w:tr>
      <w:tr>
        <w:trPr>
          <w:trHeight w:val="223"/>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Goodwill</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11,579.0</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11,511.1</w:t>
            </w: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5,372.6</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6,153.4</w:t>
            </w:r>
          </w:p>
        </w:tc>
      </w:tr>
      <w:tr>
        <w:trPr>
          <w:trHeight w:val="223"/>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Deferred tax assets</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451.8</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493.5</w:t>
            </w:r>
          </w:p>
        </w:tc>
      </w:tr>
      <w:tr>
        <w:trPr>
          <w:trHeight w:val="223"/>
        </w:trPr>
        <w:tc>
          <w:tcPr>
            <w:tcW w:w="7760" w:type="dxa"/>
            <w:vAlign w:val="bottom"/>
            <w:tcBorders>
              <w:bottom w:val="single" w:sz="8" w:color="CCEEFF"/>
            </w:tcBorders>
          </w:tcPr>
          <w:p>
            <w:pPr>
              <w:ind w:left="200"/>
              <w:spacing w:after="0"/>
              <w:rPr>
                <w:sz w:val="20"/>
                <w:szCs w:val="20"/>
                <w:color w:val="auto"/>
              </w:rPr>
            </w:pPr>
            <w:r>
              <w:rPr>
                <w:rFonts w:ascii="Times New Roman" w:cs="Times New Roman" w:eastAsia="Times New Roman" w:hAnsi="Times New Roman"/>
                <w:sz w:val="18"/>
                <w:szCs w:val="18"/>
                <w:color w:val="auto"/>
              </w:rPr>
              <w:t>Other non-current assets</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1,417.9</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994.4</w:t>
            </w:r>
          </w:p>
        </w:tc>
      </w:tr>
      <w:tr>
        <w:trPr>
          <w:trHeight w:val="242"/>
        </w:trPr>
        <w:tc>
          <w:tcPr>
            <w:tcW w:w="7760" w:type="dxa"/>
            <w:vAlign w:val="bottom"/>
            <w:tcBorders>
              <w:bottom w:val="single" w:sz="8" w:color="CCEEFF"/>
            </w:tcBorders>
            <w:shd w:val="clear" w:color="auto" w:fill="CCEEFF"/>
          </w:tcPr>
          <w:p>
            <w:pPr>
              <w:ind w:left="1060"/>
              <w:spacing w:after="0"/>
              <w:rPr>
                <w:sz w:val="20"/>
                <w:szCs w:val="20"/>
                <w:color w:val="auto"/>
              </w:rPr>
            </w:pPr>
            <w:r>
              <w:rPr>
                <w:rFonts w:ascii="Times New Roman" w:cs="Times New Roman" w:eastAsia="Times New Roman" w:hAnsi="Times New Roman"/>
                <w:sz w:val="18"/>
                <w:szCs w:val="18"/>
                <w:color w:val="auto"/>
              </w:rPr>
              <w:t>Total assets</w:t>
            </w: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22,522.1</w:t>
            </w:r>
          </w:p>
        </w:tc>
        <w:tc>
          <w:tcPr>
            <w:tcW w:w="22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22,108.6</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r>
        <w:trPr>
          <w:trHeight w:val="209"/>
        </w:trPr>
        <w:tc>
          <w:tcPr>
            <w:tcW w:w="7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23"/>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b w:val="1"/>
                <w:bCs w:val="1"/>
                <w:color w:val="auto"/>
              </w:rPr>
              <w:t>Liabilities and Stockholders’ Equity</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Current liabilities:</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Accounts payable</w:t>
            </w:r>
          </w:p>
        </w:tc>
        <w:tc>
          <w:tcPr>
            <w:tcW w:w="28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476.2</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461.5</w:t>
            </w:r>
          </w:p>
        </w:tc>
      </w:tr>
      <w:tr>
        <w:trPr>
          <w:trHeight w:val="223"/>
        </w:trPr>
        <w:tc>
          <w:tcPr>
            <w:tcW w:w="776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Accrued liabilities</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1,111.7</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622.6</w:t>
            </w: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248.3</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241.3</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Times New Roman" w:cs="Times New Roman" w:eastAsia="Times New Roman" w:hAnsi="Times New Roman"/>
                <w:sz w:val="18"/>
                <w:szCs w:val="18"/>
                <w:color w:val="auto"/>
              </w:rPr>
              <w:t>Short-term debt</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584.0</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63.2</w:t>
            </w:r>
          </w:p>
        </w:tc>
      </w:tr>
      <w:tr>
        <w:trPr>
          <w:trHeight w:val="217"/>
        </w:trPr>
        <w:tc>
          <w:tcPr>
            <w:tcW w:w="7760" w:type="dxa"/>
            <w:vAlign w:val="bottom"/>
            <w:shd w:val="clear" w:color="auto" w:fill="CCEEFF"/>
          </w:tcPr>
          <w:p>
            <w:pPr>
              <w:ind w:left="106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2,420.2</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1,388.6</w:t>
            </w: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Long-term debt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3,927.6</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4,484.8</w:t>
            </w:r>
          </w:p>
        </w:tc>
      </w:tr>
      <w:tr>
        <w:trPr>
          <w:trHeight w:val="223"/>
        </w:trPr>
        <w:tc>
          <w:tcPr>
            <w:tcW w:w="7760" w:type="dxa"/>
            <w:vAlign w:val="bottom"/>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615.3</w:t>
            </w:r>
          </w:p>
        </w:tc>
        <w:tc>
          <w:tcPr>
            <w:tcW w:w="2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533.1</w:t>
            </w:r>
          </w:p>
        </w:tc>
      </w:tr>
      <w:tr>
        <w:trPr>
          <w:trHeight w:val="217"/>
        </w:trPr>
        <w:tc>
          <w:tcPr>
            <w:tcW w:w="7760" w:type="dxa"/>
            <w:vAlign w:val="bottom"/>
            <w:tcBorders>
              <w:bottom w:val="single" w:sz="8" w:color="CCEEFF"/>
            </w:tcBorders>
          </w:tcPr>
          <w:p>
            <w:pPr>
              <w:ind w:left="1060"/>
              <w:spacing w:after="0"/>
              <w:rPr>
                <w:sz w:val="20"/>
                <w:szCs w:val="20"/>
                <w:color w:val="auto"/>
              </w:rPr>
            </w:pPr>
            <w:r>
              <w:rPr>
                <w:rFonts w:ascii="Times New Roman" w:cs="Times New Roman" w:eastAsia="Times New Roman" w:hAnsi="Times New Roman"/>
                <w:sz w:val="18"/>
                <w:szCs w:val="18"/>
                <w:color w:val="auto"/>
              </w:rPr>
              <w:t>Total liabilities</w:t>
            </w: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6,963.1</w:t>
            </w:r>
          </w:p>
        </w:tc>
        <w:tc>
          <w:tcPr>
            <w:tcW w:w="220" w:type="dxa"/>
            <w:vAlign w:val="bottom"/>
            <w:tcBorders>
              <w:bottom w:val="single" w:sz="8" w:color="CCEEFF"/>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6,406.5</w:t>
            </w:r>
          </w:p>
        </w:tc>
      </w:tr>
      <w:tr>
        <w:trPr>
          <w:trHeight w:val="243"/>
        </w:trPr>
        <w:tc>
          <w:tcPr>
            <w:tcW w:w="776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13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1320" w:type="dxa"/>
            <w:vAlign w:val="bottom"/>
            <w:shd w:val="clear" w:color="auto" w:fill="CCEEFF"/>
          </w:tcPr>
          <w:p>
            <w:pPr>
              <w:spacing w:after="0"/>
              <w:rPr>
                <w:sz w:val="21"/>
                <w:szCs w:val="21"/>
                <w:color w:val="auto"/>
              </w:rPr>
            </w:pPr>
          </w:p>
        </w:tc>
      </w:tr>
      <w:tr>
        <w:trPr>
          <w:trHeight w:val="223"/>
        </w:trPr>
        <w:tc>
          <w:tcPr>
            <w:tcW w:w="776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Stockholders’ equity:</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Common stock</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23"/>
        </w:trPr>
        <w:tc>
          <w:tcPr>
            <w:tcW w:w="776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14,367.9</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14,209.0</w:t>
            </w:r>
          </w:p>
        </w:tc>
      </w:tr>
      <w:tr>
        <w:trPr>
          <w:trHeight w:val="223"/>
        </w:trPr>
        <w:tc>
          <w:tcPr>
            <w:tcW w:w="776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Accumulated other comprehensive loss</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(0.8)</w:t>
            </w:r>
          </w:p>
        </w:tc>
        <w:tc>
          <w:tcPr>
            <w:tcW w:w="2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r>
      <w:tr>
        <w:trPr>
          <w:trHeight w:val="223"/>
        </w:trPr>
        <w:tc>
          <w:tcPr>
            <w:tcW w:w="7760" w:type="dxa"/>
            <w:vAlign w:val="bottom"/>
            <w:tcBorders>
              <w:bottom w:val="single" w:sz="8" w:color="CCEEFF"/>
            </w:tcBorders>
          </w:tcPr>
          <w:p>
            <w:pPr>
              <w:ind w:left="640"/>
              <w:spacing w:after="0"/>
              <w:rPr>
                <w:sz w:val="20"/>
                <w:szCs w:val="20"/>
                <w:color w:val="auto"/>
              </w:rPr>
            </w:pPr>
            <w:r>
              <w:rPr>
                <w:rFonts w:ascii="Times New Roman" w:cs="Times New Roman" w:eastAsia="Times New Roman" w:hAnsi="Times New Roman"/>
                <w:sz w:val="18"/>
                <w:szCs w:val="18"/>
                <w:color w:val="auto"/>
              </w:rPr>
              <w:t>Retained earnings</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1,190.2</w:t>
            </w:r>
          </w:p>
        </w:tc>
        <w:tc>
          <w:tcPr>
            <w:tcW w:w="2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1,491.4</w:t>
            </w:r>
          </w:p>
        </w:tc>
      </w:tr>
      <w:tr>
        <w:trPr>
          <w:trHeight w:val="217"/>
        </w:trPr>
        <w:tc>
          <w:tcPr>
            <w:tcW w:w="7760" w:type="dxa"/>
            <w:vAlign w:val="bottom"/>
            <w:shd w:val="clear" w:color="auto" w:fill="CCEEFF"/>
          </w:tcPr>
          <w:p>
            <w:pPr>
              <w:ind w:left="1060"/>
              <w:spacing w:after="0"/>
              <w:rPr>
                <w:sz w:val="20"/>
                <w:szCs w:val="20"/>
                <w:color w:val="auto"/>
              </w:rPr>
            </w:pPr>
            <w:r>
              <w:rPr>
                <w:rFonts w:ascii="Times New Roman" w:cs="Times New Roman" w:eastAsia="Times New Roman" w:hAnsi="Times New Roman"/>
                <w:sz w:val="18"/>
                <w:szCs w:val="18"/>
                <w:color w:val="auto"/>
              </w:rPr>
              <w:t>Total stockholders’ equity</w:t>
            </w:r>
          </w:p>
        </w:tc>
        <w:tc>
          <w:tcPr>
            <w:tcW w:w="280" w:type="dxa"/>
            <w:vAlign w:val="bottom"/>
            <w:tcBorders>
              <w:bottom w:val="single" w:sz="8" w:color="auto"/>
            </w:tcBorders>
            <w:shd w:val="clear" w:color="auto" w:fill="CCEEFF"/>
          </w:tcPr>
          <w:p>
            <w:pPr>
              <w:spacing w:after="0"/>
              <w:rPr>
                <w:sz w:val="18"/>
                <w:szCs w:val="18"/>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15,559.0</w:t>
            </w:r>
          </w:p>
        </w:tc>
        <w:tc>
          <w:tcPr>
            <w:tcW w:w="220" w:type="dxa"/>
            <w:vAlign w:val="bottom"/>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15,702.1</w:t>
            </w:r>
          </w:p>
        </w:tc>
      </w:tr>
      <w:tr>
        <w:trPr>
          <w:trHeight w:val="217"/>
        </w:trPr>
        <w:tc>
          <w:tcPr>
            <w:tcW w:w="7760" w:type="dxa"/>
            <w:vAlign w:val="bottom"/>
          </w:tcPr>
          <w:p>
            <w:pPr>
              <w:ind w:left="1060"/>
              <w:spacing w:after="0"/>
              <w:rPr>
                <w:sz w:val="20"/>
                <w:szCs w:val="20"/>
                <w:color w:val="auto"/>
              </w:rPr>
            </w:pPr>
            <w:r>
              <w:rPr>
                <w:rFonts w:ascii="Times New Roman" w:cs="Times New Roman" w:eastAsia="Times New Roman" w:hAnsi="Times New Roman"/>
                <w:sz w:val="18"/>
                <w:szCs w:val="18"/>
                <w:color w:val="auto"/>
              </w:rPr>
              <w:t>Total liabilities and stockholders’ equity</w:t>
            </w:r>
          </w:p>
        </w:tc>
        <w:tc>
          <w:tcPr>
            <w:tcW w:w="280" w:type="dxa"/>
            <w:vAlign w:val="bottom"/>
            <w:tcBorders>
              <w:bottom w:val="single" w:sz="8" w:color="auto"/>
            </w:tcBorders>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22,522.1</w:t>
            </w:r>
          </w:p>
        </w:tc>
        <w:tc>
          <w:tcPr>
            <w:tcW w:w="220" w:type="dxa"/>
            <w:vAlign w:val="bottom"/>
          </w:tcPr>
          <w:p>
            <w:pPr>
              <w:spacing w:after="0"/>
              <w:rPr>
                <w:sz w:val="18"/>
                <w:szCs w:val="18"/>
                <w:color w:val="auto"/>
              </w:rPr>
            </w:pPr>
          </w:p>
        </w:tc>
        <w:tc>
          <w:tcPr>
            <w:tcW w:w="280" w:type="dxa"/>
            <w:vAlign w:val="bottom"/>
            <w:tcBorders>
              <w:bottom w:val="single" w:sz="8" w:color="auto"/>
            </w:tcBorders>
          </w:tcPr>
          <w:p>
            <w:pPr>
              <w:jc w:val="right"/>
              <w:ind w:right="9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22,108.6</w:t>
            </w:r>
          </w:p>
        </w:tc>
      </w:tr>
      <w:tr>
        <w:trPr>
          <w:trHeight w:val="20"/>
        </w:trPr>
        <w:tc>
          <w:tcPr>
            <w:tcW w:w="77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750" w:right="359" w:bottom="1440" w:gutter="0" w:footer="0" w:header="0"/>
        </w:sectPr>
      </w:pPr>
    </w:p>
    <w:bookmarkStart w:id="9" w:name="page10"/>
    <w:bookmarkEnd w:id="9"/>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4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Condensed Consolidated Statements of Cash Flows (Unaudited)</w:t>
      </w:r>
    </w:p>
    <w:p>
      <w:pPr>
        <w:spacing w:after="0" w:line="4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millions)</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64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300" w:type="dxa"/>
            <w:vAlign w:val="bottom"/>
            <w:gridSpan w:val="5"/>
          </w:tcPr>
          <w:p>
            <w:pPr>
              <w:ind w:left="38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40" w:type="dxa"/>
            <w:vAlign w:val="bottom"/>
          </w:tcPr>
          <w:p>
            <w:pPr>
              <w:spacing w:after="0"/>
              <w:rPr>
                <w:sz w:val="16"/>
                <w:szCs w:val="16"/>
                <w:color w:val="auto"/>
              </w:rPr>
            </w:pPr>
          </w:p>
        </w:tc>
        <w:tc>
          <w:tcPr>
            <w:tcW w:w="2160" w:type="dxa"/>
            <w:vAlign w:val="bottom"/>
            <w:gridSpan w:val="4"/>
          </w:tcPr>
          <w:p>
            <w:pPr>
              <w:jc w:val="right"/>
              <w:ind w:right="453"/>
              <w:spacing w:after="0"/>
              <w:rPr>
                <w:sz w:val="20"/>
                <w:szCs w:val="20"/>
                <w:color w:val="auto"/>
              </w:rPr>
            </w:pPr>
            <w:r>
              <w:rPr>
                <w:rFonts w:ascii="Times New Roman" w:cs="Times New Roman" w:eastAsia="Times New Roman" w:hAnsi="Times New Roman"/>
                <w:sz w:val="14"/>
                <w:szCs w:val="14"/>
                <w:b w:val="1"/>
                <w:bCs w:val="1"/>
                <w:color w:val="auto"/>
              </w:rPr>
              <w:t>Nine Months Ended</w:t>
            </w:r>
          </w:p>
        </w:tc>
      </w:tr>
      <w:tr>
        <w:trPr>
          <w:trHeight w:val="24"/>
        </w:trPr>
        <w:tc>
          <w:tcPr>
            <w:tcW w:w="64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08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940" w:type="dxa"/>
            <w:vAlign w:val="bottom"/>
          </w:tcPr>
          <w:p>
            <w:pPr>
              <w:spacing w:after="0"/>
              <w:rPr>
                <w:sz w:val="2"/>
                <w:szCs w:val="2"/>
                <w:color w:val="auto"/>
              </w:rPr>
            </w:pPr>
          </w:p>
        </w:tc>
      </w:tr>
      <w:tr>
        <w:trPr>
          <w:trHeight w:val="126"/>
        </w:trPr>
        <w:tc>
          <w:tcPr>
            <w:tcW w:w="648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2"/>
          </w:tcPr>
          <w:p>
            <w:pPr>
              <w:ind w:left="40"/>
              <w:spacing w:after="0" w:line="127"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16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tcPr>
          <w:p>
            <w:pPr>
              <w:jc w:val="right"/>
              <w:ind w:right="133"/>
              <w:spacing w:after="0" w:line="127" w:lineRule="exact"/>
              <w:rPr>
                <w:sz w:val="20"/>
                <w:szCs w:val="20"/>
                <w:color w:val="auto"/>
              </w:rPr>
            </w:pPr>
            <w:r>
              <w:rPr>
                <w:rFonts w:ascii="Times New Roman" w:cs="Times New Roman" w:eastAsia="Times New Roman" w:hAnsi="Times New Roman"/>
                <w:sz w:val="14"/>
                <w:szCs w:val="14"/>
                <w:b w:val="1"/>
                <w:bCs w:val="1"/>
                <w:color w:val="auto"/>
              </w:rPr>
              <w:t>October 30,</w:t>
            </w:r>
          </w:p>
        </w:tc>
        <w:tc>
          <w:tcPr>
            <w:tcW w:w="120" w:type="dxa"/>
            <w:vAlign w:val="bottom"/>
          </w:tcPr>
          <w:p>
            <w:pPr>
              <w:spacing w:after="0"/>
              <w:rPr>
                <w:sz w:val="10"/>
                <w:szCs w:val="10"/>
                <w:color w:val="auto"/>
              </w:rPr>
            </w:pPr>
          </w:p>
        </w:tc>
        <w:tc>
          <w:tcPr>
            <w:tcW w:w="14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ind w:left="60"/>
              <w:spacing w:after="0" w:line="127"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14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jc w:val="right"/>
              <w:ind w:right="113"/>
              <w:spacing w:after="0" w:line="127" w:lineRule="exact"/>
              <w:rPr>
                <w:sz w:val="20"/>
                <w:szCs w:val="20"/>
                <w:color w:val="auto"/>
              </w:rPr>
            </w:pPr>
            <w:r>
              <w:rPr>
                <w:rFonts w:ascii="Times New Roman" w:cs="Times New Roman" w:eastAsia="Times New Roman" w:hAnsi="Times New Roman"/>
                <w:sz w:val="14"/>
                <w:szCs w:val="14"/>
                <w:b w:val="1"/>
                <w:bCs w:val="1"/>
                <w:color w:val="auto"/>
              </w:rPr>
              <w:t>October 30,</w:t>
            </w:r>
          </w:p>
        </w:tc>
      </w:tr>
      <w:tr>
        <w:trPr>
          <w:trHeight w:val="190"/>
        </w:trPr>
        <w:tc>
          <w:tcPr>
            <w:tcW w:w="64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1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right"/>
              <w:ind w:right="333"/>
              <w:spacing w:after="0"/>
              <w:rPr>
                <w:sz w:val="20"/>
                <w:szCs w:val="20"/>
                <w:color w:val="auto"/>
              </w:rPr>
            </w:pPr>
            <w:r>
              <w:rPr>
                <w:rFonts w:ascii="Times New Roman" w:cs="Times New Roman" w:eastAsia="Times New Roman" w:hAnsi="Times New Roman"/>
                <w:sz w:val="14"/>
                <w:szCs w:val="14"/>
                <w:b w:val="1"/>
                <w:bCs w:val="1"/>
                <w:color w:val="auto"/>
              </w:rPr>
              <w:t>2021</w:t>
            </w:r>
          </w:p>
        </w:tc>
        <w:tc>
          <w:tcPr>
            <w:tcW w:w="12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1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13"/>
              <w:spacing w:after="0"/>
              <w:rPr>
                <w:sz w:val="20"/>
                <w:szCs w:val="20"/>
                <w:color w:val="auto"/>
              </w:rPr>
            </w:pPr>
            <w:r>
              <w:rPr>
                <w:rFonts w:ascii="Times New Roman" w:cs="Times New Roman" w:eastAsia="Times New Roman" w:hAnsi="Times New Roman"/>
                <w:sz w:val="14"/>
                <w:szCs w:val="14"/>
                <w:b w:val="1"/>
                <w:bCs w:val="1"/>
                <w:color w:val="auto"/>
              </w:rPr>
              <w:t>2021</w:t>
            </w:r>
          </w:p>
        </w:tc>
      </w:tr>
      <w:tr>
        <w:trPr>
          <w:trHeight w:val="209"/>
        </w:trPr>
        <w:tc>
          <w:tcPr>
            <w:tcW w:w="648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r>
      <w:tr>
        <w:trPr>
          <w:trHeight w:val="223"/>
        </w:trPr>
        <w:tc>
          <w:tcPr>
            <w:tcW w:w="648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Net income (loss)</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13.3</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(62.6)</w:t>
            </w:r>
          </w:p>
        </w:tc>
        <w:tc>
          <w:tcPr>
            <w:tcW w:w="12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(148.1)</w:t>
            </w:r>
          </w:p>
        </w:tc>
        <w:tc>
          <w:tcPr>
            <w:tcW w:w="14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(427.2)</w:t>
            </w:r>
          </w:p>
        </w:tc>
      </w:tr>
      <w:tr>
        <w:trPr>
          <w:trHeight w:val="171"/>
        </w:trPr>
        <w:tc>
          <w:tcPr>
            <w:tcW w:w="6480" w:type="dxa"/>
            <w:vAlign w:val="bottom"/>
            <w:shd w:val="clear" w:color="auto" w:fill="CCEEFF"/>
          </w:tcPr>
          <w:p>
            <w:pPr>
              <w:ind w:left="220"/>
              <w:spacing w:after="0" w:line="171" w:lineRule="exact"/>
              <w:rPr>
                <w:sz w:val="20"/>
                <w:szCs w:val="20"/>
                <w:color w:val="auto"/>
              </w:rPr>
            </w:pPr>
            <w:r>
              <w:rPr>
                <w:rFonts w:ascii="Times New Roman" w:cs="Times New Roman" w:eastAsia="Times New Roman" w:hAnsi="Times New Roman"/>
                <w:sz w:val="18"/>
                <w:szCs w:val="18"/>
                <w:color w:val="auto"/>
              </w:rPr>
              <w:t>Adjustments to reconcile net income (loss) to net cash provided by operating</w:t>
            </w:r>
          </w:p>
        </w:tc>
        <w:tc>
          <w:tcPr>
            <w:tcW w:w="160" w:type="dxa"/>
            <w:vAlign w:val="bottom"/>
            <w:shd w:val="clear" w:color="auto" w:fill="CCEEFF"/>
          </w:tcPr>
          <w:p>
            <w:pPr>
              <w:spacing w:after="0"/>
              <w:rPr>
                <w:sz w:val="14"/>
                <w:szCs w:val="14"/>
                <w:color w:val="auto"/>
              </w:rPr>
            </w:pPr>
          </w:p>
        </w:tc>
        <w:tc>
          <w:tcPr>
            <w:tcW w:w="94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96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94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940" w:type="dxa"/>
            <w:vAlign w:val="bottom"/>
            <w:shd w:val="clear" w:color="auto" w:fill="CCEEFF"/>
          </w:tcPr>
          <w:p>
            <w:pPr>
              <w:spacing w:after="0"/>
              <w:rPr>
                <w:sz w:val="14"/>
                <w:szCs w:val="14"/>
                <w:color w:val="auto"/>
              </w:rPr>
            </w:pPr>
          </w:p>
        </w:tc>
      </w:tr>
      <w:tr>
        <w:trPr>
          <w:trHeight w:val="237"/>
        </w:trPr>
        <w:tc>
          <w:tcPr>
            <w:tcW w:w="648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activities:</w:t>
            </w:r>
          </w:p>
        </w:tc>
        <w:tc>
          <w:tcPr>
            <w:tcW w:w="16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74.4</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71.6</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227.0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189.6</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146.1</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119.1</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421.7</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325.9</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269.9</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279.3</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814.2</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684.6</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Amortization of inventory fair value adjustment associated with acquisitions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26.0</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191.1</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Other expense, net</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34.3</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18.3</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58.5</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84.4</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Deferred income taxes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(124.8)</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(16.0)</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53.6</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(67.6)</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Changes in assets and liabilities, net of acquisitions:</w:t>
            </w:r>
          </w:p>
        </w:tc>
        <w:tc>
          <w:tcPr>
            <w:tcW w:w="1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spacing w:after="0"/>
              <w:rPr>
                <w:sz w:val="19"/>
                <w:szCs w:val="19"/>
                <w:color w:val="auto"/>
              </w:rPr>
            </w:pPr>
          </w:p>
        </w:tc>
      </w:tr>
      <w:tr>
        <w:trPr>
          <w:trHeight w:val="223"/>
        </w:trPr>
        <w:tc>
          <w:tcPr>
            <w:tcW w:w="6480" w:type="dxa"/>
            <w:vAlign w:val="bottom"/>
            <w:shd w:val="clear" w:color="auto" w:fill="CCEEFF"/>
          </w:tcPr>
          <w:p>
            <w:pPr>
              <w:ind w:left="1080"/>
              <w:spacing w:after="0"/>
              <w:rPr>
                <w:sz w:val="20"/>
                <w:szCs w:val="20"/>
                <w:color w:val="auto"/>
              </w:rPr>
            </w:pPr>
            <w:r>
              <w:rPr>
                <w:rFonts w:ascii="Times New Roman" w:cs="Times New Roman" w:eastAsia="Times New Roman" w:hAnsi="Times New Roman"/>
                <w:sz w:val="18"/>
                <w:szCs w:val="18"/>
                <w:color w:val="auto"/>
              </w:rPr>
              <w:t>Accounts receivable</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(101.8)</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(192.2)</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(341.5)</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(341.4)</w:t>
            </w:r>
          </w:p>
        </w:tc>
      </w:tr>
      <w:tr>
        <w:trPr>
          <w:trHeight w:val="223"/>
        </w:trPr>
        <w:tc>
          <w:tcPr>
            <w:tcW w:w="6480" w:type="dxa"/>
            <w:vAlign w:val="bottom"/>
          </w:tcPr>
          <w:p>
            <w:pPr>
              <w:ind w:left="108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(197.5)</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(19.1)</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(382.4)</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(65.3)</w:t>
            </w:r>
          </w:p>
        </w:tc>
      </w:tr>
      <w:tr>
        <w:trPr>
          <w:trHeight w:val="223"/>
        </w:trPr>
        <w:tc>
          <w:tcPr>
            <w:tcW w:w="6480" w:type="dxa"/>
            <w:vAlign w:val="bottom"/>
            <w:shd w:val="clear" w:color="auto" w:fill="CCEEFF"/>
          </w:tcPr>
          <w:p>
            <w:pPr>
              <w:ind w:left="1080"/>
              <w:spacing w:after="0"/>
              <w:rPr>
                <w:sz w:val="20"/>
                <w:szCs w:val="20"/>
                <w:color w:val="auto"/>
              </w:rPr>
            </w:pPr>
            <w:r>
              <w:rPr>
                <w:rFonts w:ascii="Times New Roman" w:cs="Times New Roman" w:eastAsia="Times New Roman" w:hAnsi="Times New Roman"/>
                <w:sz w:val="18"/>
                <w:szCs w:val="18"/>
                <w:color w:val="auto"/>
              </w:rPr>
              <w:t>Inventories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(56.3)</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(118.4)</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(263.4)</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(200.6)</w:t>
            </w:r>
          </w:p>
        </w:tc>
      </w:tr>
      <w:tr>
        <w:trPr>
          <w:trHeight w:val="223"/>
        </w:trPr>
        <w:tc>
          <w:tcPr>
            <w:tcW w:w="6480" w:type="dxa"/>
            <w:vAlign w:val="bottom"/>
          </w:tcPr>
          <w:p>
            <w:pPr>
              <w:ind w:left="1080"/>
              <w:spacing w:after="0"/>
              <w:rPr>
                <w:sz w:val="20"/>
                <w:szCs w:val="20"/>
                <w:color w:val="auto"/>
              </w:rPr>
            </w:pPr>
            <w:r>
              <w:rPr>
                <w:rFonts w:ascii="Times New Roman" w:cs="Times New Roman" w:eastAsia="Times New Roman" w:hAnsi="Times New Roman"/>
                <w:sz w:val="18"/>
                <w:szCs w:val="18"/>
                <w:color w:val="auto"/>
              </w:rPr>
              <w:t>Accounts payable</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(37.8)</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93.2</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(33.9)</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93.8</w:t>
            </w:r>
          </w:p>
        </w:tc>
      </w:tr>
      <w:tr>
        <w:trPr>
          <w:trHeight w:val="223"/>
        </w:trPr>
        <w:tc>
          <w:tcPr>
            <w:tcW w:w="6480" w:type="dxa"/>
            <w:vAlign w:val="bottom"/>
            <w:shd w:val="clear" w:color="auto" w:fill="CCEEFF"/>
          </w:tcPr>
          <w:p>
            <w:pPr>
              <w:ind w:left="108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60.0</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69.3</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13.0</w:t>
            </w:r>
          </w:p>
        </w:tc>
      </w:tr>
      <w:tr>
        <w:trPr>
          <w:trHeight w:val="223"/>
        </w:trPr>
        <w:tc>
          <w:tcPr>
            <w:tcW w:w="6480" w:type="dxa"/>
            <w:vAlign w:val="bottom"/>
            <w:tcBorders>
              <w:bottom w:val="single" w:sz="8" w:color="CCEEFF"/>
            </w:tcBorders>
          </w:tcPr>
          <w:p>
            <w:pPr>
              <w:ind w:left="1080"/>
              <w:spacing w:after="0"/>
              <w:rPr>
                <w:sz w:val="20"/>
                <w:szCs w:val="20"/>
                <w:color w:val="auto"/>
              </w:rPr>
            </w:pPr>
            <w:r>
              <w:rPr>
                <w:rFonts w:ascii="Times New Roman" w:cs="Times New Roman" w:eastAsia="Times New Roman" w:hAnsi="Times New Roman"/>
                <w:sz w:val="18"/>
                <w:szCs w:val="18"/>
                <w:color w:val="auto"/>
              </w:rPr>
              <w:t>Accrued liabilities and other non-current liabilities</w:t>
            </w: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320.8</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0.7</w:t>
            </w:r>
          </w:p>
        </w:tc>
        <w:tc>
          <w:tcPr>
            <w:tcW w:w="12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499.3</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(7.2)</w:t>
            </w:r>
          </w:p>
        </w:tc>
      </w:tr>
      <w:tr>
        <w:trPr>
          <w:trHeight w:val="217"/>
        </w:trPr>
        <w:tc>
          <w:tcPr>
            <w:tcW w:w="6480" w:type="dxa"/>
            <w:vAlign w:val="bottom"/>
            <w:shd w:val="clear" w:color="auto" w:fill="CCEEFF"/>
          </w:tcPr>
          <w:p>
            <w:pPr>
              <w:ind w:left="1480"/>
              <w:spacing w:after="0"/>
              <w:rPr>
                <w:sz w:val="20"/>
                <w:szCs w:val="20"/>
                <w:color w:val="auto"/>
              </w:rPr>
            </w:pPr>
            <w:r>
              <w:rPr>
                <w:rFonts w:ascii="Times New Roman" w:cs="Times New Roman" w:eastAsia="Times New Roman" w:hAnsi="Times New Roman"/>
                <w:sz w:val="18"/>
                <w:szCs w:val="18"/>
                <w:color w:val="auto"/>
              </w:rPr>
              <w:t>Net cash provided by operating activities</w:t>
            </w:r>
          </w:p>
        </w:tc>
        <w:tc>
          <w:tcPr>
            <w:tcW w:w="16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411.0</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264.7</w:t>
            </w: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937.3</w:t>
            </w:r>
          </w:p>
        </w:tc>
        <w:tc>
          <w:tcPr>
            <w:tcW w:w="1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473.1</w:t>
            </w:r>
          </w:p>
        </w:tc>
      </w:tr>
      <w:tr>
        <w:trPr>
          <w:trHeight w:val="203"/>
        </w:trPr>
        <w:tc>
          <w:tcPr>
            <w:tcW w:w="6480" w:type="dxa"/>
            <w:vAlign w:val="bottom"/>
          </w:tcPr>
          <w:p>
            <w:pPr>
              <w:ind w:left="220"/>
              <w:spacing w:after="0" w:line="203" w:lineRule="exact"/>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(42.7)</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(76.8)</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(152.2)</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(130.4)</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Acquisitions, net of cash acquired</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60.4</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(103.0)</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(3,539.8)</w:t>
            </w:r>
          </w:p>
        </w:tc>
      </w:tr>
      <w:tr>
        <w:trPr>
          <w:trHeight w:val="223"/>
        </w:trPr>
        <w:tc>
          <w:tcPr>
            <w:tcW w:w="648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Other, net</w:t>
            </w: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12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7"/>
        </w:trPr>
        <w:tc>
          <w:tcPr>
            <w:tcW w:w="6480" w:type="dxa"/>
            <w:vAlign w:val="bottom"/>
            <w:shd w:val="clear" w:color="auto" w:fill="CCEEFF"/>
          </w:tcPr>
          <w:p>
            <w:pPr>
              <w:ind w:left="1480"/>
              <w:spacing w:after="0"/>
              <w:rPr>
                <w:sz w:val="20"/>
                <w:szCs w:val="20"/>
                <w:color w:val="auto"/>
              </w:rPr>
            </w:pPr>
            <w:r>
              <w:rPr>
                <w:rFonts w:ascii="Times New Roman" w:cs="Times New Roman" w:eastAsia="Times New Roman" w:hAnsi="Times New Roman"/>
                <w:sz w:val="18"/>
                <w:szCs w:val="18"/>
                <w:color w:val="auto"/>
              </w:rPr>
              <w:t>Net cash used in investing activities</w:t>
            </w:r>
          </w:p>
        </w:tc>
        <w:tc>
          <w:tcPr>
            <w:tcW w:w="16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(51.9)</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(19.2)</w:t>
            </w:r>
          </w:p>
        </w:tc>
        <w:tc>
          <w:tcPr>
            <w:tcW w:w="1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(264.2)</w:t>
            </w:r>
          </w:p>
        </w:tc>
        <w:tc>
          <w:tcPr>
            <w:tcW w:w="1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(3,682.1)</w:t>
            </w:r>
          </w:p>
        </w:tc>
      </w:tr>
      <w:tr>
        <w:trPr>
          <w:trHeight w:val="203"/>
        </w:trPr>
        <w:tc>
          <w:tcPr>
            <w:tcW w:w="6480" w:type="dxa"/>
            <w:vAlign w:val="bottom"/>
          </w:tcPr>
          <w:p>
            <w:pPr>
              <w:ind w:left="220"/>
              <w:spacing w:after="0" w:line="203" w:lineRule="exact"/>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Repurchases of common stock</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(50.0)</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(115.0)</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Proceeds from employee stock plans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52.5</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42.8</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Tax withholding paid on behalf of employees for net share settlement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(29.5)</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(52.9)</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(201.2)</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(169.1)</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Dividend payments to stockholders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(51.1)</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(50.4)</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(153.1)</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(140.3)</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Payments on technology license obligations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(30.6)</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(103.6)</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(97.9)</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Proceeds from issuance of debt</w:t>
            </w:r>
          </w:p>
        </w:tc>
        <w:tc>
          <w:tcPr>
            <w:tcW w:w="16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200.0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3,806.1</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Principal payments of debt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(91.9)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(150.9)</w:t>
            </w: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(243.8)</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(425.9)</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Payment for repurchases and settlement of convertible notes</w:t>
            </w:r>
          </w:p>
        </w:tc>
        <w:tc>
          <w:tcPr>
            <w:tcW w:w="16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(181.2)</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Proceeds from capped calls</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160.3</w:t>
            </w:r>
          </w:p>
        </w:tc>
      </w:tr>
      <w:tr>
        <w:trPr>
          <w:trHeight w:val="223"/>
        </w:trPr>
        <w:tc>
          <w:tcPr>
            <w:tcW w:w="648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Payment of equity and debt financing costs</w:t>
            </w:r>
          </w:p>
        </w:tc>
        <w:tc>
          <w:tcPr>
            <w:tcW w:w="16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(11.8)</w:t>
            </w:r>
          </w:p>
        </w:tc>
      </w:tr>
      <w:tr>
        <w:trPr>
          <w:trHeight w:val="223"/>
        </w:trPr>
        <w:tc>
          <w:tcPr>
            <w:tcW w:w="648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Other, net</w:t>
            </w:r>
          </w:p>
        </w:tc>
        <w:tc>
          <w:tcPr>
            <w:tcW w:w="16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w:t>
            </w:r>
          </w:p>
        </w:tc>
        <w:tc>
          <w:tcPr>
            <w:tcW w:w="12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w:t>
            </w:r>
          </w:p>
        </w:tc>
        <w:tc>
          <w:tcPr>
            <w:tcW w:w="12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w:t>
            </w:r>
          </w:p>
        </w:tc>
        <w:tc>
          <w:tcPr>
            <w:tcW w:w="140" w:type="dxa"/>
            <w:vAlign w:val="bottom"/>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spacing w:after="0"/>
              <w:rPr>
                <w:sz w:val="19"/>
                <w:szCs w:val="19"/>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w:t>
            </w:r>
          </w:p>
        </w:tc>
      </w:tr>
      <w:tr>
        <w:trPr>
          <w:trHeight w:val="217"/>
        </w:trPr>
        <w:tc>
          <w:tcPr>
            <w:tcW w:w="6480" w:type="dxa"/>
            <w:vAlign w:val="bottom"/>
            <w:tcBorders>
              <w:bottom w:val="single" w:sz="8" w:color="CCEEFF"/>
            </w:tcBorders>
          </w:tcPr>
          <w:p>
            <w:pPr>
              <w:ind w:left="1480"/>
              <w:spacing w:after="0"/>
              <w:rPr>
                <w:sz w:val="20"/>
                <w:szCs w:val="20"/>
                <w:color w:val="auto"/>
              </w:rPr>
            </w:pPr>
            <w:r>
              <w:rPr>
                <w:rFonts w:ascii="Times New Roman" w:cs="Times New Roman" w:eastAsia="Times New Roman" w:hAnsi="Times New Roman"/>
                <w:sz w:val="18"/>
                <w:szCs w:val="18"/>
                <w:color w:val="auto"/>
              </w:rPr>
              <w:t>Net cash provided by (used in) financing activities</w:t>
            </w:r>
          </w:p>
        </w:tc>
        <w:tc>
          <w:tcPr>
            <w:tcW w:w="16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(252.8)</w:t>
            </w:r>
          </w:p>
        </w:tc>
        <w:tc>
          <w:tcPr>
            <w:tcW w:w="1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9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(281.6)</w:t>
            </w:r>
          </w:p>
        </w:tc>
        <w:tc>
          <w:tcPr>
            <w:tcW w:w="12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(563.2)</w:t>
            </w:r>
          </w:p>
        </w:tc>
        <w:tc>
          <w:tcPr>
            <w:tcW w:w="140" w:type="dxa"/>
            <w:vAlign w:val="bottom"/>
            <w:tcBorders>
              <w:bottom w:val="single" w:sz="8" w:color="CCEEFF"/>
            </w:tcBorders>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2,984.0</w:t>
            </w:r>
          </w:p>
        </w:tc>
      </w:tr>
      <w:tr>
        <w:trPr>
          <w:trHeight w:val="217"/>
        </w:trPr>
        <w:tc>
          <w:tcPr>
            <w:tcW w:w="648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Net increase (decrease) in cash and cash equivalents</w:t>
            </w: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106.3</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(36.1)</w:t>
            </w: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109.9</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(225.0)</w:t>
            </w:r>
          </w:p>
        </w:tc>
      </w:tr>
      <w:tr>
        <w:trPr>
          <w:trHeight w:val="223"/>
        </w:trPr>
        <w:tc>
          <w:tcPr>
            <w:tcW w:w="6480" w:type="dxa"/>
            <w:vAlign w:val="bottom"/>
            <w:tcBorders>
              <w:bottom w:val="single" w:sz="8" w:color="CCEEFF"/>
            </w:tcBorders>
          </w:tcPr>
          <w:p>
            <w:pPr>
              <w:ind w:left="220"/>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617.1</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559.6</w:t>
            </w:r>
          </w:p>
        </w:tc>
        <w:tc>
          <w:tcPr>
            <w:tcW w:w="12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613.5</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748.5</w:t>
            </w:r>
          </w:p>
        </w:tc>
      </w:tr>
      <w:tr>
        <w:trPr>
          <w:trHeight w:val="242"/>
        </w:trPr>
        <w:tc>
          <w:tcPr>
            <w:tcW w:w="648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723.4</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523.5</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723.4</w:t>
            </w:r>
          </w:p>
        </w:tc>
        <w:tc>
          <w:tcPr>
            <w:tcW w:w="14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523.5</w:t>
            </w:r>
          </w:p>
        </w:tc>
      </w:tr>
      <w:tr>
        <w:trPr>
          <w:trHeight w:val="20"/>
        </w:trPr>
        <w:tc>
          <w:tcPr>
            <w:tcW w:w="64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803" w:right="339" w:bottom="1440" w:gutter="0" w:footer="0" w:header="0"/>
        </w:sectPr>
      </w:pPr>
    </w:p>
    <w:bookmarkStart w:id="10" w:name="page11"/>
    <w:bookmarkEnd w:id="10"/>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millions, except per share amounts)</w:t>
      </w:r>
    </w:p>
    <w:p>
      <w:pPr>
        <w:spacing w:after="0" w:line="255"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46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50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w w:val="98"/>
              </w:rPr>
              <w:t>Three Months Ended</w:t>
            </w:r>
          </w:p>
        </w:tc>
        <w:tc>
          <w:tcPr>
            <w:tcW w:w="18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400" w:type="dxa"/>
            <w:vAlign w:val="bottom"/>
            <w:gridSpan w:val="4"/>
          </w:tcPr>
          <w:p>
            <w:pPr>
              <w:jc w:val="right"/>
              <w:ind w:right="614"/>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24"/>
        </w:trPr>
        <w:tc>
          <w:tcPr>
            <w:tcW w:w="46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114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6"/>
        </w:trPr>
        <w:tc>
          <w:tcPr>
            <w:tcW w:w="460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tcPr>
          <w:p>
            <w:pPr>
              <w:jc w:val="right"/>
              <w:ind w:right="174"/>
              <w:spacing w:after="0" w:line="127"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140" w:type="dxa"/>
            <w:vAlign w:val="bottom"/>
            <w:tcBorders>
              <w:top w:val="single" w:sz="8" w:color="auto"/>
            </w:tcBorders>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gridSpan w:val="2"/>
          </w:tcPr>
          <w:p>
            <w:pPr>
              <w:jc w:val="center"/>
              <w:ind w:right="380"/>
              <w:spacing w:after="0" w:line="127" w:lineRule="exact"/>
              <w:rPr>
                <w:sz w:val="20"/>
                <w:szCs w:val="20"/>
                <w:color w:val="auto"/>
              </w:rPr>
            </w:pPr>
            <w:r>
              <w:rPr>
                <w:rFonts w:ascii="Times New Roman" w:cs="Times New Roman" w:eastAsia="Times New Roman" w:hAnsi="Times New Roman"/>
                <w:sz w:val="14"/>
                <w:szCs w:val="14"/>
                <w:b w:val="1"/>
                <w:bCs w:val="1"/>
                <w:color w:val="auto"/>
                <w:w w:val="98"/>
              </w:rPr>
              <w:t>July 30,</w:t>
            </w:r>
          </w:p>
        </w:tc>
        <w:tc>
          <w:tcPr>
            <w:tcW w:w="18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tcPr>
          <w:p>
            <w:pPr>
              <w:jc w:val="right"/>
              <w:ind w:right="174"/>
              <w:spacing w:after="0" w:line="127" w:lineRule="exact"/>
              <w:rPr>
                <w:sz w:val="20"/>
                <w:szCs w:val="20"/>
                <w:color w:val="auto"/>
              </w:rPr>
            </w:pPr>
            <w:r>
              <w:rPr>
                <w:rFonts w:ascii="Times New Roman" w:cs="Times New Roman" w:eastAsia="Times New Roman" w:hAnsi="Times New Roman"/>
                <w:sz w:val="14"/>
                <w:szCs w:val="14"/>
                <w:b w:val="1"/>
                <w:bCs w:val="1"/>
                <w:color w:val="auto"/>
              </w:rPr>
              <w:t>October 30,</w:t>
            </w:r>
          </w:p>
        </w:tc>
        <w:tc>
          <w:tcPr>
            <w:tcW w:w="10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160" w:type="dxa"/>
            <w:vAlign w:val="bottom"/>
            <w:tcBorders>
              <w:top w:val="single" w:sz="8" w:color="auto"/>
            </w:tcBorders>
            <w:gridSpan w:val="2"/>
          </w:tcPr>
          <w:p>
            <w:pPr>
              <w:ind w:left="80"/>
              <w:spacing w:after="0" w:line="127"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18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tcPr>
          <w:p>
            <w:pPr>
              <w:jc w:val="right"/>
              <w:ind w:right="194"/>
              <w:spacing w:after="0" w:line="127" w:lineRule="exact"/>
              <w:rPr>
                <w:sz w:val="20"/>
                <w:szCs w:val="20"/>
                <w:color w:val="auto"/>
              </w:rPr>
            </w:pPr>
            <w:r>
              <w:rPr>
                <w:rFonts w:ascii="Times New Roman" w:cs="Times New Roman" w:eastAsia="Times New Roman" w:hAnsi="Times New Roman"/>
                <w:sz w:val="14"/>
                <w:szCs w:val="14"/>
                <w:b w:val="1"/>
                <w:bCs w:val="1"/>
                <w:color w:val="auto"/>
              </w:rPr>
              <w:t>October 30,</w:t>
            </w:r>
          </w:p>
        </w:tc>
        <w:tc>
          <w:tcPr>
            <w:tcW w:w="0" w:type="dxa"/>
            <w:vAlign w:val="bottom"/>
          </w:tcPr>
          <w:p>
            <w:pPr>
              <w:spacing w:after="0"/>
              <w:rPr>
                <w:sz w:val="1"/>
                <w:szCs w:val="1"/>
                <w:color w:val="auto"/>
              </w:rPr>
            </w:pPr>
          </w:p>
        </w:tc>
      </w:tr>
      <w:tr>
        <w:trPr>
          <w:trHeight w:val="190"/>
        </w:trPr>
        <w:tc>
          <w:tcPr>
            <w:tcW w:w="46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34"/>
              <w:spacing w:after="0"/>
              <w:rPr>
                <w:sz w:val="20"/>
                <w:szCs w:val="20"/>
                <w:color w:val="auto"/>
              </w:rPr>
            </w:pPr>
            <w:r>
              <w:rPr>
                <w:rFonts w:ascii="Times New Roman" w:cs="Times New Roman" w:eastAsia="Times New Roman" w:hAnsi="Times New Roman"/>
                <w:sz w:val="14"/>
                <w:szCs w:val="14"/>
                <w:b w:val="1"/>
                <w:bCs w:val="1"/>
                <w:color w:val="auto"/>
                <w:w w:val="99"/>
              </w:rPr>
              <w:t>2022</w:t>
            </w:r>
          </w:p>
        </w:tc>
        <w:tc>
          <w:tcPr>
            <w:tcW w:w="14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2021</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Times New Roman" w:cs="Times New Roman" w:eastAsia="Times New Roman" w:hAnsi="Times New Roman"/>
                <w:sz w:val="14"/>
                <w:szCs w:val="14"/>
                <w:b w:val="1"/>
                <w:bCs w:val="1"/>
                <w:color w:val="auto"/>
              </w:rPr>
              <w:t>2021</w:t>
            </w:r>
          </w:p>
        </w:tc>
        <w:tc>
          <w:tcPr>
            <w:tcW w:w="0" w:type="dxa"/>
            <w:vAlign w:val="bottom"/>
          </w:tcPr>
          <w:p>
            <w:pPr>
              <w:spacing w:after="0"/>
              <w:rPr>
                <w:sz w:val="1"/>
                <w:szCs w:val="1"/>
                <w:color w:val="auto"/>
              </w:rPr>
            </w:pPr>
          </w:p>
        </w:tc>
      </w:tr>
      <w:tr>
        <w:trPr>
          <w:trHeight w:val="222"/>
        </w:trPr>
        <w:tc>
          <w:tcPr>
            <w:tcW w:w="46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gross profit:</w:t>
            </w: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777.3</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786.0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587.8</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2,314.2</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1,377.8</w:t>
            </w:r>
          </w:p>
        </w:tc>
        <w:tc>
          <w:tcPr>
            <w:tcW w:w="0" w:type="dxa"/>
            <w:vAlign w:val="bottom"/>
          </w:tcPr>
          <w:p>
            <w:pPr>
              <w:spacing w:after="0"/>
              <w:rPr>
                <w:sz w:val="1"/>
                <w:szCs w:val="1"/>
                <w:color w:val="auto"/>
              </w:rPr>
            </w:pPr>
          </w:p>
        </w:tc>
      </w:tr>
      <w:tr>
        <w:trPr>
          <w:trHeight w:val="223"/>
        </w:trPr>
        <w:tc>
          <w:tcPr>
            <w:tcW w:w="4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12.1</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9.3</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9.4</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33.8</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21.9</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80" w:type="dxa"/>
            <w:vAlign w:val="bottom"/>
          </w:tcPr>
          <w:p>
            <w:pPr>
              <w:spacing w:after="0"/>
              <w:rPr>
                <w:sz w:val="19"/>
                <w:szCs w:val="19"/>
                <w:color w:val="auto"/>
              </w:rPr>
            </w:pPr>
          </w:p>
        </w:tc>
        <w:tc>
          <w:tcPr>
            <w:tcW w:w="104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181.9</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183.9</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169.7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540.2</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430.8</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13.0</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6.3</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21.5</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28.6</w:t>
            </w:r>
          </w:p>
        </w:tc>
        <w:tc>
          <w:tcPr>
            <w:tcW w:w="1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191.0</w:t>
            </w:r>
          </w:p>
        </w:tc>
        <w:tc>
          <w:tcPr>
            <w:tcW w:w="0" w:type="dxa"/>
            <w:vAlign w:val="bottom"/>
          </w:tcPr>
          <w:p>
            <w:pPr>
              <w:spacing w:after="0"/>
              <w:rPr>
                <w:sz w:val="1"/>
                <w:szCs w:val="1"/>
                <w:color w:val="auto"/>
              </w:rPr>
            </w:pPr>
          </w:p>
        </w:tc>
      </w:tr>
      <w:tr>
        <w:trPr>
          <w:trHeight w:val="217"/>
        </w:trPr>
        <w:tc>
          <w:tcPr>
            <w:tcW w:w="4600" w:type="dxa"/>
            <w:vAlign w:val="bottom"/>
            <w:tcBorders>
              <w:bottom w:val="single" w:sz="8" w:color="CCEEFF"/>
            </w:tcBorders>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1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207.0</w:t>
            </w:r>
          </w:p>
        </w:tc>
        <w:tc>
          <w:tcPr>
            <w:tcW w:w="14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199.5</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200.6</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602.6</w:t>
            </w:r>
          </w:p>
        </w:tc>
        <w:tc>
          <w:tcPr>
            <w:tcW w:w="12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643.7</w:t>
            </w:r>
          </w:p>
        </w:tc>
        <w:tc>
          <w:tcPr>
            <w:tcW w:w="0" w:type="dxa"/>
            <w:vAlign w:val="bottom"/>
          </w:tcPr>
          <w:p>
            <w:pPr>
              <w:spacing w:after="0"/>
              <w:rPr>
                <w:sz w:val="1"/>
                <w:szCs w:val="1"/>
                <w:color w:val="auto"/>
              </w:rPr>
            </w:pPr>
          </w:p>
        </w:tc>
      </w:tr>
      <w:tr>
        <w:trPr>
          <w:trHeight w:val="242"/>
        </w:trPr>
        <w:tc>
          <w:tcPr>
            <w:tcW w:w="460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gross profit</w:t>
            </w:r>
          </w:p>
        </w:tc>
        <w:tc>
          <w:tcPr>
            <w:tcW w:w="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auto"/>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984.3</w:t>
            </w:r>
          </w:p>
        </w:tc>
        <w:tc>
          <w:tcPr>
            <w:tcW w:w="14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auto"/>
            </w:tcBorders>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985.5</w:t>
            </w:r>
          </w:p>
        </w:tc>
        <w:tc>
          <w:tcPr>
            <w:tcW w:w="14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788.4</w:t>
            </w:r>
          </w:p>
        </w:tc>
        <w:tc>
          <w:tcPr>
            <w:tcW w:w="10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auto"/>
            </w:tcBorders>
            <w:shd w:val="clear" w:color="auto" w:fill="CCEEFF"/>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Borders>
              <w:bottom w:val="single" w:sz="8" w:color="auto"/>
            </w:tcBorders>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2,916.8</w:t>
            </w: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tcBorders>
              <w:bottom w:val="single" w:sz="8" w:color="auto"/>
            </w:tcBorders>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2,021.5</w:t>
            </w:r>
          </w:p>
        </w:tc>
        <w:tc>
          <w:tcPr>
            <w:tcW w:w="0" w:type="dxa"/>
            <w:vAlign w:val="bottom"/>
          </w:tcPr>
          <w:p>
            <w:pPr>
              <w:spacing w:after="0"/>
              <w:rPr>
                <w:sz w:val="1"/>
                <w:szCs w:val="1"/>
                <w:color w:val="auto"/>
              </w:rPr>
            </w:pPr>
          </w:p>
        </w:tc>
      </w:tr>
      <w:tr>
        <w:trPr>
          <w:trHeight w:val="20"/>
        </w:trPr>
        <w:tc>
          <w:tcPr>
            <w:tcW w:w="46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60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gross margin</w:t>
            </w:r>
          </w:p>
        </w:tc>
        <w:tc>
          <w:tcPr>
            <w:tcW w:w="1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50.6 %</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51.8 %</w:t>
            </w:r>
          </w:p>
        </w:tc>
        <w:tc>
          <w:tcPr>
            <w:tcW w:w="14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48.5 %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51.4 %</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spacing w:after="0"/>
              <w:rPr>
                <w:sz w:val="21"/>
                <w:szCs w:val="21"/>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44.2 %</w:t>
            </w:r>
          </w:p>
        </w:tc>
        <w:tc>
          <w:tcPr>
            <w:tcW w:w="0" w:type="dxa"/>
            <w:vAlign w:val="bottom"/>
          </w:tcPr>
          <w:p>
            <w:pPr>
              <w:spacing w:after="0"/>
              <w:rPr>
                <w:sz w:val="1"/>
                <w:szCs w:val="1"/>
                <w:color w:val="auto"/>
              </w:rPr>
            </w:pPr>
          </w:p>
        </w:tc>
      </w:tr>
      <w:tr>
        <w:trPr>
          <w:trHeight w:val="20"/>
        </w:trPr>
        <w:tc>
          <w:tcPr>
            <w:tcW w:w="4600" w:type="dxa"/>
            <w:vAlign w:val="bottom"/>
            <w:tcBorders>
              <w:top w:val="single" w:sz="8" w:color="CCEEFF"/>
              <w:bottom w:val="single" w:sz="8" w:color="CCEEFF"/>
            </w:tcBorders>
            <w:vMerge w:val="restart"/>
          </w:tcPr>
          <w:p>
            <w:pPr>
              <w:ind w:left="220"/>
              <w:spacing w:after="0"/>
              <w:rPr>
                <w:sz w:val="20"/>
                <w:szCs w:val="20"/>
                <w:color w:val="auto"/>
              </w:rPr>
            </w:pPr>
            <w:r>
              <w:rPr>
                <w:rFonts w:ascii="Times New Roman" w:cs="Times New Roman" w:eastAsia="Times New Roman" w:hAnsi="Times New Roman"/>
                <w:sz w:val="18"/>
                <w:szCs w:val="18"/>
                <w:color w:val="auto"/>
              </w:rPr>
              <w:t>Non-GAAP gross margin</w:t>
            </w: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600" w:type="dxa"/>
            <w:vAlign w:val="bottom"/>
            <w:vMerge w:val="continue"/>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64.0 %</w:t>
            </w:r>
          </w:p>
        </w:tc>
        <w:tc>
          <w:tcPr>
            <w:tcW w:w="14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98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65.0 %</w:t>
            </w:r>
          </w:p>
        </w:tc>
        <w:tc>
          <w:tcPr>
            <w:tcW w:w="14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65.1 %</w:t>
            </w:r>
          </w:p>
        </w:tc>
        <w:tc>
          <w:tcPr>
            <w:tcW w:w="1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64.8 %</w:t>
            </w:r>
          </w:p>
        </w:tc>
        <w:tc>
          <w:tcPr>
            <w:tcW w:w="12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60" w:type="dxa"/>
            <w:vAlign w:val="bottom"/>
            <w:tcBorders>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64.8 %</w:t>
            </w:r>
          </w:p>
        </w:tc>
        <w:tc>
          <w:tcPr>
            <w:tcW w:w="0" w:type="dxa"/>
            <w:vAlign w:val="bottom"/>
          </w:tcPr>
          <w:p>
            <w:pPr>
              <w:spacing w:after="0"/>
              <w:rPr>
                <w:sz w:val="1"/>
                <w:szCs w:val="1"/>
                <w:color w:val="auto"/>
              </w:rPr>
            </w:pPr>
          </w:p>
        </w:tc>
      </w:tr>
      <w:tr>
        <w:trPr>
          <w:trHeight w:val="20"/>
        </w:trPr>
        <w:tc>
          <w:tcPr>
            <w:tcW w:w="46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6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6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6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Total GAAP operating expenses</w:t>
            </w: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671.5</w:t>
            </w:r>
          </w:p>
        </w:tc>
        <w:tc>
          <w:tcPr>
            <w:tcW w:w="38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746.9</w:t>
            </w:r>
          </w:p>
        </w:tc>
        <w:tc>
          <w:tcPr>
            <w:tcW w:w="14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621.2</w:t>
            </w:r>
          </w:p>
        </w:tc>
        <w:tc>
          <w:tcPr>
            <w:tcW w:w="10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Pr>
          <w:p>
            <w:pPr>
              <w:jc w:val="right"/>
              <w:ind w:right="114"/>
              <w:spacing w:after="0"/>
              <w:rPr>
                <w:sz w:val="20"/>
                <w:szCs w:val="20"/>
                <w:color w:val="auto"/>
              </w:rPr>
            </w:pPr>
            <w:r>
              <w:rPr>
                <w:rFonts w:ascii="Times New Roman" w:cs="Times New Roman" w:eastAsia="Times New Roman" w:hAnsi="Times New Roman"/>
                <w:sz w:val="18"/>
                <w:szCs w:val="18"/>
                <w:color w:val="auto"/>
              </w:rPr>
              <w:t>2,099.5</w:t>
            </w:r>
          </w:p>
        </w:tc>
        <w:tc>
          <w:tcPr>
            <w:tcW w:w="12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tcPr>
          <w:p>
            <w:pPr>
              <w:jc w:val="right"/>
              <w:ind w:right="134"/>
              <w:spacing w:after="0"/>
              <w:rPr>
                <w:sz w:val="20"/>
                <w:szCs w:val="20"/>
                <w:color w:val="auto"/>
              </w:rPr>
            </w:pPr>
            <w:r>
              <w:rPr>
                <w:rFonts w:ascii="Times New Roman" w:cs="Times New Roman" w:eastAsia="Times New Roman" w:hAnsi="Times New Roman"/>
                <w:sz w:val="18"/>
                <w:szCs w:val="18"/>
                <w:color w:val="auto"/>
              </w:rPr>
              <w:t>1,760.2</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18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(134.0)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(135.2)</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94"/>
              <w:spacing w:after="0"/>
              <w:rPr>
                <w:sz w:val="20"/>
                <w:szCs w:val="20"/>
                <w:color w:val="auto"/>
              </w:rPr>
            </w:pPr>
            <w:r>
              <w:rPr>
                <w:rFonts w:ascii="Times New Roman" w:cs="Times New Roman" w:eastAsia="Times New Roman" w:hAnsi="Times New Roman"/>
                <w:sz w:val="18"/>
                <w:szCs w:val="18"/>
                <w:color w:val="auto"/>
              </w:rPr>
              <w:t>(109.7)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(387.9)</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(320.9)</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(15.6)</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(1.2)</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(5.9)</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(18.1)</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(31.1)</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8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(88.0)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(87.9)</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94"/>
              <w:spacing w:after="0"/>
              <w:rPr>
                <w:sz w:val="20"/>
                <w:szCs w:val="20"/>
                <w:color w:val="auto"/>
              </w:rPr>
            </w:pPr>
            <w:r>
              <w:rPr>
                <w:rFonts w:ascii="Times New Roman" w:cs="Times New Roman" w:eastAsia="Times New Roman" w:hAnsi="Times New Roman"/>
                <w:sz w:val="18"/>
                <w:szCs w:val="18"/>
                <w:color w:val="auto"/>
              </w:rPr>
              <w:t>(109.6)</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(274.0)</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ind w:right="74"/>
              <w:spacing w:after="0"/>
              <w:rPr>
                <w:sz w:val="20"/>
                <w:szCs w:val="20"/>
                <w:color w:val="auto"/>
              </w:rPr>
            </w:pPr>
            <w:r>
              <w:rPr>
                <w:rFonts w:ascii="Times New Roman" w:cs="Times New Roman" w:eastAsia="Times New Roman" w:hAnsi="Times New Roman"/>
                <w:sz w:val="18"/>
                <w:szCs w:val="18"/>
                <w:color w:val="auto"/>
              </w:rPr>
              <w:t>(253.8)</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Legal settlement (c)</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14"/>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(85.0)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w:t>
            </w: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(100.0)</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134"/>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460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Other operating expenses (d)</w:t>
            </w: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ind w:right="74"/>
              <w:spacing w:after="0"/>
              <w:rPr>
                <w:sz w:val="20"/>
                <w:szCs w:val="20"/>
                <w:color w:val="auto"/>
              </w:rPr>
            </w:pPr>
            <w:r>
              <w:rPr>
                <w:rFonts w:ascii="Times New Roman" w:cs="Times New Roman" w:eastAsia="Times New Roman" w:hAnsi="Times New Roman"/>
                <w:sz w:val="18"/>
                <w:szCs w:val="18"/>
                <w:color w:val="auto"/>
              </w:rPr>
              <w:t>(13.5)</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ind w:right="74"/>
              <w:spacing w:after="0"/>
              <w:rPr>
                <w:sz w:val="20"/>
                <w:szCs w:val="20"/>
                <w:color w:val="auto"/>
              </w:rPr>
            </w:pPr>
            <w:r>
              <w:rPr>
                <w:rFonts w:ascii="Times New Roman" w:cs="Times New Roman" w:eastAsia="Times New Roman" w:hAnsi="Times New Roman"/>
                <w:sz w:val="18"/>
                <w:szCs w:val="18"/>
                <w:color w:val="auto"/>
              </w:rPr>
              <w:t>(6.0)</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ind w:right="94"/>
              <w:spacing w:after="0"/>
              <w:rPr>
                <w:sz w:val="20"/>
                <w:szCs w:val="20"/>
                <w:color w:val="auto"/>
              </w:rPr>
            </w:pPr>
            <w:r>
              <w:rPr>
                <w:rFonts w:ascii="Times New Roman" w:cs="Times New Roman" w:eastAsia="Times New Roman" w:hAnsi="Times New Roman"/>
                <w:sz w:val="18"/>
                <w:szCs w:val="18"/>
                <w:color w:val="auto"/>
              </w:rPr>
              <w:t>(25.4)</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ind w:right="74"/>
              <w:spacing w:after="0"/>
              <w:rPr>
                <w:sz w:val="20"/>
                <w:szCs w:val="20"/>
                <w:color w:val="auto"/>
              </w:rPr>
            </w:pPr>
            <w:r>
              <w:rPr>
                <w:rFonts w:ascii="Times New Roman" w:cs="Times New Roman" w:eastAsia="Times New Roman" w:hAnsi="Times New Roman"/>
                <w:sz w:val="18"/>
                <w:szCs w:val="18"/>
                <w:color w:val="auto"/>
              </w:rPr>
              <w:t>(32.2)</w:t>
            </w:r>
          </w:p>
        </w:tc>
        <w:tc>
          <w:tcPr>
            <w:tcW w:w="12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ind w:right="74"/>
              <w:spacing w:after="0"/>
              <w:rPr>
                <w:sz w:val="20"/>
                <w:szCs w:val="20"/>
                <w:color w:val="auto"/>
              </w:rPr>
            </w:pPr>
            <w:r>
              <w:rPr>
                <w:rFonts w:ascii="Times New Roman" w:cs="Times New Roman" w:eastAsia="Times New Roman" w:hAnsi="Times New Roman"/>
                <w:sz w:val="18"/>
                <w:szCs w:val="18"/>
                <w:color w:val="auto"/>
              </w:rPr>
              <w:t>(111.1)</w:t>
            </w:r>
          </w:p>
        </w:tc>
        <w:tc>
          <w:tcPr>
            <w:tcW w:w="0" w:type="dxa"/>
            <w:vAlign w:val="bottom"/>
          </w:tcPr>
          <w:p>
            <w:pPr>
              <w:spacing w:after="0"/>
              <w:rPr>
                <w:sz w:val="1"/>
                <w:szCs w:val="1"/>
                <w:color w:val="auto"/>
              </w:rPr>
            </w:pPr>
          </w:p>
        </w:tc>
      </w:tr>
      <w:tr>
        <w:trPr>
          <w:trHeight w:val="217"/>
        </w:trPr>
        <w:tc>
          <w:tcPr>
            <w:tcW w:w="46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(251.1)</w:t>
            </w:r>
          </w:p>
        </w:tc>
        <w:tc>
          <w:tcPr>
            <w:tcW w:w="140" w:type="dxa"/>
            <w:vAlign w:val="bottom"/>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(315.3)</w:t>
            </w: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ind w:right="94"/>
              <w:spacing w:after="0"/>
              <w:rPr>
                <w:sz w:val="20"/>
                <w:szCs w:val="20"/>
                <w:color w:val="auto"/>
              </w:rPr>
            </w:pPr>
            <w:r>
              <w:rPr>
                <w:rFonts w:ascii="Times New Roman" w:cs="Times New Roman" w:eastAsia="Times New Roman" w:hAnsi="Times New Roman"/>
                <w:sz w:val="18"/>
                <w:szCs w:val="18"/>
                <w:color w:val="auto"/>
              </w:rPr>
              <w:t>(250.6)</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(812.2)</w:t>
            </w:r>
          </w:p>
        </w:tc>
        <w:tc>
          <w:tcPr>
            <w:tcW w:w="12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ind w:right="74"/>
              <w:spacing w:after="0"/>
              <w:rPr>
                <w:sz w:val="20"/>
                <w:szCs w:val="20"/>
                <w:color w:val="auto"/>
              </w:rPr>
            </w:pPr>
            <w:r>
              <w:rPr>
                <w:rFonts w:ascii="Times New Roman" w:cs="Times New Roman" w:eastAsia="Times New Roman" w:hAnsi="Times New Roman"/>
                <w:sz w:val="18"/>
                <w:szCs w:val="18"/>
                <w:color w:val="auto"/>
              </w:rPr>
              <w:t>(716.9)</w:t>
            </w:r>
          </w:p>
        </w:tc>
        <w:tc>
          <w:tcPr>
            <w:tcW w:w="0" w:type="dxa"/>
            <w:vAlign w:val="bottom"/>
          </w:tcPr>
          <w:p>
            <w:pPr>
              <w:spacing w:after="0"/>
              <w:rPr>
                <w:sz w:val="1"/>
                <w:szCs w:val="1"/>
                <w:color w:val="auto"/>
              </w:rPr>
            </w:pPr>
          </w:p>
        </w:tc>
      </w:tr>
      <w:tr>
        <w:trPr>
          <w:trHeight w:val="217"/>
        </w:trPr>
        <w:tc>
          <w:tcPr>
            <w:tcW w:w="4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Total non-GAAP operating expenses</w:t>
            </w: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420.4</w:t>
            </w:r>
          </w:p>
        </w:tc>
        <w:tc>
          <w:tcPr>
            <w:tcW w:w="140" w:type="dxa"/>
            <w:vAlign w:val="bottom"/>
          </w:tcPr>
          <w:p>
            <w:pPr>
              <w:spacing w:after="0"/>
              <w:rPr>
                <w:sz w:val="18"/>
                <w:szCs w:val="18"/>
                <w:color w:val="auto"/>
              </w:rPr>
            </w:pPr>
          </w:p>
        </w:tc>
        <w:tc>
          <w:tcPr>
            <w:tcW w:w="240" w:type="dxa"/>
            <w:vAlign w:val="bottom"/>
            <w:tcBorders>
              <w:bottom w:val="single" w:sz="8" w:color="auto"/>
            </w:tcBorders>
          </w:tcPr>
          <w:p>
            <w:pPr>
              <w:jc w:val="right"/>
              <w:ind w:right="52"/>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431.6</w:t>
            </w:r>
          </w:p>
        </w:tc>
        <w:tc>
          <w:tcPr>
            <w:tcW w:w="14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370.6</w:t>
            </w:r>
          </w:p>
        </w:tc>
        <w:tc>
          <w:tcPr>
            <w:tcW w:w="100" w:type="dxa"/>
            <w:vAlign w:val="bottom"/>
          </w:tcPr>
          <w:p>
            <w:pPr>
              <w:spacing w:after="0"/>
              <w:rPr>
                <w:sz w:val="18"/>
                <w:szCs w:val="18"/>
                <w:color w:val="auto"/>
              </w:rPr>
            </w:pPr>
          </w:p>
        </w:tc>
        <w:tc>
          <w:tcPr>
            <w:tcW w:w="200" w:type="dxa"/>
            <w:vAlign w:val="bottom"/>
            <w:tcBorders>
              <w:bottom w:val="single" w:sz="8" w:color="auto"/>
            </w:tcBorders>
          </w:tcPr>
          <w:p>
            <w:pPr>
              <w:jc w:val="right"/>
              <w:ind w:right="12"/>
              <w:spacing w:after="0"/>
              <w:rPr>
                <w:sz w:val="20"/>
                <w:szCs w:val="20"/>
                <w:color w:val="auto"/>
              </w:rPr>
            </w:pPr>
            <w:r>
              <w:rPr>
                <w:rFonts w:ascii="Times New Roman" w:cs="Times New Roman" w:eastAsia="Times New Roman" w:hAnsi="Times New Roman"/>
                <w:sz w:val="18"/>
                <w:szCs w:val="18"/>
                <w:color w:val="auto"/>
                <w:w w:val="88"/>
              </w:rPr>
              <w:t>$</w:t>
            </w:r>
          </w:p>
        </w:tc>
        <w:tc>
          <w:tcPr>
            <w:tcW w:w="104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8"/>
                <w:szCs w:val="18"/>
                <w:color w:val="auto"/>
              </w:rPr>
              <w:t>1,287.3</w:t>
            </w:r>
          </w:p>
        </w:tc>
        <w:tc>
          <w:tcPr>
            <w:tcW w:w="12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060" w:type="dxa"/>
            <w:vAlign w:val="bottom"/>
            <w:tcBorders>
              <w:bottom w:val="single" w:sz="8" w:color="auto"/>
            </w:tcBorders>
          </w:tcPr>
          <w:p>
            <w:pPr>
              <w:jc w:val="right"/>
              <w:ind w:right="134"/>
              <w:spacing w:after="0"/>
              <w:rPr>
                <w:sz w:val="20"/>
                <w:szCs w:val="20"/>
                <w:color w:val="auto"/>
              </w:rPr>
            </w:pPr>
            <w:r>
              <w:rPr>
                <w:rFonts w:ascii="Times New Roman" w:cs="Times New Roman" w:eastAsia="Times New Roman" w:hAnsi="Times New Roman"/>
                <w:sz w:val="18"/>
                <w:szCs w:val="18"/>
                <w:color w:val="auto"/>
              </w:rPr>
              <w:t>1,043.3</w:t>
            </w:r>
          </w:p>
        </w:tc>
        <w:tc>
          <w:tcPr>
            <w:tcW w:w="0" w:type="dxa"/>
            <w:vAlign w:val="bottom"/>
          </w:tcPr>
          <w:p>
            <w:pPr>
              <w:spacing w:after="0"/>
              <w:rPr>
                <w:sz w:val="1"/>
                <w:szCs w:val="1"/>
                <w:color w:val="auto"/>
              </w:rPr>
            </w:pPr>
          </w:p>
        </w:tc>
      </w:tr>
      <w:tr>
        <w:trPr>
          <w:trHeight w:val="20"/>
        </w:trPr>
        <w:tc>
          <w:tcPr>
            <w:tcW w:w="46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6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6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6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GAAP operating margin</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2.6 %</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4.8 %</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(12.3)%</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0.8 %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0.4 %</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0.6 %</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6.1 %</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9.5 %</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9.8 %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9.4 %</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11.0 %</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0.1 %</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0.4 %</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1.0 %</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17.6 %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17.9 %</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23.1 %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18.1 %</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21.9 %</w:t>
            </w:r>
          </w:p>
        </w:tc>
        <w:tc>
          <w:tcPr>
            <w:tcW w:w="0" w:type="dxa"/>
            <w:vAlign w:val="bottom"/>
          </w:tcPr>
          <w:p>
            <w:pPr>
              <w:spacing w:after="0"/>
              <w:rPr>
                <w:sz w:val="1"/>
                <w:szCs w:val="1"/>
                <w:color w:val="auto"/>
              </w:rPr>
            </w:pPr>
          </w:p>
        </w:tc>
      </w:tr>
      <w:tr>
        <w:trPr>
          <w:trHeight w:val="223"/>
        </w:trPr>
        <w:tc>
          <w:tcPr>
            <w:tcW w:w="460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Legal settlement (c)</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5.6 %</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 %</w:t>
            </w: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2.2 %</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0" w:type="dxa"/>
            <w:vAlign w:val="bottom"/>
          </w:tcPr>
          <w:p>
            <w:pPr>
              <w:spacing w:after="0"/>
              <w:rPr>
                <w:sz w:val="1"/>
                <w:szCs w:val="1"/>
                <w:color w:val="auto"/>
              </w:rPr>
            </w:pPr>
          </w:p>
        </w:tc>
      </w:tr>
      <w:tr>
        <w:trPr>
          <w:trHeight w:val="223"/>
        </w:trPr>
        <w:tc>
          <w:tcPr>
            <w:tcW w:w="460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Other operating expenses (d)</w:t>
            </w: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0.9 %</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0.4 %</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0.7 %</w:t>
            </w:r>
          </w:p>
        </w:tc>
        <w:tc>
          <w:tcPr>
            <w:tcW w:w="12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3.7 %</w:t>
            </w:r>
          </w:p>
        </w:tc>
        <w:tc>
          <w:tcPr>
            <w:tcW w:w="0" w:type="dxa"/>
            <w:vAlign w:val="bottom"/>
          </w:tcPr>
          <w:p>
            <w:pPr>
              <w:spacing w:after="0"/>
              <w:rPr>
                <w:sz w:val="1"/>
                <w:szCs w:val="1"/>
                <w:color w:val="auto"/>
              </w:rPr>
            </w:pPr>
          </w:p>
        </w:tc>
      </w:tr>
      <w:tr>
        <w:trPr>
          <w:trHeight w:val="217"/>
        </w:trPr>
        <w:tc>
          <w:tcPr>
            <w:tcW w:w="460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operating margin</w:t>
            </w: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36.7 %</w:t>
            </w:r>
          </w:p>
        </w:tc>
        <w:tc>
          <w:tcPr>
            <w:tcW w:w="1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36.5 %</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34.5 %</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36.2 %</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31.4 %</w:t>
            </w:r>
          </w:p>
        </w:tc>
        <w:tc>
          <w:tcPr>
            <w:tcW w:w="0" w:type="dxa"/>
            <w:vAlign w:val="bottom"/>
          </w:tcPr>
          <w:p>
            <w:pPr>
              <w:spacing w:after="0"/>
              <w:rPr>
                <w:sz w:val="1"/>
                <w:szCs w:val="1"/>
                <w:color w:val="auto"/>
              </w:rPr>
            </w:pPr>
          </w:p>
        </w:tc>
      </w:tr>
    </w:tbl>
    <w:p>
      <w:pPr>
        <w:sectPr>
          <w:pgSz w:w="11900" w:h="16838" w:orient="portrait"/>
          <w:cols w:equalWidth="0" w:num="1">
            <w:col w:w="11240"/>
          </w:cols>
          <w:pgMar w:left="320" w:top="789" w:right="339" w:bottom="1440" w:gutter="0" w:footer="0" w:header="0"/>
        </w:sectPr>
      </w:pPr>
    </w:p>
    <w:bookmarkStart w:id="11" w:name="page12"/>
    <w:bookmarkEnd w:id="11"/>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millions, except per share amounts)</w:t>
      </w:r>
    </w:p>
    <w:p>
      <w:pPr>
        <w:spacing w:after="0" w:line="255"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50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420" w:type="dxa"/>
            <w:vAlign w:val="bottom"/>
            <w:gridSpan w:val="4"/>
          </w:tcPr>
          <w:p>
            <w:pPr>
              <w:jc w:val="center"/>
              <w:spacing w:after="0"/>
              <w:rPr>
                <w:sz w:val="20"/>
                <w:szCs w:val="20"/>
                <w:color w:val="auto"/>
              </w:rPr>
            </w:pPr>
            <w:r>
              <w:rPr>
                <w:rFonts w:ascii="Times New Roman" w:cs="Times New Roman" w:eastAsia="Times New Roman" w:hAnsi="Times New Roman"/>
                <w:sz w:val="14"/>
                <w:szCs w:val="14"/>
                <w:b w:val="1"/>
                <w:bCs w:val="1"/>
                <w:color w:val="auto"/>
                <w:w w:val="98"/>
              </w:rPr>
              <w:t>Three Months Ended</w:t>
            </w:r>
          </w:p>
        </w:tc>
        <w:tc>
          <w:tcPr>
            <w:tcW w:w="16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240" w:type="dxa"/>
            <w:vAlign w:val="bottom"/>
            <w:gridSpan w:val="4"/>
          </w:tcPr>
          <w:p>
            <w:pPr>
              <w:jc w:val="right"/>
              <w:ind w:right="514"/>
              <w:spacing w:after="0"/>
              <w:rPr>
                <w:sz w:val="20"/>
                <w:szCs w:val="20"/>
                <w:color w:val="auto"/>
              </w:rPr>
            </w:pPr>
            <w:r>
              <w:rPr>
                <w:rFonts w:ascii="Times New Roman" w:cs="Times New Roman" w:eastAsia="Times New Roman" w:hAnsi="Times New Roman"/>
                <w:sz w:val="14"/>
                <w:szCs w:val="14"/>
                <w:b w:val="1"/>
                <w:bCs w:val="1"/>
                <w:color w:val="auto"/>
              </w:rPr>
              <w:t>Nine Months Ended</w:t>
            </w:r>
          </w:p>
        </w:tc>
        <w:tc>
          <w:tcPr>
            <w:tcW w:w="0" w:type="dxa"/>
            <w:vAlign w:val="bottom"/>
          </w:tcPr>
          <w:p>
            <w:pPr>
              <w:spacing w:after="0"/>
              <w:rPr>
                <w:sz w:val="1"/>
                <w:szCs w:val="1"/>
                <w:color w:val="auto"/>
              </w:rPr>
            </w:pPr>
          </w:p>
        </w:tc>
      </w:tr>
      <w:tr>
        <w:trPr>
          <w:trHeight w:val="24"/>
        </w:trPr>
        <w:tc>
          <w:tcPr>
            <w:tcW w:w="5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6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6"/>
        </w:trPr>
        <w:tc>
          <w:tcPr>
            <w:tcW w:w="502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34"/>
              <w:spacing w:after="0" w:line="127"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140" w:type="dxa"/>
            <w:vAlign w:val="bottom"/>
            <w:tcBorders>
              <w:top w:val="single" w:sz="8" w:color="auto"/>
            </w:tcBorders>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2"/>
          </w:tcPr>
          <w:p>
            <w:pPr>
              <w:jc w:val="center"/>
              <w:ind w:right="360"/>
              <w:spacing w:after="0" w:line="127" w:lineRule="exact"/>
              <w:rPr>
                <w:sz w:val="20"/>
                <w:szCs w:val="20"/>
                <w:color w:val="auto"/>
              </w:rPr>
            </w:pPr>
            <w:r>
              <w:rPr>
                <w:rFonts w:ascii="Times New Roman" w:cs="Times New Roman" w:eastAsia="Times New Roman" w:hAnsi="Times New Roman"/>
                <w:sz w:val="14"/>
                <w:szCs w:val="14"/>
                <w:b w:val="1"/>
                <w:bCs w:val="1"/>
                <w:color w:val="auto"/>
                <w:w w:val="98"/>
              </w:rPr>
              <w:t>July 30,</w:t>
            </w:r>
          </w:p>
        </w:tc>
        <w:tc>
          <w:tcPr>
            <w:tcW w:w="16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34"/>
              <w:spacing w:after="0" w:line="127" w:lineRule="exact"/>
              <w:rPr>
                <w:sz w:val="20"/>
                <w:szCs w:val="20"/>
                <w:color w:val="auto"/>
              </w:rPr>
            </w:pPr>
            <w:r>
              <w:rPr>
                <w:rFonts w:ascii="Times New Roman" w:cs="Times New Roman" w:eastAsia="Times New Roman" w:hAnsi="Times New Roman"/>
                <w:sz w:val="14"/>
                <w:szCs w:val="14"/>
                <w:b w:val="1"/>
                <w:bCs w:val="1"/>
                <w:color w:val="auto"/>
              </w:rPr>
              <w:t>October 30,</w:t>
            </w:r>
          </w:p>
        </w:tc>
        <w:tc>
          <w:tcPr>
            <w:tcW w:w="10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1080" w:type="dxa"/>
            <w:vAlign w:val="bottom"/>
            <w:tcBorders>
              <w:top w:val="single" w:sz="8" w:color="auto"/>
            </w:tcBorders>
            <w:gridSpan w:val="2"/>
          </w:tcPr>
          <w:p>
            <w:pPr>
              <w:ind w:left="60"/>
              <w:spacing w:after="0" w:line="127" w:lineRule="exact"/>
              <w:rPr>
                <w:sz w:val="20"/>
                <w:szCs w:val="20"/>
                <w:color w:val="auto"/>
              </w:rPr>
            </w:pPr>
            <w:r>
              <w:rPr>
                <w:rFonts w:ascii="Times New Roman" w:cs="Times New Roman" w:eastAsia="Times New Roman" w:hAnsi="Times New Roman"/>
                <w:sz w:val="14"/>
                <w:szCs w:val="14"/>
                <w:b w:val="1"/>
                <w:bCs w:val="1"/>
                <w:color w:val="auto"/>
              </w:rPr>
              <w:t>October 29,</w:t>
            </w:r>
          </w:p>
        </w:tc>
        <w:tc>
          <w:tcPr>
            <w:tcW w:w="18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tcPr>
          <w:p>
            <w:pPr>
              <w:jc w:val="right"/>
              <w:ind w:right="134"/>
              <w:spacing w:after="0" w:line="127" w:lineRule="exact"/>
              <w:rPr>
                <w:sz w:val="20"/>
                <w:szCs w:val="20"/>
                <w:color w:val="auto"/>
              </w:rPr>
            </w:pPr>
            <w:r>
              <w:rPr>
                <w:rFonts w:ascii="Times New Roman" w:cs="Times New Roman" w:eastAsia="Times New Roman" w:hAnsi="Times New Roman"/>
                <w:sz w:val="14"/>
                <w:szCs w:val="14"/>
                <w:b w:val="1"/>
                <w:bCs w:val="1"/>
                <w:color w:val="auto"/>
              </w:rPr>
              <w:t>October 30,</w:t>
            </w:r>
          </w:p>
        </w:tc>
        <w:tc>
          <w:tcPr>
            <w:tcW w:w="0" w:type="dxa"/>
            <w:vAlign w:val="bottom"/>
          </w:tcPr>
          <w:p>
            <w:pPr>
              <w:spacing w:after="0"/>
              <w:rPr>
                <w:sz w:val="1"/>
                <w:szCs w:val="1"/>
                <w:color w:val="auto"/>
              </w:rPr>
            </w:pPr>
          </w:p>
        </w:tc>
      </w:tr>
      <w:tr>
        <w:trPr>
          <w:trHeight w:val="189"/>
        </w:trPr>
        <w:tc>
          <w:tcPr>
            <w:tcW w:w="50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34"/>
              <w:spacing w:after="0"/>
              <w:rPr>
                <w:sz w:val="20"/>
                <w:szCs w:val="20"/>
                <w:color w:val="auto"/>
              </w:rPr>
            </w:pPr>
            <w:r>
              <w:rPr>
                <w:rFonts w:ascii="Times New Roman" w:cs="Times New Roman" w:eastAsia="Times New Roman" w:hAnsi="Times New Roman"/>
                <w:sz w:val="14"/>
                <w:szCs w:val="14"/>
                <w:b w:val="1"/>
                <w:bCs w:val="1"/>
                <w:color w:val="auto"/>
              </w:rPr>
              <w:t>2022</w:t>
            </w:r>
          </w:p>
        </w:tc>
        <w:tc>
          <w:tcPr>
            <w:tcW w:w="14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jc w:val="center"/>
              <w:ind w:right="114"/>
              <w:spacing w:after="0"/>
              <w:rPr>
                <w:sz w:val="20"/>
                <w:szCs w:val="20"/>
                <w:color w:val="auto"/>
              </w:rPr>
            </w:pPr>
            <w:r>
              <w:rPr>
                <w:rFonts w:ascii="Times New Roman" w:cs="Times New Roman" w:eastAsia="Times New Roman" w:hAnsi="Times New Roman"/>
                <w:sz w:val="14"/>
                <w:szCs w:val="14"/>
                <w:b w:val="1"/>
                <w:bCs w:val="1"/>
                <w:color w:val="auto"/>
                <w:w w:val="99"/>
              </w:rPr>
              <w:t>2022</w:t>
            </w:r>
          </w:p>
        </w:tc>
        <w:tc>
          <w:tcPr>
            <w:tcW w:w="14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54"/>
              <w:spacing w:after="0"/>
              <w:rPr>
                <w:sz w:val="20"/>
                <w:szCs w:val="20"/>
                <w:color w:val="auto"/>
              </w:rPr>
            </w:pPr>
            <w:r>
              <w:rPr>
                <w:rFonts w:ascii="Times New Roman" w:cs="Times New Roman" w:eastAsia="Times New Roman" w:hAnsi="Times New Roman"/>
                <w:sz w:val="14"/>
                <w:szCs w:val="14"/>
                <w:b w:val="1"/>
                <w:bCs w:val="1"/>
                <w:color w:val="auto"/>
              </w:rPr>
              <w:t>2021</w:t>
            </w:r>
          </w:p>
        </w:tc>
        <w:tc>
          <w:tcPr>
            <w:tcW w:w="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55"/>
              <w:spacing w:after="0"/>
              <w:rPr>
                <w:sz w:val="20"/>
                <w:szCs w:val="20"/>
                <w:color w:val="auto"/>
              </w:rPr>
            </w:pPr>
            <w:r>
              <w:rPr>
                <w:rFonts w:ascii="Times New Roman" w:cs="Times New Roman" w:eastAsia="Times New Roman" w:hAnsi="Times New Roman"/>
                <w:sz w:val="14"/>
                <w:szCs w:val="14"/>
                <w:b w:val="1"/>
                <w:bCs w:val="1"/>
                <w:color w:val="auto"/>
              </w:rPr>
              <w:t>2022</w:t>
            </w:r>
          </w:p>
        </w:tc>
        <w:tc>
          <w:tcPr>
            <w:tcW w:w="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54"/>
              <w:spacing w:after="0"/>
              <w:rPr>
                <w:sz w:val="20"/>
                <w:szCs w:val="20"/>
                <w:color w:val="auto"/>
              </w:rPr>
            </w:pPr>
            <w:r>
              <w:rPr>
                <w:rFonts w:ascii="Times New Roman" w:cs="Times New Roman" w:eastAsia="Times New Roman" w:hAnsi="Times New Roman"/>
                <w:sz w:val="14"/>
                <w:szCs w:val="14"/>
                <w:b w:val="1"/>
                <w:bCs w:val="1"/>
                <w:color w:val="auto"/>
              </w:rPr>
              <w:t>2021</w:t>
            </w:r>
          </w:p>
        </w:tc>
        <w:tc>
          <w:tcPr>
            <w:tcW w:w="0" w:type="dxa"/>
            <w:vAlign w:val="bottom"/>
          </w:tcPr>
          <w:p>
            <w:pPr>
              <w:spacing w:after="0"/>
              <w:rPr>
                <w:sz w:val="1"/>
                <w:szCs w:val="1"/>
                <w:color w:val="auto"/>
              </w:rPr>
            </w:pPr>
          </w:p>
        </w:tc>
      </w:tr>
      <w:tr>
        <w:trPr>
          <w:trHeight w:val="223"/>
        </w:trPr>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GAAP interest and other income (loss), net</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(40.5)</w:t>
            </w:r>
          </w:p>
        </w:tc>
        <w:tc>
          <w:tcPr>
            <w:tcW w:w="140" w:type="dxa"/>
            <w:vAlign w:val="bottom"/>
          </w:tcPr>
          <w:p>
            <w:pPr>
              <w:spacing w:after="0"/>
              <w:rPr>
                <w:sz w:val="19"/>
                <w:szCs w:val="19"/>
                <w:color w:val="auto"/>
              </w:rPr>
            </w:pPr>
          </w:p>
        </w:tc>
        <w:tc>
          <w:tcPr>
            <w:tcW w:w="22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(35.3)</w:t>
            </w:r>
          </w:p>
        </w:tc>
        <w:tc>
          <w:tcPr>
            <w:tcW w:w="14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(34.2)</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(106.4)</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(103.2)</w:t>
            </w: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02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Debt issuance related costs and other (e)</w:t>
            </w: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14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(6.2)</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19.8</w:t>
            </w:r>
          </w:p>
        </w:tc>
        <w:tc>
          <w:tcPr>
            <w:tcW w:w="0" w:type="dxa"/>
            <w:vAlign w:val="bottom"/>
          </w:tcPr>
          <w:p>
            <w:pPr>
              <w:spacing w:after="0"/>
              <w:rPr>
                <w:sz w:val="1"/>
                <w:szCs w:val="1"/>
                <w:color w:val="auto"/>
              </w:rPr>
            </w:pPr>
          </w:p>
        </w:tc>
      </w:tr>
      <w:tr>
        <w:trPr>
          <w:trHeight w:val="217"/>
        </w:trPr>
        <w:tc>
          <w:tcPr>
            <w:tcW w:w="50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Total special items</w:t>
            </w: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1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19.8</w:t>
            </w:r>
          </w:p>
        </w:tc>
        <w:tc>
          <w:tcPr>
            <w:tcW w:w="0" w:type="dxa"/>
            <w:vAlign w:val="bottom"/>
          </w:tcPr>
          <w:p>
            <w:pPr>
              <w:spacing w:after="0"/>
              <w:rPr>
                <w:sz w:val="1"/>
                <w:szCs w:val="1"/>
                <w:color w:val="auto"/>
              </w:rPr>
            </w:pPr>
          </w:p>
        </w:tc>
      </w:tr>
      <w:tr>
        <w:trPr>
          <w:trHeight w:val="217"/>
        </w:trPr>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Total non-GAAP interest and other income (loss), net</w:t>
            </w:r>
          </w:p>
        </w:tc>
        <w:tc>
          <w:tcPr>
            <w:tcW w:w="1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(41.0)</w:t>
            </w:r>
          </w:p>
        </w:tc>
        <w:tc>
          <w:tcPr>
            <w:tcW w:w="140" w:type="dxa"/>
            <w:vAlign w:val="bottom"/>
          </w:tcPr>
          <w:p>
            <w:pPr>
              <w:spacing w:after="0"/>
              <w:rPr>
                <w:sz w:val="18"/>
                <w:szCs w:val="18"/>
                <w:color w:val="auto"/>
              </w:rPr>
            </w:pPr>
          </w:p>
        </w:tc>
        <w:tc>
          <w:tcPr>
            <w:tcW w:w="220" w:type="dxa"/>
            <w:vAlign w:val="bottom"/>
            <w:tcBorders>
              <w:bottom w:val="single" w:sz="8" w:color="auto"/>
            </w:tcBorders>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(36.9)</w:t>
            </w:r>
          </w:p>
        </w:tc>
        <w:tc>
          <w:tcPr>
            <w:tcW w:w="140" w:type="dxa"/>
            <w:vAlign w:val="bottom"/>
          </w:tcPr>
          <w:p>
            <w:pPr>
              <w:spacing w:after="0"/>
              <w:rPr>
                <w:sz w:val="18"/>
                <w:szCs w:val="18"/>
                <w:color w:val="auto"/>
              </w:rPr>
            </w:pPr>
          </w:p>
        </w:tc>
        <w:tc>
          <w:tcPr>
            <w:tcW w:w="1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(34.3)</w:t>
            </w:r>
          </w:p>
        </w:tc>
        <w:tc>
          <w:tcPr>
            <w:tcW w:w="10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(112.6)</w:t>
            </w:r>
          </w:p>
        </w:tc>
        <w:tc>
          <w:tcPr>
            <w:tcW w:w="10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(83.4)</w:t>
            </w:r>
          </w:p>
        </w:tc>
        <w:tc>
          <w:tcPr>
            <w:tcW w:w="0" w:type="dxa"/>
            <w:vAlign w:val="bottom"/>
          </w:tcPr>
          <w:p>
            <w:pPr>
              <w:spacing w:after="0"/>
              <w:rPr>
                <w:sz w:val="1"/>
                <w:szCs w:val="1"/>
                <w:color w:val="auto"/>
              </w:rPr>
            </w:pPr>
          </w:p>
        </w:tc>
      </w:tr>
      <w:tr>
        <w:trPr>
          <w:trHeight w:val="20"/>
        </w:trPr>
        <w:tc>
          <w:tcPr>
            <w:tcW w:w="50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50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50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50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5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GAAP net income (loss)</w:t>
            </w: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13.3</w:t>
            </w:r>
          </w:p>
        </w:tc>
        <w:tc>
          <w:tcPr>
            <w:tcW w:w="360" w:type="dxa"/>
            <w:vAlign w:val="bottom"/>
            <w:gridSpan w:val="2"/>
          </w:tcPr>
          <w:p>
            <w:pPr>
              <w:jc w:val="right"/>
              <w:ind w:right="32"/>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w:t>
            </w:r>
          </w:p>
        </w:tc>
        <w:tc>
          <w:tcPr>
            <w:tcW w:w="14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(62.6)</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(148.1)</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(427.2)</w:t>
            </w: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Special items:</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Other cost of goods sold (a)</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13.0</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21.5</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28.6</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191.0</w:t>
            </w: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Stock-based compensation</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146.1</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144.5</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119.1</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421.7</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342.8</w:t>
            </w: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Restructuring related charges (b)</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15.6</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5.9</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18.1</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31.1</w:t>
            </w: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Legal settlement (c)</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85.0</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100.0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Times New Roman" w:cs="Times New Roman" w:eastAsia="Times New Roman" w:hAnsi="Times New Roman"/>
                <w:sz w:val="18"/>
                <w:szCs w:val="18"/>
                <w:color w:val="auto"/>
              </w:rPr>
              <w:t>Other operating expenses (d)</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13.5</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25.4</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32.2</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111.1</w:t>
            </w:r>
          </w:p>
        </w:tc>
        <w:tc>
          <w:tcPr>
            <w:tcW w:w="0" w:type="dxa"/>
            <w:vAlign w:val="bottom"/>
          </w:tcPr>
          <w:p>
            <w:pPr>
              <w:spacing w:after="0"/>
              <w:rPr>
                <w:sz w:val="1"/>
                <w:szCs w:val="1"/>
                <w:color w:val="auto"/>
              </w:rPr>
            </w:pPr>
          </w:p>
        </w:tc>
      </w:tr>
      <w:tr>
        <w:trPr>
          <w:trHeight w:val="223"/>
        </w:trPr>
        <w:tc>
          <w:tcPr>
            <w:tcW w:w="5020" w:type="dxa"/>
            <w:vAlign w:val="bottom"/>
            <w:shd w:val="clear" w:color="auto" w:fill="CCEEFF"/>
          </w:tcPr>
          <w:p>
            <w:pPr>
              <w:ind w:left="660"/>
              <w:spacing w:after="0"/>
              <w:rPr>
                <w:sz w:val="20"/>
                <w:szCs w:val="20"/>
                <w:color w:val="auto"/>
              </w:rPr>
            </w:pPr>
            <w:r>
              <w:rPr>
                <w:rFonts w:ascii="Times New Roman" w:cs="Times New Roman" w:eastAsia="Times New Roman" w:hAnsi="Times New Roman"/>
                <w:sz w:val="18"/>
                <w:szCs w:val="18"/>
                <w:color w:val="auto"/>
              </w:rPr>
              <w:t>Amortization of acquired intangible assets</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269.9</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271.8</w:t>
            </w:r>
          </w:p>
        </w:tc>
        <w:tc>
          <w:tcPr>
            <w:tcW w:w="1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279.3</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814.2</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684.6</w:t>
            </w:r>
          </w:p>
        </w:tc>
        <w:tc>
          <w:tcPr>
            <w:tcW w:w="0" w:type="dxa"/>
            <w:vAlign w:val="bottom"/>
          </w:tcPr>
          <w:p>
            <w:pPr>
              <w:spacing w:after="0"/>
              <w:rPr>
                <w:sz w:val="1"/>
                <w:szCs w:val="1"/>
                <w:color w:val="auto"/>
              </w:rPr>
            </w:pPr>
          </w:p>
        </w:tc>
      </w:tr>
      <w:tr>
        <w:trPr>
          <w:trHeight w:val="223"/>
        </w:trPr>
        <w:tc>
          <w:tcPr>
            <w:tcW w:w="502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Debt issuance related costs and other (e)</w:t>
            </w: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(0.5)</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14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(6.2)</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19.8</w:t>
            </w:r>
          </w:p>
        </w:tc>
        <w:tc>
          <w:tcPr>
            <w:tcW w:w="0" w:type="dxa"/>
            <w:vAlign w:val="bottom"/>
          </w:tcPr>
          <w:p>
            <w:pPr>
              <w:spacing w:after="0"/>
              <w:rPr>
                <w:sz w:val="1"/>
                <w:szCs w:val="1"/>
                <w:color w:val="auto"/>
              </w:rPr>
            </w:pPr>
          </w:p>
        </w:tc>
      </w:tr>
      <w:tr>
        <w:trPr>
          <w:trHeight w:val="217"/>
        </w:trPr>
        <w:tc>
          <w:tcPr>
            <w:tcW w:w="5020" w:type="dxa"/>
            <w:vAlign w:val="bottom"/>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Pre-tax total special items</w:t>
            </w: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457.6</w:t>
            </w:r>
          </w:p>
        </w:tc>
        <w:tc>
          <w:tcPr>
            <w:tcW w:w="14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513.2</w:t>
            </w:r>
          </w:p>
        </w:tc>
        <w:tc>
          <w:tcPr>
            <w:tcW w:w="14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451.1</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1,408.6</w:t>
            </w:r>
          </w:p>
        </w:tc>
        <w:tc>
          <w:tcPr>
            <w:tcW w:w="10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1,380.4</w:t>
            </w:r>
          </w:p>
        </w:tc>
        <w:tc>
          <w:tcPr>
            <w:tcW w:w="0" w:type="dxa"/>
            <w:vAlign w:val="bottom"/>
          </w:tcPr>
          <w:p>
            <w:pPr>
              <w:spacing w:after="0"/>
              <w:rPr>
                <w:sz w:val="1"/>
                <w:szCs w:val="1"/>
                <w:color w:val="auto"/>
              </w:rPr>
            </w:pPr>
          </w:p>
        </w:tc>
      </w:tr>
      <w:tr>
        <w:trPr>
          <w:trHeight w:val="217"/>
        </w:trPr>
        <w:tc>
          <w:tcPr>
            <w:tcW w:w="5020" w:type="dxa"/>
            <w:vAlign w:val="bottom"/>
            <w:tcBorders>
              <w:bottom w:val="single" w:sz="8" w:color="CCEEFF"/>
            </w:tcBorders>
          </w:tcPr>
          <w:p>
            <w:pPr>
              <w:ind w:left="660"/>
              <w:spacing w:after="0"/>
              <w:rPr>
                <w:sz w:val="20"/>
                <w:szCs w:val="20"/>
                <w:color w:val="auto"/>
              </w:rPr>
            </w:pPr>
            <w:r>
              <w:rPr>
                <w:rFonts w:ascii="Times New Roman" w:cs="Times New Roman" w:eastAsia="Times New Roman" w:hAnsi="Times New Roman"/>
                <w:sz w:val="18"/>
                <w:szCs w:val="18"/>
                <w:color w:val="auto"/>
              </w:rPr>
              <w:t>Other income tax effects and adjustments (f)</w:t>
            </w:r>
          </w:p>
        </w:tc>
        <w:tc>
          <w:tcPr>
            <w:tcW w:w="16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20.6</w:t>
            </w:r>
          </w:p>
        </w:tc>
        <w:tc>
          <w:tcPr>
            <w:tcW w:w="14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(31.5)</w:t>
            </w:r>
          </w:p>
        </w:tc>
        <w:tc>
          <w:tcPr>
            <w:tcW w:w="14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(24.2)</w:t>
            </w:r>
          </w:p>
        </w:tc>
        <w:tc>
          <w:tcPr>
            <w:tcW w:w="1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165.4</w:t>
            </w:r>
          </w:p>
        </w:tc>
        <w:tc>
          <w:tcPr>
            <w:tcW w:w="10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(103.1)</w:t>
            </w:r>
          </w:p>
        </w:tc>
        <w:tc>
          <w:tcPr>
            <w:tcW w:w="0" w:type="dxa"/>
            <w:vAlign w:val="bottom"/>
          </w:tcPr>
          <w:p>
            <w:pPr>
              <w:spacing w:after="0"/>
              <w:rPr>
                <w:sz w:val="1"/>
                <w:szCs w:val="1"/>
                <w:color w:val="auto"/>
              </w:rPr>
            </w:pPr>
          </w:p>
        </w:tc>
      </w:tr>
      <w:tr>
        <w:trPr>
          <w:trHeight w:val="242"/>
        </w:trPr>
        <w:tc>
          <w:tcPr>
            <w:tcW w:w="502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net income</w:t>
            </w:r>
          </w:p>
        </w:tc>
        <w:tc>
          <w:tcPr>
            <w:tcW w:w="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491.5</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486.0</w:t>
            </w:r>
          </w:p>
        </w:tc>
        <w:tc>
          <w:tcPr>
            <w:tcW w:w="14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364.3</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1,425.9</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850.1</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50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92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50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8"/>
        </w:trPr>
        <w:tc>
          <w:tcPr>
            <w:tcW w:w="502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weighted average shares — basic</w:t>
            </w:r>
          </w:p>
        </w:tc>
        <w:tc>
          <w:tcPr>
            <w:tcW w:w="16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852.6</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850.9</w:t>
            </w:r>
          </w:p>
        </w:tc>
        <w:tc>
          <w:tcPr>
            <w:tcW w:w="1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828.6</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850.5</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781.0</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bottom w:val="single" w:sz="8" w:color="CCEEFF"/>
            </w:tcBorders>
            <w:vMerge w:val="restart"/>
          </w:tcPr>
          <w:p>
            <w:pPr>
              <w:ind w:left="220"/>
              <w:spacing w:after="0"/>
              <w:rPr>
                <w:sz w:val="20"/>
                <w:szCs w:val="20"/>
                <w:color w:val="auto"/>
              </w:rPr>
            </w:pPr>
            <w:r>
              <w:rPr>
                <w:rFonts w:ascii="Times New Roman" w:cs="Times New Roman" w:eastAsia="Times New Roman" w:hAnsi="Times New Roman"/>
                <w:sz w:val="18"/>
                <w:szCs w:val="18"/>
                <w:color w:val="auto"/>
              </w:rPr>
              <w:t>GAAP weighted average shares — diluted</w:t>
            </w: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0"/>
        </w:trPr>
        <w:tc>
          <w:tcPr>
            <w:tcW w:w="5020" w:type="dxa"/>
            <w:vAlign w:val="bottom"/>
            <w:vMerge w:val="continue"/>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spacing w:after="0" w:line="170" w:lineRule="exact"/>
              <w:rPr>
                <w:sz w:val="20"/>
                <w:szCs w:val="20"/>
                <w:color w:val="auto"/>
              </w:rPr>
            </w:pPr>
            <w:r>
              <w:rPr>
                <w:rFonts w:ascii="Times New Roman" w:cs="Times New Roman" w:eastAsia="Times New Roman" w:hAnsi="Times New Roman"/>
                <w:sz w:val="18"/>
                <w:szCs w:val="18"/>
                <w:color w:val="auto"/>
              </w:rPr>
              <w:t>858.4</w:t>
            </w:r>
          </w:p>
        </w:tc>
        <w:tc>
          <w:tcPr>
            <w:tcW w:w="14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tcPr>
          <w:p>
            <w:pPr>
              <w:jc w:val="right"/>
              <w:spacing w:after="0" w:line="170" w:lineRule="exact"/>
              <w:rPr>
                <w:sz w:val="20"/>
                <w:szCs w:val="20"/>
                <w:color w:val="auto"/>
              </w:rPr>
            </w:pPr>
            <w:r>
              <w:rPr>
                <w:rFonts w:ascii="Times New Roman" w:cs="Times New Roman" w:eastAsia="Times New Roman" w:hAnsi="Times New Roman"/>
                <w:sz w:val="18"/>
                <w:szCs w:val="18"/>
                <w:color w:val="auto"/>
              </w:rPr>
              <w:t>857.9</w:t>
            </w:r>
          </w:p>
        </w:tc>
        <w:tc>
          <w:tcPr>
            <w:tcW w:w="14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spacing w:after="0" w:line="170" w:lineRule="exact"/>
              <w:rPr>
                <w:sz w:val="20"/>
                <w:szCs w:val="20"/>
                <w:color w:val="auto"/>
              </w:rPr>
            </w:pPr>
            <w:r>
              <w:rPr>
                <w:rFonts w:ascii="Times New Roman" w:cs="Times New Roman" w:eastAsia="Times New Roman" w:hAnsi="Times New Roman"/>
                <w:sz w:val="18"/>
                <w:szCs w:val="18"/>
                <w:color w:val="auto"/>
              </w:rPr>
              <w:t>828.6</w:t>
            </w:r>
          </w:p>
        </w:tc>
        <w:tc>
          <w:tcPr>
            <w:tcW w:w="1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spacing w:after="0" w:line="170" w:lineRule="exact"/>
              <w:rPr>
                <w:sz w:val="20"/>
                <w:szCs w:val="20"/>
                <w:color w:val="auto"/>
              </w:rPr>
            </w:pPr>
            <w:r>
              <w:rPr>
                <w:rFonts w:ascii="Times New Roman" w:cs="Times New Roman" w:eastAsia="Times New Roman" w:hAnsi="Times New Roman"/>
                <w:sz w:val="18"/>
                <w:szCs w:val="18"/>
                <w:color w:val="auto"/>
              </w:rPr>
              <w:t>850.5</w:t>
            </w:r>
          </w:p>
        </w:tc>
        <w:tc>
          <w:tcPr>
            <w:tcW w:w="1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980" w:type="dxa"/>
            <w:vAlign w:val="bottom"/>
            <w:tcBorders>
              <w:bottom w:val="single" w:sz="8" w:color="auto"/>
            </w:tcBorders>
          </w:tcPr>
          <w:p>
            <w:pPr>
              <w:jc w:val="right"/>
              <w:spacing w:after="0" w:line="170" w:lineRule="exact"/>
              <w:rPr>
                <w:sz w:val="20"/>
                <w:szCs w:val="20"/>
                <w:color w:val="auto"/>
              </w:rPr>
            </w:pPr>
            <w:r>
              <w:rPr>
                <w:rFonts w:ascii="Times New Roman" w:cs="Times New Roman" w:eastAsia="Times New Roman" w:hAnsi="Times New Roman"/>
                <w:sz w:val="18"/>
                <w:szCs w:val="18"/>
                <w:color w:val="auto"/>
              </w:rPr>
              <w:t>781.0</w:t>
            </w:r>
          </w:p>
        </w:tc>
        <w:tc>
          <w:tcPr>
            <w:tcW w:w="0" w:type="dxa"/>
            <w:vAlign w:val="bottom"/>
          </w:tcPr>
          <w:p>
            <w:pPr>
              <w:spacing w:after="0"/>
              <w:rPr>
                <w:sz w:val="1"/>
                <w:szCs w:val="1"/>
                <w:color w:val="auto"/>
              </w:rPr>
            </w:pPr>
          </w:p>
        </w:tc>
      </w:tr>
      <w:tr>
        <w:trPr>
          <w:trHeight w:val="20"/>
        </w:trPr>
        <w:tc>
          <w:tcPr>
            <w:tcW w:w="50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1"/>
        </w:trPr>
        <w:tc>
          <w:tcPr>
            <w:tcW w:w="502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Non-GAAP weighted average shares — diluted (g)</w:t>
            </w:r>
          </w:p>
        </w:tc>
        <w:tc>
          <w:tcPr>
            <w:tcW w:w="160" w:type="dxa"/>
            <w:vAlign w:val="bottom"/>
            <w:tcBorders>
              <w:bottom w:val="single" w:sz="8" w:color="auto"/>
            </w:tcBorders>
            <w:shd w:val="clear" w:color="auto" w:fill="CCEEFF"/>
          </w:tcPr>
          <w:p>
            <w:pPr>
              <w:spacing w:after="0"/>
              <w:rPr>
                <w:sz w:val="20"/>
                <w:szCs w:val="20"/>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858.4</w:t>
            </w:r>
          </w:p>
        </w:tc>
        <w:tc>
          <w:tcPr>
            <w:tcW w:w="14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auto"/>
            </w:tcBorders>
            <w:shd w:val="clear" w:color="auto" w:fill="CCEEFF"/>
          </w:tcPr>
          <w:p>
            <w:pPr>
              <w:spacing w:after="0"/>
              <w:rPr>
                <w:sz w:val="20"/>
                <w:szCs w:val="20"/>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857.9</w:t>
            </w:r>
          </w:p>
        </w:tc>
        <w:tc>
          <w:tcPr>
            <w:tcW w:w="14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845.9</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859.3</w:t>
            </w:r>
          </w:p>
        </w:tc>
        <w:tc>
          <w:tcPr>
            <w:tcW w:w="10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auto"/>
            </w:tcBorders>
            <w:shd w:val="clear" w:color="auto" w:fill="CCEEFF"/>
          </w:tcPr>
          <w:p>
            <w:pPr>
              <w:spacing w:after="0"/>
              <w:rPr>
                <w:sz w:val="20"/>
                <w:szCs w:val="20"/>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796.8</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3"/>
        </w:trPr>
        <w:tc>
          <w:tcPr>
            <w:tcW w:w="5020" w:type="dxa"/>
            <w:vAlign w:val="bottom"/>
            <w:tcBorders>
              <w:bottom w:val="single" w:sz="8" w:color="CCEEFF"/>
            </w:tcBorders>
            <w:shd w:val="clear" w:color="auto" w:fill="CCEEFF"/>
          </w:tcPr>
          <w:p>
            <w:pPr>
              <w:ind w:left="220"/>
              <w:spacing w:after="0"/>
              <w:rPr>
                <w:sz w:val="20"/>
                <w:szCs w:val="20"/>
                <w:color w:val="auto"/>
              </w:rPr>
            </w:pPr>
            <w:r>
              <w:rPr>
                <w:rFonts w:ascii="Times New Roman" w:cs="Times New Roman" w:eastAsia="Times New Roman" w:hAnsi="Times New Roman"/>
                <w:sz w:val="18"/>
                <w:szCs w:val="18"/>
                <w:color w:val="auto"/>
              </w:rPr>
              <w:t>GAAP diluted net income (loss) per share</w:t>
            </w:r>
          </w:p>
        </w:tc>
        <w:tc>
          <w:tcPr>
            <w:tcW w:w="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0.02</w:t>
            </w: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2"/>
              <w:spacing w:after="0"/>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0.01</w:t>
            </w:r>
          </w:p>
        </w:tc>
        <w:tc>
          <w:tcPr>
            <w:tcW w:w="1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(0.08)</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(0.17)</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(0.55)</w:t>
            </w:r>
          </w:p>
        </w:tc>
        <w:tc>
          <w:tcPr>
            <w:tcW w:w="0" w:type="dxa"/>
            <w:vAlign w:val="bottom"/>
          </w:tcPr>
          <w:p>
            <w:pPr>
              <w:spacing w:after="0"/>
              <w:rPr>
                <w:sz w:val="1"/>
                <w:szCs w:val="1"/>
                <w:color w:val="auto"/>
              </w:rPr>
            </w:pPr>
          </w:p>
        </w:tc>
      </w:tr>
      <w:tr>
        <w:trPr>
          <w:trHeight w:val="20"/>
        </w:trPr>
        <w:tc>
          <w:tcPr>
            <w:tcW w:w="5020" w:type="dxa"/>
            <w:vAlign w:val="bottom"/>
            <w:vMerge w:val="restart"/>
          </w:tcPr>
          <w:p>
            <w:pPr>
              <w:ind w:left="220"/>
              <w:spacing w:after="0"/>
              <w:rPr>
                <w:sz w:val="20"/>
                <w:szCs w:val="20"/>
                <w:color w:val="auto"/>
              </w:rPr>
            </w:pPr>
            <w:r>
              <w:rPr>
                <w:rFonts w:ascii="Times New Roman" w:cs="Times New Roman" w:eastAsia="Times New Roman" w:hAnsi="Times New Roman"/>
                <w:sz w:val="18"/>
                <w:szCs w:val="18"/>
                <w:color w:val="auto"/>
              </w:rPr>
              <w:t>Non-GAAP diluted net income per share</w:t>
            </w:r>
          </w:p>
        </w:tc>
        <w:tc>
          <w:tcPr>
            <w:tcW w:w="1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20" w:type="dxa"/>
            <w:vAlign w:val="bottom"/>
            <w:vMerge w:val="continue"/>
          </w:tcPr>
          <w:p>
            <w:pPr>
              <w:spacing w:after="0"/>
              <w:rPr>
                <w:sz w:val="17"/>
                <w:szCs w:val="17"/>
                <w:color w:val="auto"/>
              </w:rPr>
            </w:pPr>
          </w:p>
        </w:tc>
        <w:tc>
          <w:tcPr>
            <w:tcW w:w="16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0.57</w:t>
            </w:r>
          </w:p>
        </w:tc>
        <w:tc>
          <w:tcPr>
            <w:tcW w:w="140" w:type="dxa"/>
            <w:vAlign w:val="bottom"/>
          </w:tcPr>
          <w:p>
            <w:pPr>
              <w:spacing w:after="0"/>
              <w:rPr>
                <w:sz w:val="17"/>
                <w:szCs w:val="17"/>
                <w:color w:val="auto"/>
              </w:rPr>
            </w:pPr>
          </w:p>
        </w:tc>
        <w:tc>
          <w:tcPr>
            <w:tcW w:w="220" w:type="dxa"/>
            <w:vAlign w:val="bottom"/>
            <w:tcBorders>
              <w:top w:val="single" w:sz="8" w:color="auto"/>
              <w:bottom w:val="single" w:sz="8" w:color="auto"/>
            </w:tcBorders>
          </w:tcPr>
          <w:p>
            <w:pPr>
              <w:jc w:val="right"/>
              <w:ind w:right="32"/>
              <w:spacing w:after="0" w:line="196" w:lineRule="exact"/>
              <w:rPr>
                <w:sz w:val="20"/>
                <w:szCs w:val="20"/>
                <w:color w:val="auto"/>
              </w:rPr>
            </w:pPr>
            <w:r>
              <w:rPr>
                <w:rFonts w:ascii="Times New Roman" w:cs="Times New Roman" w:eastAsia="Times New Roman" w:hAnsi="Times New Roman"/>
                <w:sz w:val="18"/>
                <w:szCs w:val="18"/>
                <w:color w:val="auto"/>
                <w:w w:val="88"/>
              </w:rPr>
              <w:t>$</w:t>
            </w:r>
          </w:p>
        </w:tc>
        <w:tc>
          <w:tcPr>
            <w:tcW w:w="92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0.57</w:t>
            </w:r>
          </w:p>
        </w:tc>
        <w:tc>
          <w:tcPr>
            <w:tcW w:w="140" w:type="dxa"/>
            <w:vAlign w:val="bottom"/>
          </w:tcPr>
          <w:p>
            <w:pPr>
              <w:spacing w:after="0"/>
              <w:rPr>
                <w:sz w:val="17"/>
                <w:szCs w:val="17"/>
                <w:color w:val="auto"/>
              </w:rPr>
            </w:pPr>
          </w:p>
        </w:tc>
        <w:tc>
          <w:tcPr>
            <w:tcW w:w="16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0.43</w:t>
            </w:r>
          </w:p>
        </w:tc>
        <w:tc>
          <w:tcPr>
            <w:tcW w:w="100" w:type="dxa"/>
            <w:vAlign w:val="bottom"/>
          </w:tcPr>
          <w:p>
            <w:pPr>
              <w:spacing w:after="0"/>
              <w:rPr>
                <w:sz w:val="17"/>
                <w:szCs w:val="17"/>
                <w:color w:val="auto"/>
              </w:rPr>
            </w:pPr>
          </w:p>
        </w:tc>
        <w:tc>
          <w:tcPr>
            <w:tcW w:w="18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w w:val="88"/>
              </w:rPr>
              <w:t>$</w:t>
            </w:r>
          </w:p>
        </w:tc>
        <w:tc>
          <w:tcPr>
            <w:tcW w:w="98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1.66</w:t>
            </w:r>
          </w:p>
        </w:tc>
        <w:tc>
          <w:tcPr>
            <w:tcW w:w="100" w:type="dxa"/>
            <w:vAlign w:val="bottom"/>
          </w:tcPr>
          <w:p>
            <w:pPr>
              <w:spacing w:after="0"/>
              <w:rPr>
                <w:sz w:val="17"/>
                <w:szCs w:val="17"/>
                <w:color w:val="auto"/>
              </w:rPr>
            </w:pPr>
          </w:p>
        </w:tc>
        <w:tc>
          <w:tcPr>
            <w:tcW w:w="18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bottom w:val="single" w:sz="8" w:color="auto"/>
            </w:tcBorders>
          </w:tcPr>
          <w:p>
            <w:pPr>
              <w:jc w:val="right"/>
              <w:spacing w:after="0" w:line="196" w:lineRule="exact"/>
              <w:rPr>
                <w:sz w:val="20"/>
                <w:szCs w:val="20"/>
                <w:color w:val="auto"/>
              </w:rPr>
            </w:pPr>
            <w:r>
              <w:rPr>
                <w:rFonts w:ascii="Times New Roman" w:cs="Times New Roman" w:eastAsia="Times New Roman" w:hAnsi="Times New Roman"/>
                <w:sz w:val="18"/>
                <w:szCs w:val="18"/>
                <w:color w:val="auto"/>
              </w:rPr>
              <w:t>1.07</w:t>
            </w:r>
          </w:p>
        </w:tc>
        <w:tc>
          <w:tcPr>
            <w:tcW w:w="0" w:type="dxa"/>
            <w:vAlign w:val="bottom"/>
          </w:tcPr>
          <w:p>
            <w:pPr>
              <w:spacing w:after="0"/>
              <w:rPr>
                <w:sz w:val="1"/>
                <w:szCs w:val="1"/>
                <w:color w:val="auto"/>
              </w:rPr>
            </w:pPr>
          </w:p>
        </w:tc>
      </w:tr>
      <w:tr>
        <w:trPr>
          <w:trHeight w:val="20"/>
        </w:trPr>
        <w:tc>
          <w:tcPr>
            <w:tcW w:w="50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789" w:right="339" w:bottom="1440" w:gutter="0" w:footer="0" w:header="0"/>
        </w:sectPr>
      </w:pPr>
    </w:p>
    <w:bookmarkStart w:id="12" w:name="page13"/>
    <w:bookmarkEnd w:id="12"/>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cost of goods sold includes amortization of acquired inventory fair value adjustments.</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Restructuring and other related items include asset impairment charges, employee severance costs, facilities related charges, and other.</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Relates to a settlement of a contractual dispute.</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operating expenses include acquisition related costs.</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Debt issuance related costs and other includes the partial term loan repayment and bridge financing, and gains or losses on investments.</w:t>
      </w:r>
    </w:p>
    <w:p>
      <w:pPr>
        <w:spacing w:after="0" w:line="108" w:lineRule="exact"/>
        <w:rPr>
          <w:rFonts w:ascii="Times New Roman" w:cs="Times New Roman" w:eastAsia="Times New Roman" w:hAnsi="Times New Roman"/>
          <w:sz w:val="18"/>
          <w:szCs w:val="18"/>
          <w:i w:val="1"/>
          <w:iCs w:val="1"/>
          <w:color w:val="auto"/>
        </w:rPr>
      </w:pPr>
    </w:p>
    <w:p>
      <w:pPr>
        <w:ind w:left="417" w:hanging="417"/>
        <w:spacing w:after="0" w:line="235" w:lineRule="auto"/>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Other income tax effects and adjustments relate to tax provision based on a non-GAAP income tax rate of 6.0% for the three and nine months ended October 29, 2022, and for the three months ended July 30, 2022. Other income tax effects and adjustments relate to tax provision based on a non-GAAP income tax rate of 5.0% for the three and nine months ended October 30, 2021.</w:t>
      </w:r>
    </w:p>
    <w:p>
      <w:pPr>
        <w:spacing w:after="0" w:line="101" w:lineRule="exact"/>
        <w:rPr>
          <w:rFonts w:ascii="Times New Roman" w:cs="Times New Roman" w:eastAsia="Times New Roman" w:hAnsi="Times New Roman"/>
          <w:sz w:val="18"/>
          <w:szCs w:val="18"/>
          <w:i w:val="1"/>
          <w:iCs w:val="1"/>
          <w:color w:val="auto"/>
        </w:rPr>
      </w:pPr>
    </w:p>
    <w:p>
      <w:pPr>
        <w:ind w:left="417" w:hanging="417"/>
        <w:spacing w:after="0"/>
        <w:tabs>
          <w:tab w:leader="none" w:pos="417" w:val="left"/>
        </w:tabs>
        <w:numPr>
          <w:ilvl w:val="0"/>
          <w:numId w:val="6"/>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Non-GAAP diluted weighted average shares differs from GAAP diluted weighted average shares due to the non-GAAP net income reported.</w:t>
      </w:r>
    </w:p>
    <w:p>
      <w:pPr>
        <w:sectPr>
          <w:pgSz w:w="11900" w:h="16838" w:orient="portrait"/>
          <w:cols w:equalWidth="0" w:num="1">
            <w:col w:w="10817"/>
          </w:cols>
          <w:pgMar w:left="343" w:top="791" w:right="739" w:bottom="1440" w:gutter="0" w:footer="0" w:header="0"/>
        </w:sectPr>
      </w:pPr>
    </w:p>
    <w:bookmarkStart w:id="13" w:name="page14"/>
    <w:bookmarkEnd w:id="13"/>
    <w:p>
      <w:pPr>
        <w:jc w:val="center"/>
        <w:ind w:right="-619"/>
        <w:spacing w:after="0"/>
        <w:rPr>
          <w:sz w:val="20"/>
          <w:szCs w:val="20"/>
          <w:color w:val="auto"/>
        </w:rPr>
      </w:pPr>
      <w:r>
        <w:rPr>
          <w:rFonts w:ascii="Times New Roman" w:cs="Times New Roman" w:eastAsia="Times New Roman" w:hAnsi="Times New Roman"/>
          <w:sz w:val="18"/>
          <w:szCs w:val="18"/>
          <w:b w:val="1"/>
          <w:bCs w:val="1"/>
          <w:color w:val="auto"/>
        </w:rPr>
        <w:t>Marvell Technology, Inc.</w:t>
      </w:r>
    </w:p>
    <w:p>
      <w:pPr>
        <w:spacing w:after="0" w:line="23" w:lineRule="exact"/>
        <w:rPr>
          <w:sz w:val="20"/>
          <w:szCs w:val="20"/>
          <w:color w:val="auto"/>
        </w:rPr>
      </w:pPr>
    </w:p>
    <w:p>
      <w:pPr>
        <w:jc w:val="center"/>
        <w:ind w:right="-619"/>
        <w:spacing w:after="0"/>
        <w:rPr>
          <w:sz w:val="20"/>
          <w:szCs w:val="20"/>
          <w:color w:val="auto"/>
        </w:rPr>
      </w:pPr>
      <w:r>
        <w:rPr>
          <w:rFonts w:ascii="Times New Roman" w:cs="Times New Roman" w:eastAsia="Times New Roman" w:hAnsi="Times New Roman"/>
          <w:sz w:val="18"/>
          <w:szCs w:val="18"/>
          <w:b w:val="1"/>
          <w:bCs w:val="1"/>
          <w:color w:val="auto"/>
        </w:rPr>
        <w:t>Outlook for the Fourth Quarter of Fiscal Year 2023</w:t>
      </w:r>
    </w:p>
    <w:p>
      <w:pPr>
        <w:spacing w:after="0" w:line="16" w:lineRule="exact"/>
        <w:rPr>
          <w:sz w:val="20"/>
          <w:szCs w:val="20"/>
          <w:color w:val="auto"/>
        </w:rPr>
      </w:pPr>
    </w:p>
    <w:p>
      <w:pPr>
        <w:jc w:val="center"/>
        <w:ind w:right="-579"/>
        <w:spacing w:after="0"/>
        <w:rPr>
          <w:sz w:val="20"/>
          <w:szCs w:val="20"/>
          <w:color w:val="auto"/>
        </w:rPr>
      </w:pPr>
      <w:r>
        <w:rPr>
          <w:rFonts w:ascii="Times New Roman" w:cs="Times New Roman" w:eastAsia="Times New Roman" w:hAnsi="Times New Roman"/>
          <w:sz w:val="16"/>
          <w:szCs w:val="16"/>
          <w:b w:val="1"/>
          <w:bCs w:val="1"/>
          <w:color w:val="auto"/>
        </w:rPr>
        <w:t>Reconciliations from GAAP to Non-GAAP (Unaudited)</w:t>
      </w:r>
    </w:p>
    <w:p>
      <w:pPr>
        <w:spacing w:after="0" w:line="39" w:lineRule="exact"/>
        <w:rPr>
          <w:sz w:val="20"/>
          <w:szCs w:val="20"/>
          <w:color w:val="auto"/>
        </w:rPr>
      </w:pPr>
    </w:p>
    <w:p>
      <w:pPr>
        <w:jc w:val="center"/>
        <w:ind w:right="-619"/>
        <w:spacing w:after="0"/>
        <w:rPr>
          <w:sz w:val="20"/>
          <w:szCs w:val="20"/>
          <w:color w:val="auto"/>
        </w:rPr>
      </w:pPr>
      <w:r>
        <w:rPr>
          <w:rFonts w:ascii="Times New Roman" w:cs="Times New Roman" w:eastAsia="Times New Roman" w:hAnsi="Times New Roman"/>
          <w:sz w:val="18"/>
          <w:szCs w:val="18"/>
          <w:b w:val="1"/>
          <w:bCs w:val="1"/>
          <w:color w:val="auto"/>
        </w:rPr>
        <w:t>(In millions, except per share amounts)</w:t>
      </w:r>
    </w:p>
    <w:p>
      <w:pPr>
        <w:sectPr>
          <w:pgSz w:w="11900" w:h="16838" w:orient="portrait"/>
          <w:cols w:equalWidth="0" w:num="1">
            <w:col w:w="10200"/>
          </w:cols>
          <w:pgMar w:left="560" w:top="789" w:right="1139" w:bottom="1440" w:gutter="0" w:footer="0" w:header="0"/>
        </w:sect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-134620</wp:posOffset>
            </wp:positionV>
            <wp:extent cx="7136130" cy="1504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10795</wp:posOffset>
            </wp:positionV>
            <wp:extent cx="7136130" cy="1504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Non-GAAP net revenue</w:t>
      </w:r>
    </w:p>
    <w:p>
      <w:pPr>
        <w:spacing w:after="0" w:line="2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-126365</wp:posOffset>
            </wp:positionV>
            <wp:extent cx="7136130" cy="1416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Special items:</w:t>
      </w:r>
    </w:p>
    <w:p>
      <w:pPr>
        <w:spacing w:after="0" w:line="1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color w:val="auto"/>
        </w:rPr>
        <w:t>Stock-based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180"/>
        <w:spacing w:after="0"/>
        <w:rPr>
          <w:sz w:val="20"/>
          <w:szCs w:val="20"/>
          <w:color w:val="auto"/>
        </w:rPr>
      </w:pPr>
      <w:r>
        <w:rPr>
          <w:rFonts w:ascii="Times New Roman" w:cs="Times New Roman" w:eastAsia="Times New Roman" w:hAnsi="Times New Roman"/>
          <w:sz w:val="16"/>
          <w:szCs w:val="16"/>
          <w:color w:val="auto"/>
        </w:rPr>
        <w:t>Amortization of acquired intangible assets</w:t>
      </w:r>
    </w:p>
    <w:p>
      <w:pPr>
        <w:spacing w:after="0" w:line="39"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color w:val="auto"/>
        </w:rPr>
        <w:t>Other costs of goods sold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13970</wp:posOffset>
            </wp:positionV>
            <wp:extent cx="7136130" cy="1587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6130" cy="158750"/>
                    </a:xfrm>
                    <a:prstGeom prst="rect">
                      <a:avLst/>
                    </a:prstGeom>
                    <a:noFill/>
                  </pic:spPr>
                </pic:pic>
              </a:graphicData>
            </a:graphic>
          </wp:anchor>
        </w:drawing>
      </w:r>
    </w:p>
    <w:p>
      <w:pPr>
        <w:spacing w:after="0" w:line="24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Total GAAP operating expenses</w:t>
      </w:r>
    </w:p>
    <w:p>
      <w:pPr>
        <w:spacing w:after="0" w:line="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180"/>
        <w:spacing w:after="0"/>
        <w:rPr>
          <w:sz w:val="20"/>
          <w:szCs w:val="20"/>
          <w:color w:val="auto"/>
        </w:rPr>
      </w:pPr>
      <w:r>
        <w:rPr>
          <w:rFonts w:ascii="Times New Roman" w:cs="Times New Roman" w:eastAsia="Times New Roman" w:hAnsi="Times New Roman"/>
          <w:sz w:val="18"/>
          <w:szCs w:val="18"/>
          <w:color w:val="auto"/>
        </w:rPr>
        <w:t>Stock-based compensation</w:t>
      </w:r>
    </w:p>
    <w:p>
      <w:pPr>
        <w:spacing w:after="0" w:line="1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-115570</wp:posOffset>
            </wp:positionV>
            <wp:extent cx="7136130" cy="1416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19"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color w:val="auto"/>
        </w:rPr>
        <w:t>Restructuring related charges</w:t>
      </w:r>
    </w:p>
    <w:p>
      <w:pPr>
        <w:spacing w:after="0" w:line="1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color w:val="auto"/>
        </w:rPr>
        <w:t>Other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13970</wp:posOffset>
            </wp:positionV>
            <wp:extent cx="7136130" cy="12509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6130" cy="125095"/>
                    </a:xfrm>
                    <a:prstGeom prst="rect">
                      <a:avLst/>
                    </a:prstGeom>
                    <a:noFill/>
                  </pic:spPr>
                </pic:pic>
              </a:graphicData>
            </a:graphic>
          </wp:anchor>
        </w:drawing>
      </w:r>
    </w:p>
    <w:p>
      <w:pPr>
        <w:spacing w:after="0" w:line="200" w:lineRule="exact"/>
        <w:rPr>
          <w:sz w:val="20"/>
          <w:szCs w:val="20"/>
          <w:color w:val="auto"/>
        </w:rPr>
      </w:pPr>
    </w:p>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GAAP diluted net income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-126365</wp:posOffset>
            </wp:positionV>
            <wp:extent cx="7136130" cy="1416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Special items:</w:t>
      </w:r>
    </w:p>
    <w:p>
      <w:pPr>
        <w:spacing w:after="0" w:line="16"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color w:val="auto"/>
        </w:rPr>
        <w:t>Stock-based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180"/>
        <w:spacing w:after="0"/>
        <w:rPr>
          <w:sz w:val="20"/>
          <w:szCs w:val="20"/>
          <w:color w:val="auto"/>
        </w:rPr>
      </w:pPr>
      <w:r>
        <w:rPr>
          <w:rFonts w:ascii="Times New Roman" w:cs="Times New Roman" w:eastAsia="Times New Roman" w:hAnsi="Times New Roman"/>
          <w:sz w:val="16"/>
          <w:szCs w:val="16"/>
          <w:color w:val="auto"/>
        </w:rPr>
        <w:t>Amortization of acquired intangible assets</w:t>
      </w:r>
    </w:p>
    <w:p>
      <w:pPr>
        <w:spacing w:after="0" w:line="39" w:lineRule="exact"/>
        <w:rPr>
          <w:sz w:val="20"/>
          <w:szCs w:val="20"/>
          <w:color w:val="auto"/>
        </w:rPr>
      </w:pPr>
    </w:p>
    <w:p>
      <w:pPr>
        <w:ind w:left="180"/>
        <w:spacing w:after="0"/>
        <w:rPr>
          <w:sz w:val="20"/>
          <w:szCs w:val="20"/>
          <w:color w:val="auto"/>
        </w:rPr>
      </w:pPr>
      <w:r>
        <w:rPr>
          <w:rFonts w:ascii="Times New Roman" w:cs="Times New Roman" w:eastAsia="Times New Roman" w:hAnsi="Times New Roman"/>
          <w:sz w:val="18"/>
          <w:szCs w:val="18"/>
          <w:color w:val="auto"/>
        </w:rPr>
        <w:t>Other cost of goods sold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-130175</wp:posOffset>
            </wp:positionV>
            <wp:extent cx="7136130" cy="14160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180"/>
        <w:spacing w:after="0"/>
        <w:rPr>
          <w:sz w:val="20"/>
          <w:szCs w:val="20"/>
          <w:color w:val="auto"/>
        </w:rPr>
      </w:pPr>
      <w:r>
        <w:rPr>
          <w:rFonts w:ascii="Times New Roman" w:cs="Times New Roman" w:eastAsia="Times New Roman" w:hAnsi="Times New Roman"/>
          <w:sz w:val="16"/>
          <w:szCs w:val="16"/>
          <w:color w:val="auto"/>
        </w:rPr>
        <w:t>Other income tax effects and adjustments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25400</wp:posOffset>
            </wp:positionV>
            <wp:extent cx="7136130" cy="15049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2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Non-GAAP diluted net income per share</w:t>
      </w:r>
    </w:p>
    <w:p>
      <w:pPr>
        <w:spacing w:after="0" w:line="20" w:lineRule="exact"/>
        <w:rPr>
          <w:sz w:val="20"/>
          <w:szCs w:val="20"/>
          <w:color w:val="auto"/>
        </w:rPr>
      </w:pPr>
      <w:r>
        <w:rPr>
          <w:sz w:val="20"/>
          <w:szCs w:val="20"/>
          <w:color w:val="auto"/>
        </w:rPr>
        <w:br w:type="column"/>
      </w:r>
    </w:p>
    <w:p>
      <w:pPr>
        <w:spacing w:after="0" w:line="9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Outlook for Three Months Ended</w:t>
      </w:r>
    </w:p>
    <w:p>
      <w:pPr>
        <w:spacing w:after="0" w:line="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January 28, 2023</w:t>
      </w:r>
    </w:p>
    <w:p>
      <w:pPr>
        <w:spacing w:after="0" w:line="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$1,400 +/- 5%</w:t>
      </w:r>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w:t>
      </w:r>
    </w:p>
    <w:p>
      <w:pPr>
        <w:spacing w:after="0" w:line="25" w:lineRule="exact"/>
        <w:rPr>
          <w:sz w:val="20"/>
          <w:szCs w:val="20"/>
          <w:color w:val="auto"/>
        </w:rPr>
      </w:pPr>
    </w:p>
    <w:p>
      <w:pPr>
        <w:ind w:left="500"/>
        <w:spacing w:after="0"/>
        <w:rPr>
          <w:sz w:val="20"/>
          <w:szCs w:val="20"/>
          <w:color w:val="auto"/>
        </w:rPr>
      </w:pPr>
      <w:r>
        <w:rPr>
          <w:rFonts w:ascii="Times New Roman" w:cs="Times New Roman" w:eastAsia="Times New Roman" w:hAnsi="Times New Roman"/>
          <w:sz w:val="18"/>
          <w:szCs w:val="18"/>
          <w:color w:val="auto"/>
        </w:rPr>
        <w:t>$1,400 +/- 5%</w:t>
      </w:r>
    </w:p>
    <w:p>
      <w:pPr>
        <w:spacing w:after="0" w:line="26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49.2% +/- 1%</w:t>
      </w:r>
    </w:p>
    <w:p>
      <w:pPr>
        <w:spacing w:after="0" w:line="240" w:lineRule="exact"/>
        <w:rPr>
          <w:sz w:val="20"/>
          <w:szCs w:val="20"/>
          <w:color w:val="auto"/>
        </w:rPr>
      </w:pPr>
    </w:p>
    <w:p>
      <w:pPr>
        <w:ind w:left="820"/>
        <w:spacing w:after="0"/>
        <w:rPr>
          <w:sz w:val="20"/>
          <w:szCs w:val="20"/>
          <w:color w:val="auto"/>
        </w:rPr>
      </w:pPr>
      <w:r>
        <w:rPr>
          <w:rFonts w:ascii="Times New Roman" w:cs="Times New Roman" w:eastAsia="Times New Roman" w:hAnsi="Times New Roman"/>
          <w:sz w:val="18"/>
          <w:szCs w:val="18"/>
          <w:color w:val="auto"/>
        </w:rPr>
        <w:t>0.7%</w:t>
      </w:r>
    </w:p>
    <w:p>
      <w:pPr>
        <w:spacing w:after="0" w:line="21" w:lineRule="exact"/>
        <w:rPr>
          <w:sz w:val="20"/>
          <w:szCs w:val="20"/>
          <w:color w:val="auto"/>
        </w:rPr>
      </w:pPr>
    </w:p>
    <w:p>
      <w:pPr>
        <w:ind w:left="780"/>
        <w:spacing w:after="0"/>
        <w:rPr>
          <w:sz w:val="20"/>
          <w:szCs w:val="20"/>
          <w:color w:val="auto"/>
        </w:rPr>
      </w:pPr>
      <w:r>
        <w:rPr>
          <w:rFonts w:ascii="Times New Roman" w:cs="Times New Roman" w:eastAsia="Times New Roman" w:hAnsi="Times New Roman"/>
          <w:sz w:val="18"/>
          <w:szCs w:val="18"/>
          <w:color w:val="auto"/>
        </w:rPr>
        <w:t>13.2%</w:t>
      </w:r>
    </w:p>
    <w:p>
      <w:pPr>
        <w:spacing w:after="0" w:line="16" w:lineRule="exact"/>
        <w:rPr>
          <w:sz w:val="20"/>
          <w:szCs w:val="20"/>
          <w:color w:val="auto"/>
        </w:rPr>
      </w:pPr>
    </w:p>
    <w:p>
      <w:pPr>
        <w:ind w:left="820"/>
        <w:spacing w:after="0"/>
        <w:rPr>
          <w:sz w:val="20"/>
          <w:szCs w:val="20"/>
          <w:color w:val="auto"/>
        </w:rPr>
      </w:pPr>
      <w:r>
        <w:rPr>
          <w:rFonts w:ascii="Times New Roman" w:cs="Times New Roman" w:eastAsia="Times New Roman" w:hAnsi="Times New Roman"/>
          <w:sz w:val="18"/>
          <w:szCs w:val="18"/>
          <w:color w:val="auto"/>
        </w:rPr>
        <w:t>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10795</wp:posOffset>
            </wp:positionV>
            <wp:extent cx="2303780"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5" w:lineRule="exact"/>
        <w:rPr>
          <w:sz w:val="20"/>
          <w:szCs w:val="20"/>
          <w:color w:val="auto"/>
        </w:rPr>
      </w:pPr>
    </w:p>
    <w:p>
      <w:pPr>
        <w:ind w:left="860" w:hanging="146"/>
        <w:spacing w:after="0"/>
        <w:tabs>
          <w:tab w:leader="none" w:pos="8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64.0%</w:t>
      </w:r>
    </w:p>
    <w:p>
      <w:pPr>
        <w:spacing w:after="0" w:line="266" w:lineRule="exact"/>
        <w:rPr>
          <w:rFonts w:ascii="Times New Roman" w:cs="Times New Roman" w:eastAsia="Times New Roman" w:hAnsi="Times New Roman"/>
          <w:sz w:val="18"/>
          <w:szCs w:val="18"/>
          <w:color w:val="auto"/>
        </w:rPr>
      </w:pPr>
    </w:p>
    <w:p>
      <w:pPr>
        <w:ind w:left="900" w:hanging="135"/>
        <w:spacing w:after="0"/>
        <w:tabs>
          <w:tab w:leader="none" w:pos="900" w:val="left"/>
        </w:tabs>
        <w:numPr>
          <w:ilvl w:val="1"/>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$646</w:t>
      </w:r>
    </w:p>
    <w:p>
      <w:pPr>
        <w:spacing w:after="0" w:line="240"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18"/>
          <w:szCs w:val="18"/>
          <w:color w:val="auto"/>
        </w:rPr>
        <w:t>124</w:t>
      </w:r>
    </w:p>
    <w:p>
      <w:pPr>
        <w:spacing w:after="0" w:line="21" w:lineRule="exact"/>
        <w:rPr>
          <w:sz w:val="20"/>
          <w:szCs w:val="20"/>
          <w:color w:val="auto"/>
        </w:rPr>
      </w:pPr>
    </w:p>
    <w:p>
      <w:pPr>
        <w:ind w:left="920"/>
        <w:spacing w:after="0"/>
        <w:rPr>
          <w:sz w:val="20"/>
          <w:szCs w:val="20"/>
          <w:color w:val="auto"/>
        </w:rPr>
      </w:pPr>
      <w:r>
        <w:rPr>
          <w:rFonts w:ascii="Times New Roman" w:cs="Times New Roman" w:eastAsia="Times New Roman" w:hAnsi="Times New Roman"/>
          <w:sz w:val="18"/>
          <w:szCs w:val="18"/>
          <w:color w:val="auto"/>
        </w:rPr>
        <w:t>88</w:t>
      </w:r>
    </w:p>
    <w:p>
      <w:pPr>
        <w:spacing w:after="0" w:line="16" w:lineRule="exact"/>
        <w:rPr>
          <w:sz w:val="20"/>
          <w:szCs w:val="20"/>
          <w:color w:val="auto"/>
        </w:rPr>
      </w:pPr>
    </w:p>
    <w:p>
      <w:pPr>
        <w:ind w:left="960"/>
        <w:spacing w:after="0"/>
        <w:rPr>
          <w:sz w:val="20"/>
          <w:szCs w:val="20"/>
          <w:color w:val="auto"/>
        </w:rPr>
      </w:pPr>
      <w:r>
        <w:rPr>
          <w:rFonts w:ascii="Times New Roman" w:cs="Times New Roman" w:eastAsia="Times New Roman" w:hAnsi="Times New Roman"/>
          <w:sz w:val="18"/>
          <w:szCs w:val="18"/>
          <w:color w:val="auto"/>
        </w:rPr>
        <w:t>2</w:t>
      </w:r>
    </w:p>
    <w:p>
      <w:pPr>
        <w:spacing w:after="0" w:line="16" w:lineRule="exact"/>
        <w:rPr>
          <w:sz w:val="20"/>
          <w:szCs w:val="20"/>
          <w:color w:val="auto"/>
        </w:rPr>
      </w:pPr>
    </w:p>
    <w:p>
      <w:pPr>
        <w:ind w:left="960"/>
        <w:spacing w:after="0"/>
        <w:rPr>
          <w:sz w:val="20"/>
          <w:szCs w:val="20"/>
          <w:color w:val="auto"/>
        </w:rPr>
      </w:pPr>
      <w:r>
        <w:rPr>
          <w:rFonts w:ascii="Times New Roman" w:cs="Times New Roman" w:eastAsia="Times New Roman" w:hAnsi="Times New Roman"/>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-510540</wp:posOffset>
            </wp:positionH>
            <wp:positionV relativeFrom="paragraph">
              <wp:posOffset>10795</wp:posOffset>
            </wp:positionV>
            <wp:extent cx="2303780" cy="82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2303780" cy="8255"/>
                    </a:xfrm>
                    <a:prstGeom prst="rect">
                      <a:avLst/>
                    </a:prstGeom>
                    <a:noFill/>
                  </pic:spPr>
                </pic:pic>
              </a:graphicData>
            </a:graphic>
          </wp:anchor>
        </w:drawing>
      </w:r>
    </w:p>
    <w:p>
      <w:pPr>
        <w:spacing w:after="0" w:line="5" w:lineRule="exact"/>
        <w:rPr>
          <w:sz w:val="20"/>
          <w:szCs w:val="20"/>
          <w:color w:val="auto"/>
        </w:rPr>
      </w:pPr>
    </w:p>
    <w:p>
      <w:pPr>
        <w:ind w:left="760"/>
        <w:spacing w:after="0"/>
        <w:rPr>
          <w:sz w:val="20"/>
          <w:szCs w:val="20"/>
          <w:color w:val="auto"/>
        </w:rPr>
      </w:pPr>
      <w:r>
        <w:rPr>
          <w:rFonts w:ascii="Times New Roman" w:cs="Times New Roman" w:eastAsia="Times New Roman" w:hAnsi="Times New Roman"/>
          <w:sz w:val="18"/>
          <w:szCs w:val="18"/>
          <w:color w:val="auto"/>
        </w:rPr>
        <w:t>~ $430</w:t>
      </w:r>
    </w:p>
    <w:p>
      <w:pPr>
        <w:spacing w:after="0" w:line="200" w:lineRule="exact"/>
        <w:rPr>
          <w:sz w:val="20"/>
          <w:szCs w:val="20"/>
          <w:color w:val="auto"/>
        </w:rPr>
      </w:pPr>
    </w:p>
    <w:p>
      <w:pPr>
        <w:spacing w:after="0" w:line="224" w:lineRule="exact"/>
        <w:rPr>
          <w:sz w:val="20"/>
          <w:szCs w:val="20"/>
          <w:color w:val="auto"/>
        </w:rPr>
      </w:pPr>
    </w:p>
    <w:p>
      <w:pPr>
        <w:ind w:left="500"/>
        <w:spacing w:after="0"/>
        <w:rPr>
          <w:sz w:val="20"/>
          <w:szCs w:val="20"/>
          <w:color w:val="auto"/>
        </w:rPr>
      </w:pPr>
      <w:r>
        <w:rPr>
          <w:rFonts w:ascii="Times New Roman" w:cs="Times New Roman" w:eastAsia="Times New Roman" w:hAnsi="Times New Roman"/>
          <w:sz w:val="18"/>
          <w:szCs w:val="18"/>
          <w:color w:val="auto"/>
        </w:rPr>
        <w:t>$0.00 +/- $0.05</w:t>
      </w:r>
    </w:p>
    <w:p>
      <w:pPr>
        <w:spacing w:after="0" w:line="240"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0.16</w:t>
      </w:r>
    </w:p>
    <w:p>
      <w:pPr>
        <w:spacing w:after="0" w:line="21"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0.31</w:t>
      </w:r>
    </w:p>
    <w:p>
      <w:pPr>
        <w:spacing w:after="0" w:line="16"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0.02</w:t>
      </w:r>
    </w:p>
    <w:p>
      <w:pPr>
        <w:spacing w:after="0" w:line="16" w:lineRule="exact"/>
        <w:rPr>
          <w:sz w:val="20"/>
          <w:szCs w:val="20"/>
          <w:color w:val="auto"/>
        </w:rPr>
      </w:pPr>
    </w:p>
    <w:p>
      <w:pPr>
        <w:ind w:left="800"/>
        <w:spacing w:after="0"/>
        <w:rPr>
          <w:sz w:val="20"/>
          <w:szCs w:val="20"/>
          <w:color w:val="auto"/>
        </w:rPr>
      </w:pPr>
      <w:r>
        <w:rPr>
          <w:rFonts w:ascii="Times New Roman" w:cs="Times New Roman" w:eastAsia="Times New Roman" w:hAnsi="Times New Roman"/>
          <w:sz w:val="18"/>
          <w:szCs w:val="18"/>
          <w:color w:val="auto"/>
        </w:rPr>
        <w:t>(0.03)</w:t>
      </w:r>
    </w:p>
    <w:p>
      <w:pPr>
        <w:spacing w:after="0" w:line="2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$0.46 +/- $0.05</w:t>
      </w:r>
    </w:p>
    <w:p>
      <w:pPr>
        <w:sectPr>
          <w:pgSz w:w="11900" w:h="16838" w:orient="portrait"/>
          <w:cols w:equalWidth="0" w:num="2">
            <w:col w:w="7460" w:space="720"/>
            <w:col w:w="2020"/>
          </w:cols>
          <w:pgMar w:left="560" w:top="789" w:right="1139" w:bottom="1440" w:gutter="0" w:footer="0" w:header="0"/>
          <w:type w:val="continuous"/>
        </w:sectPr>
      </w:pPr>
    </w:p>
    <w:bookmarkStart w:id="14" w:name="page15"/>
    <w:bookmarkEnd w:id="14"/>
    <w:p>
      <w:pPr>
        <w:jc w:val="center"/>
        <w:ind w:right="100"/>
        <w:spacing w:after="0"/>
        <w:rPr>
          <w:sz w:val="20"/>
          <w:szCs w:val="20"/>
          <w:color w:val="auto"/>
        </w:rPr>
      </w:pPr>
      <w:r>
        <w:rPr>
          <w:rFonts w:ascii="Times New Roman" w:cs="Times New Roman" w:eastAsia="Times New Roman" w:hAnsi="Times New Roman"/>
          <w:sz w:val="18"/>
          <w:szCs w:val="18"/>
          <w:b w:val="1"/>
          <w:bCs w:val="1"/>
          <w:color w:val="auto"/>
        </w:rPr>
        <w:t>Quarterly Revenue Trend (Unaudited)</w:t>
      </w:r>
    </w:p>
    <w:p>
      <w:pPr>
        <w:spacing w:after="0" w:line="229" w:lineRule="exact"/>
        <w:rPr>
          <w:sz w:val="20"/>
          <w:szCs w:val="20"/>
          <w:color w:val="auto"/>
        </w:rPr>
      </w:pPr>
    </w:p>
    <w:p>
      <w:pPr>
        <w:ind w:right="200" w:firstLine="394"/>
        <w:spacing w:after="0" w:line="314" w:lineRule="auto"/>
        <w:rPr>
          <w:sz w:val="20"/>
          <w:szCs w:val="20"/>
          <w:color w:val="auto"/>
        </w:rPr>
      </w:pPr>
      <w:r>
        <w:rPr>
          <w:rFonts w:ascii="Times New Roman" w:cs="Times New Roman" w:eastAsia="Times New Roman" w:hAnsi="Times New Roman"/>
          <w:sz w:val="16"/>
          <w:szCs w:val="16"/>
          <w:color w:val="auto"/>
        </w:rPr>
        <w:t>Our product solutions serve five large end markets where our technology is essential: (i) data center, (ii) enterprise networking, (iii) carrier infrastructure, (iv) consumer, and (v) automotive/industrial. These markets and their corresponding customer products and applications are noted in the table below:</w:t>
      </w:r>
    </w:p>
    <w:p>
      <w:pPr>
        <w:spacing w:after="0" w:line="174" w:lineRule="exact"/>
        <w:rPr>
          <w:sz w:val="20"/>
          <w:szCs w:val="20"/>
          <w:color w:val="auto"/>
        </w:rPr>
      </w:pPr>
    </w:p>
    <w:tbl>
      <w:tblPr>
        <w:tblLayout w:type="fixed"/>
        <w:tblInd w:w="410" w:type="dxa"/>
        <w:tblCellMar>
          <w:top w:w="0" w:type="dxa"/>
          <w:left w:w="0" w:type="dxa"/>
          <w:bottom w:w="0" w:type="dxa"/>
          <w:right w:w="0" w:type="dxa"/>
        </w:tblCellMar>
      </w:tblPr>
      <w:tr>
        <w:trPr>
          <w:trHeight w:val="249"/>
        </w:trPr>
        <w:tc>
          <w:tcPr>
            <w:tcW w:w="3720" w:type="dxa"/>
            <w:vAlign w:val="bottom"/>
            <w:tcBorders>
              <w:top w:val="single" w:sz="8" w:color="auto"/>
              <w:left w:val="single" w:sz="8" w:color="auto"/>
              <w:right w:val="single" w:sz="8" w:color="auto"/>
            </w:tcBorders>
          </w:tcPr>
          <w:p>
            <w:pPr>
              <w:ind w:left="40"/>
              <w:spacing w:after="0"/>
              <w:rPr>
                <w:sz w:val="20"/>
                <w:szCs w:val="20"/>
                <w:color w:val="auto"/>
              </w:rPr>
            </w:pPr>
            <w:r>
              <w:rPr>
                <w:rFonts w:ascii="Times New Roman" w:cs="Times New Roman" w:eastAsia="Times New Roman" w:hAnsi="Times New Roman"/>
                <w:sz w:val="18"/>
                <w:szCs w:val="18"/>
                <w:b w:val="1"/>
                <w:bCs w:val="1"/>
                <w:color w:val="auto"/>
              </w:rPr>
              <w:t>End market</w:t>
            </w:r>
          </w:p>
        </w:tc>
        <w:tc>
          <w:tcPr>
            <w:tcW w:w="7220" w:type="dxa"/>
            <w:vAlign w:val="bottom"/>
            <w:tcBorders>
              <w:top w:val="single" w:sz="8" w:color="auto"/>
            </w:tcBorders>
            <w:gridSpan w:val="2"/>
          </w:tcPr>
          <w:p>
            <w:pPr>
              <w:ind w:left="20"/>
              <w:spacing w:after="0"/>
              <w:rPr>
                <w:sz w:val="20"/>
                <w:szCs w:val="20"/>
                <w:color w:val="auto"/>
              </w:rPr>
            </w:pPr>
            <w:r>
              <w:rPr>
                <w:rFonts w:ascii="Times New Roman" w:cs="Times New Roman" w:eastAsia="Times New Roman" w:hAnsi="Times New Roman"/>
                <w:sz w:val="18"/>
                <w:szCs w:val="18"/>
                <w:b w:val="1"/>
                <w:bCs w:val="1"/>
                <w:color w:val="auto"/>
              </w:rPr>
              <w:t>Customer products and applications</w:t>
            </w:r>
          </w:p>
        </w:tc>
      </w:tr>
      <w:tr>
        <w:trPr>
          <w:trHeight w:val="27"/>
        </w:trPr>
        <w:tc>
          <w:tcPr>
            <w:tcW w:w="3720" w:type="dxa"/>
            <w:vAlign w:val="bottom"/>
            <w:tcBorders>
              <w:left w:val="single" w:sz="8" w:color="auto"/>
              <w:bottom w:val="single" w:sz="8" w:color="auto"/>
              <w:right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6700" w:type="dxa"/>
            <w:vAlign w:val="bottom"/>
            <w:tcBorders>
              <w:bottom w:val="single" w:sz="8" w:color="auto"/>
            </w:tcBorders>
          </w:tcPr>
          <w:p>
            <w:pPr>
              <w:spacing w:after="0"/>
              <w:rPr>
                <w:sz w:val="2"/>
                <w:szCs w:val="2"/>
                <w:color w:val="auto"/>
              </w:rPr>
            </w:pP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Data center</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Cloud and on-premise Artificial intelligence (AI) systems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Cloud and on-premise ethernet switching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Cloud and on-premise network-attached storage (NAS)</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9" w:lineRule="exact"/>
              <w:rPr>
                <w:sz w:val="20"/>
                <w:szCs w:val="20"/>
                <w:color w:val="auto"/>
              </w:rPr>
            </w:pPr>
            <w:r>
              <w:rPr>
                <w:rFonts w:ascii="Times New Roman" w:cs="Times New Roman" w:eastAsia="Times New Roman" w:hAnsi="Times New Roman"/>
                <w:sz w:val="18"/>
                <w:szCs w:val="18"/>
                <w:color w:val="auto"/>
              </w:rPr>
              <w:t>•   Cloud and on-premise servers</w:t>
            </w:r>
          </w:p>
        </w:tc>
      </w:tr>
      <w:tr>
        <w:trPr>
          <w:trHeight w:val="176"/>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6" w:lineRule="exact"/>
              <w:rPr>
                <w:sz w:val="20"/>
                <w:szCs w:val="20"/>
                <w:color w:val="auto"/>
              </w:rPr>
            </w:pPr>
            <w:r>
              <w:rPr>
                <w:rFonts w:ascii="Times New Roman" w:cs="Times New Roman" w:eastAsia="Times New Roman" w:hAnsi="Times New Roman"/>
                <w:sz w:val="18"/>
                <w:szCs w:val="18"/>
                <w:color w:val="auto"/>
              </w:rPr>
              <w:t>•   Cloud and on-premise storage area networks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Cloud and on-premise storage systems</w:t>
            </w:r>
          </w:p>
        </w:tc>
      </w:tr>
      <w:tr>
        <w:trPr>
          <w:trHeight w:val="223"/>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Times New Roman" w:cs="Times New Roman" w:eastAsia="Times New Roman" w:hAnsi="Times New Roman"/>
                <w:sz w:val="18"/>
                <w:szCs w:val="18"/>
                <w:color w:val="auto"/>
              </w:rPr>
              <w:t>•   Data center interconnect (DCI)</w:t>
            </w: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Enterprise networking</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Campus and small medium enterprise routers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Campus and small medium enterprise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Campus and small medium enterprise wireless access points (WAPs)</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9" w:lineRule="exact"/>
              <w:rPr>
                <w:sz w:val="20"/>
                <w:szCs w:val="20"/>
                <w:color w:val="auto"/>
              </w:rPr>
            </w:pPr>
            <w:r>
              <w:rPr>
                <w:rFonts w:ascii="Times New Roman" w:cs="Times New Roman" w:eastAsia="Times New Roman" w:hAnsi="Times New Roman"/>
                <w:sz w:val="18"/>
                <w:szCs w:val="18"/>
                <w:color w:val="auto"/>
              </w:rPr>
              <w:t>•   Network appliances (firewalls, and load balancers)</w:t>
            </w:r>
          </w:p>
        </w:tc>
      </w:tr>
      <w:tr>
        <w:trPr>
          <w:trHeight w:val="228"/>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520" w:type="dxa"/>
            <w:vAlign w:val="bottom"/>
            <w:tcBorders>
              <w:bottom w:val="single" w:sz="8" w:color="auto"/>
            </w:tcBorders>
          </w:tcPr>
          <w:p>
            <w:pPr>
              <w:ind w:left="340"/>
              <w:spacing w:after="0"/>
              <w:rPr>
                <w:sz w:val="20"/>
                <w:szCs w:val="20"/>
                <w:color w:val="auto"/>
              </w:rPr>
            </w:pPr>
            <w:r>
              <w:rPr>
                <w:rFonts w:ascii="Times New Roman" w:cs="Times New Roman" w:eastAsia="Times New Roman" w:hAnsi="Times New Roman"/>
                <w:sz w:val="18"/>
                <w:szCs w:val="18"/>
                <w:color w:val="auto"/>
              </w:rPr>
              <w:t>•</w:t>
            </w:r>
          </w:p>
        </w:tc>
        <w:tc>
          <w:tcPr>
            <w:tcW w:w="6700" w:type="dxa"/>
            <w:vAlign w:val="bottom"/>
            <w:tcBorders>
              <w:bottom w:val="single" w:sz="8" w:color="auto"/>
            </w:tcBorders>
          </w:tcPr>
          <w:p>
            <w:pPr>
              <w:ind w:left="120"/>
              <w:spacing w:after="0"/>
              <w:rPr>
                <w:sz w:val="20"/>
                <w:szCs w:val="20"/>
                <w:color w:val="auto"/>
              </w:rPr>
            </w:pPr>
            <w:r>
              <w:rPr>
                <w:rFonts w:ascii="Times New Roman" w:cs="Times New Roman" w:eastAsia="Times New Roman" w:hAnsi="Times New Roman"/>
                <w:sz w:val="18"/>
                <w:szCs w:val="18"/>
                <w:color w:val="auto"/>
              </w:rPr>
              <w:t>Workstations</w:t>
            </w: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Carrier infrastructure</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Digital Subscriber Line Access Multiplexers (DSLAMs)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Optical transport systems</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520" w:type="dxa"/>
            <w:vAlign w:val="bottom"/>
          </w:tcPr>
          <w:p>
            <w:pPr>
              <w:ind w:left="340"/>
              <w:spacing w:after="0" w:line="179"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9" w:lineRule="exact"/>
              <w:rPr>
                <w:sz w:val="20"/>
                <w:szCs w:val="20"/>
                <w:color w:val="auto"/>
              </w:rPr>
            </w:pPr>
            <w:r>
              <w:rPr>
                <w:rFonts w:ascii="Times New Roman" w:cs="Times New Roman" w:eastAsia="Times New Roman" w:hAnsi="Times New Roman"/>
                <w:sz w:val="18"/>
                <w:szCs w:val="18"/>
                <w:color w:val="auto"/>
              </w:rPr>
              <w:t>Routers</w:t>
            </w:r>
          </w:p>
        </w:tc>
      </w:tr>
      <w:tr>
        <w:trPr>
          <w:trHeight w:val="228"/>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Times New Roman" w:cs="Times New Roman" w:eastAsia="Times New Roman" w:hAnsi="Times New Roman"/>
                <w:sz w:val="18"/>
                <w:szCs w:val="18"/>
                <w:color w:val="auto"/>
              </w:rPr>
              <w:t>•   Wireless radio access network (RAN) systems</w:t>
            </w: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Consumer</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Broadband gateways and routers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Gaming consoles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Home data storage</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9" w:lineRule="exact"/>
              <w:rPr>
                <w:sz w:val="20"/>
                <w:szCs w:val="20"/>
                <w:color w:val="auto"/>
              </w:rPr>
            </w:pPr>
            <w:r>
              <w:rPr>
                <w:rFonts w:ascii="Times New Roman" w:cs="Times New Roman" w:eastAsia="Times New Roman" w:hAnsi="Times New Roman"/>
                <w:sz w:val="18"/>
                <w:szCs w:val="18"/>
                <w:color w:val="auto"/>
              </w:rPr>
              <w:t>•   Home wireless access points (WAPs)</w:t>
            </w:r>
          </w:p>
        </w:tc>
      </w:tr>
      <w:tr>
        <w:trPr>
          <w:trHeight w:val="176"/>
        </w:trPr>
        <w:tc>
          <w:tcPr>
            <w:tcW w:w="3720" w:type="dxa"/>
            <w:vAlign w:val="bottom"/>
            <w:tcBorders>
              <w:left w:val="single" w:sz="8" w:color="auto"/>
              <w:right w:val="single" w:sz="8" w:color="auto"/>
            </w:tcBorders>
          </w:tcPr>
          <w:p>
            <w:pPr>
              <w:spacing w:after="0"/>
              <w:rPr>
                <w:sz w:val="15"/>
                <w:szCs w:val="15"/>
                <w:color w:val="auto"/>
              </w:rPr>
            </w:pPr>
          </w:p>
        </w:tc>
        <w:tc>
          <w:tcPr>
            <w:tcW w:w="520" w:type="dxa"/>
            <w:vAlign w:val="bottom"/>
          </w:tcPr>
          <w:p>
            <w:pPr>
              <w:ind w:left="340"/>
              <w:spacing w:after="0" w:line="176"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6" w:lineRule="exact"/>
              <w:rPr>
                <w:sz w:val="20"/>
                <w:szCs w:val="20"/>
                <w:color w:val="auto"/>
              </w:rPr>
            </w:pPr>
            <w:r>
              <w:rPr>
                <w:rFonts w:ascii="Times New Roman" w:cs="Times New Roman" w:eastAsia="Times New Roman" w:hAnsi="Times New Roman"/>
                <w:sz w:val="18"/>
                <w:szCs w:val="18"/>
                <w:color w:val="auto"/>
              </w:rPr>
              <w:t>Personal Computers (PCs)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Printers</w:t>
            </w:r>
          </w:p>
        </w:tc>
      </w:tr>
      <w:tr>
        <w:trPr>
          <w:trHeight w:val="223"/>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Times New Roman" w:cs="Times New Roman" w:eastAsia="Times New Roman" w:hAnsi="Times New Roman"/>
                <w:sz w:val="18"/>
                <w:szCs w:val="18"/>
                <w:color w:val="auto"/>
              </w:rPr>
              <w:t>•   Set-top boxes</w:t>
            </w:r>
          </w:p>
        </w:tc>
      </w:tr>
      <w:tr>
        <w:trPr>
          <w:trHeight w:val="177"/>
        </w:trPr>
        <w:tc>
          <w:tcPr>
            <w:tcW w:w="3720" w:type="dxa"/>
            <w:vAlign w:val="bottom"/>
            <w:tcBorders>
              <w:left w:val="single" w:sz="8" w:color="auto"/>
              <w:right w:val="single" w:sz="8" w:color="auto"/>
            </w:tcBorders>
          </w:tcPr>
          <w:p>
            <w:pPr>
              <w:ind w:left="40"/>
              <w:spacing w:after="0" w:line="177" w:lineRule="exact"/>
              <w:rPr>
                <w:sz w:val="20"/>
                <w:szCs w:val="20"/>
                <w:color w:val="auto"/>
              </w:rPr>
            </w:pPr>
            <w:r>
              <w:rPr>
                <w:rFonts w:ascii="Times New Roman" w:cs="Times New Roman" w:eastAsia="Times New Roman" w:hAnsi="Times New Roman"/>
                <w:sz w:val="18"/>
                <w:szCs w:val="18"/>
                <w:color w:val="auto"/>
              </w:rPr>
              <w:t>Automotive/industrial</w:t>
            </w:r>
          </w:p>
        </w:tc>
        <w:tc>
          <w:tcPr>
            <w:tcW w:w="520" w:type="dxa"/>
            <w:vAlign w:val="bottom"/>
          </w:tcPr>
          <w:p>
            <w:pPr>
              <w:ind w:left="340"/>
              <w:spacing w:after="0" w:line="177"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7" w:lineRule="exact"/>
              <w:rPr>
                <w:sz w:val="20"/>
                <w:szCs w:val="20"/>
                <w:color w:val="auto"/>
              </w:rPr>
            </w:pPr>
            <w:r>
              <w:rPr>
                <w:rFonts w:ascii="Times New Roman" w:cs="Times New Roman" w:eastAsia="Times New Roman" w:hAnsi="Times New Roman"/>
                <w:sz w:val="18"/>
                <w:szCs w:val="18"/>
                <w:color w:val="auto"/>
              </w:rPr>
              <w:t>Advanced driver-assistance systems (ADAS)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1" w:lineRule="exact"/>
              <w:rPr>
                <w:sz w:val="20"/>
                <w:szCs w:val="20"/>
                <w:color w:val="auto"/>
              </w:rPr>
            </w:pPr>
            <w:r>
              <w:rPr>
                <w:rFonts w:ascii="Times New Roman" w:cs="Times New Roman" w:eastAsia="Times New Roman" w:hAnsi="Times New Roman"/>
                <w:sz w:val="18"/>
                <w:szCs w:val="18"/>
                <w:color w:val="auto"/>
              </w:rPr>
              <w:t>Autonomous vehicles (AV)</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Times New Roman" w:cs="Times New Roman" w:eastAsia="Times New Roman" w:hAnsi="Times New Roman"/>
                <w:sz w:val="18"/>
                <w:szCs w:val="18"/>
                <w:color w:val="auto"/>
              </w:rPr>
              <w:t>•   In-vehicle networking</w:t>
            </w:r>
          </w:p>
        </w:tc>
      </w:tr>
      <w:tr>
        <w:trPr>
          <w:trHeight w:val="179"/>
        </w:trPr>
        <w:tc>
          <w:tcPr>
            <w:tcW w:w="3720" w:type="dxa"/>
            <w:vAlign w:val="bottom"/>
            <w:tcBorders>
              <w:left w:val="single" w:sz="8" w:color="auto"/>
              <w:right w:val="single" w:sz="8" w:color="auto"/>
            </w:tcBorders>
          </w:tcPr>
          <w:p>
            <w:pPr>
              <w:spacing w:after="0"/>
              <w:rPr>
                <w:sz w:val="15"/>
                <w:szCs w:val="15"/>
                <w:color w:val="auto"/>
              </w:rPr>
            </w:pPr>
          </w:p>
        </w:tc>
        <w:tc>
          <w:tcPr>
            <w:tcW w:w="520" w:type="dxa"/>
            <w:vAlign w:val="bottom"/>
          </w:tcPr>
          <w:p>
            <w:pPr>
              <w:ind w:left="340"/>
              <w:spacing w:after="0" w:line="179" w:lineRule="exact"/>
              <w:rPr>
                <w:sz w:val="20"/>
                <w:szCs w:val="20"/>
                <w:color w:val="auto"/>
              </w:rPr>
            </w:pPr>
            <w:r>
              <w:rPr>
                <w:rFonts w:ascii="Times New Roman" w:cs="Times New Roman" w:eastAsia="Times New Roman" w:hAnsi="Times New Roman"/>
                <w:sz w:val="18"/>
                <w:szCs w:val="18"/>
                <w:color w:val="auto"/>
              </w:rPr>
              <w:t>•</w:t>
            </w:r>
          </w:p>
        </w:tc>
        <w:tc>
          <w:tcPr>
            <w:tcW w:w="6700" w:type="dxa"/>
            <w:vAlign w:val="bottom"/>
          </w:tcPr>
          <w:p>
            <w:pPr>
              <w:ind w:left="120"/>
              <w:spacing w:after="0" w:line="179" w:lineRule="exact"/>
              <w:rPr>
                <w:sz w:val="20"/>
                <w:szCs w:val="20"/>
                <w:color w:val="auto"/>
              </w:rPr>
            </w:pPr>
            <w:r>
              <w:rPr>
                <w:rFonts w:ascii="Times New Roman" w:cs="Times New Roman" w:eastAsia="Times New Roman" w:hAnsi="Times New Roman"/>
                <w:sz w:val="18"/>
                <w:szCs w:val="18"/>
                <w:color w:val="auto"/>
              </w:rPr>
              <w:t>Industrial ethernet switches</w:t>
            </w:r>
          </w:p>
        </w:tc>
      </w:tr>
      <w:tr>
        <w:trPr>
          <w:trHeight w:val="176"/>
        </w:trPr>
        <w:tc>
          <w:tcPr>
            <w:tcW w:w="3720" w:type="dxa"/>
            <w:vAlign w:val="bottom"/>
            <w:tcBorders>
              <w:left w:val="single" w:sz="8" w:color="auto"/>
              <w:right w:val="single" w:sz="8" w:color="auto"/>
            </w:tcBorders>
          </w:tcPr>
          <w:p>
            <w:pPr>
              <w:spacing w:after="0"/>
              <w:rPr>
                <w:sz w:val="15"/>
                <w:szCs w:val="15"/>
                <w:color w:val="auto"/>
              </w:rPr>
            </w:pPr>
          </w:p>
        </w:tc>
        <w:tc>
          <w:tcPr>
            <w:tcW w:w="7220" w:type="dxa"/>
            <w:vAlign w:val="bottom"/>
            <w:gridSpan w:val="2"/>
          </w:tcPr>
          <w:p>
            <w:pPr>
              <w:ind w:left="340"/>
              <w:spacing w:after="0" w:line="176" w:lineRule="exact"/>
              <w:rPr>
                <w:sz w:val="20"/>
                <w:szCs w:val="20"/>
                <w:color w:val="auto"/>
              </w:rPr>
            </w:pPr>
            <w:r>
              <w:rPr>
                <w:rFonts w:ascii="Times New Roman" w:cs="Times New Roman" w:eastAsia="Times New Roman" w:hAnsi="Times New Roman"/>
                <w:sz w:val="18"/>
                <w:szCs w:val="18"/>
                <w:color w:val="auto"/>
              </w:rPr>
              <w:t>•   United States military and government solutions</w:t>
            </w:r>
          </w:p>
        </w:tc>
      </w:tr>
      <w:tr>
        <w:trPr>
          <w:trHeight w:val="223"/>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520" w:type="dxa"/>
            <w:vAlign w:val="bottom"/>
            <w:tcBorders>
              <w:bottom w:val="single" w:sz="8" w:color="auto"/>
            </w:tcBorders>
          </w:tcPr>
          <w:p>
            <w:pPr>
              <w:ind w:left="340"/>
              <w:spacing w:after="0"/>
              <w:rPr>
                <w:sz w:val="20"/>
                <w:szCs w:val="20"/>
                <w:color w:val="auto"/>
              </w:rPr>
            </w:pPr>
            <w:r>
              <w:rPr>
                <w:rFonts w:ascii="Times New Roman" w:cs="Times New Roman" w:eastAsia="Times New Roman" w:hAnsi="Times New Roman"/>
                <w:sz w:val="18"/>
                <w:szCs w:val="18"/>
                <w:color w:val="auto"/>
              </w:rPr>
              <w:t>•</w:t>
            </w:r>
          </w:p>
        </w:tc>
        <w:tc>
          <w:tcPr>
            <w:tcW w:w="6700" w:type="dxa"/>
            <w:vAlign w:val="bottom"/>
            <w:tcBorders>
              <w:bottom w:val="single" w:sz="8" w:color="auto"/>
            </w:tcBorders>
          </w:tcPr>
          <w:p>
            <w:pPr>
              <w:ind w:left="120"/>
              <w:spacing w:after="0"/>
              <w:rPr>
                <w:sz w:val="20"/>
                <w:szCs w:val="20"/>
                <w:color w:val="auto"/>
              </w:rPr>
            </w:pPr>
            <w:r>
              <w:rPr>
                <w:rFonts w:ascii="Times New Roman" w:cs="Times New Roman" w:eastAsia="Times New Roman" w:hAnsi="Times New Roman"/>
                <w:sz w:val="18"/>
                <w:szCs w:val="18"/>
                <w:color w:val="auto"/>
              </w:rPr>
              <w:t>Video surveillance</w:t>
            </w:r>
          </w:p>
        </w:tc>
      </w:tr>
    </w:tbl>
    <w:p>
      <w:pPr>
        <w:sectPr>
          <w:pgSz w:w="11900" w:h="16838" w:orient="portrait"/>
          <w:cols w:equalWidth="0" w:num="1">
            <w:col w:w="11340"/>
          </w:cols>
          <w:pgMar w:left="320" w:top="750" w:right="239" w:bottom="1440" w:gutter="0" w:footer="0" w:header="0"/>
        </w:sectPr>
      </w:pPr>
    </w:p>
    <w:bookmarkStart w:id="15" w:name="page16"/>
    <w:bookmarkEnd w:id="1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1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6000" w:type="dxa"/>
            <w:vAlign w:val="bottom"/>
            <w:gridSpan w:val="14"/>
          </w:tcPr>
          <w:p>
            <w:pPr>
              <w:jc w:val="center"/>
              <w:ind w:right="2040"/>
              <w:spacing w:after="0"/>
              <w:rPr>
                <w:sz w:val="20"/>
                <w:szCs w:val="20"/>
                <w:color w:val="auto"/>
              </w:rPr>
            </w:pPr>
            <w:r>
              <w:rPr>
                <w:rFonts w:ascii="Times New Roman" w:cs="Times New Roman" w:eastAsia="Times New Roman" w:hAnsi="Times New Roman"/>
                <w:sz w:val="18"/>
                <w:szCs w:val="18"/>
                <w:b w:val="1"/>
                <w:bCs w:val="1"/>
                <w:color w:val="auto"/>
                <w:w w:val="97"/>
              </w:rPr>
              <w:t>Quarterly Revenue Trend (Unaudited) (Continued)</w:t>
            </w:r>
          </w:p>
        </w:tc>
        <w:tc>
          <w:tcPr>
            <w:tcW w:w="14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23"/>
        </w:trPr>
        <w:tc>
          <w:tcPr>
            <w:tcW w:w="2180" w:type="dxa"/>
            <w:vAlign w:val="bottom"/>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4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4"/>
          </w:tcPr>
          <w:p>
            <w:pPr>
              <w:jc w:val="center"/>
              <w:ind w:right="100"/>
              <w:spacing w:after="0"/>
              <w:rPr>
                <w:sz w:val="20"/>
                <w:szCs w:val="20"/>
                <w:color w:val="auto"/>
              </w:rPr>
            </w:pPr>
            <w:r>
              <w:rPr>
                <w:rFonts w:ascii="Times New Roman" w:cs="Times New Roman" w:eastAsia="Times New Roman" w:hAnsi="Times New Roman"/>
                <w:sz w:val="18"/>
                <w:szCs w:val="18"/>
                <w:b w:val="1"/>
                <w:bCs w:val="1"/>
                <w:color w:val="auto"/>
                <w:w w:val="97"/>
              </w:rPr>
              <w:t>Three Months Ended</w:t>
            </w:r>
          </w:p>
        </w:tc>
        <w:tc>
          <w:tcPr>
            <w:tcW w:w="220" w:type="dxa"/>
            <w:vAlign w:val="bottom"/>
            <w:tcBorders>
              <w:bottom w:val="single" w:sz="8" w:color="auto"/>
            </w:tcBorders>
          </w:tcPr>
          <w:p>
            <w:pPr>
              <w:spacing w:after="0"/>
              <w:rPr>
                <w:sz w:val="24"/>
                <w:szCs w:val="24"/>
                <w:color w:val="auto"/>
              </w:rPr>
            </w:pPr>
          </w:p>
        </w:tc>
        <w:tc>
          <w:tcPr>
            <w:tcW w:w="14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300" w:type="dxa"/>
            <w:vAlign w:val="bottom"/>
            <w:tcBorders>
              <w:bottom w:val="single" w:sz="8" w:color="auto"/>
            </w:tcBorders>
            <w:gridSpan w:val="4"/>
          </w:tcPr>
          <w:p>
            <w:pPr>
              <w:ind w:left="1460"/>
              <w:spacing w:after="0"/>
              <w:rPr>
                <w:sz w:val="20"/>
                <w:szCs w:val="20"/>
                <w:color w:val="auto"/>
              </w:rPr>
            </w:pPr>
            <w:r>
              <w:rPr>
                <w:rFonts w:ascii="Times New Roman" w:cs="Times New Roman" w:eastAsia="Times New Roman" w:hAnsi="Times New Roman"/>
                <w:sz w:val="18"/>
                <w:szCs w:val="18"/>
                <w:b w:val="1"/>
                <w:bCs w:val="1"/>
                <w:color w:val="auto"/>
              </w:rPr>
              <w:t>% Change</w:t>
            </w:r>
          </w:p>
        </w:tc>
        <w:tc>
          <w:tcPr>
            <w:tcW w:w="14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5"/>
        </w:trPr>
        <w:tc>
          <w:tcPr>
            <w:tcW w:w="2180" w:type="dxa"/>
            <w:vAlign w:val="bottom"/>
          </w:tcPr>
          <w:p>
            <w:pPr>
              <w:ind w:left="240"/>
              <w:spacing w:after="0" w:line="164" w:lineRule="exact"/>
              <w:rPr>
                <w:sz w:val="20"/>
                <w:szCs w:val="20"/>
                <w:color w:val="auto"/>
              </w:rPr>
            </w:pPr>
            <w:r>
              <w:rPr>
                <w:rFonts w:ascii="Times New Roman" w:cs="Times New Roman" w:eastAsia="Times New Roman" w:hAnsi="Times New Roman"/>
                <w:sz w:val="18"/>
                <w:szCs w:val="18"/>
                <w:b w:val="1"/>
                <w:bCs w:val="1"/>
                <w:color w:val="auto"/>
              </w:rPr>
              <w:t>Revenue by End Market</w:t>
            </w:r>
          </w:p>
        </w:tc>
        <w:tc>
          <w:tcPr>
            <w:tcW w:w="260" w:type="dxa"/>
            <w:vAlign w:val="bottom"/>
          </w:tcPr>
          <w:p>
            <w:pPr>
              <w:spacing w:after="0"/>
              <w:rPr>
                <w:sz w:val="14"/>
                <w:szCs w:val="14"/>
                <w:color w:val="auto"/>
              </w:rPr>
            </w:pPr>
          </w:p>
        </w:tc>
        <w:tc>
          <w:tcPr>
            <w:tcW w:w="1400" w:type="dxa"/>
            <w:vAlign w:val="bottom"/>
          </w:tcPr>
          <w:p>
            <w:pPr>
              <w:jc w:val="right"/>
              <w:ind w:right="292"/>
              <w:spacing w:after="0" w:line="164" w:lineRule="exact"/>
              <w:rPr>
                <w:sz w:val="20"/>
                <w:szCs w:val="20"/>
                <w:color w:val="auto"/>
              </w:rPr>
            </w:pPr>
            <w:r>
              <w:rPr>
                <w:rFonts w:ascii="Times New Roman" w:cs="Times New Roman" w:eastAsia="Times New Roman" w:hAnsi="Times New Roman"/>
                <w:sz w:val="18"/>
                <w:szCs w:val="18"/>
                <w:b w:val="1"/>
                <w:bCs w:val="1"/>
                <w:color w:val="auto"/>
              </w:rPr>
              <w:t>October 29,</w:t>
            </w: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60" w:type="dxa"/>
            <w:vAlign w:val="bottom"/>
            <w:gridSpan w:val="3"/>
          </w:tcPr>
          <w:p>
            <w:pPr>
              <w:jc w:val="center"/>
              <w:ind w:right="440"/>
              <w:spacing w:after="0" w:line="164" w:lineRule="exact"/>
              <w:rPr>
                <w:sz w:val="20"/>
                <w:szCs w:val="20"/>
                <w:color w:val="auto"/>
              </w:rPr>
            </w:pPr>
            <w:r>
              <w:rPr>
                <w:rFonts w:ascii="Times New Roman" w:cs="Times New Roman" w:eastAsia="Times New Roman" w:hAnsi="Times New Roman"/>
                <w:sz w:val="18"/>
                <w:szCs w:val="18"/>
                <w:b w:val="1"/>
                <w:bCs w:val="1"/>
                <w:color w:val="auto"/>
                <w:w w:val="96"/>
              </w:rPr>
              <w:t>July 30,</w:t>
            </w:r>
          </w:p>
        </w:tc>
        <w:tc>
          <w:tcPr>
            <w:tcW w:w="220" w:type="dxa"/>
            <w:vAlign w:val="bottom"/>
          </w:tcPr>
          <w:p>
            <w:pPr>
              <w:spacing w:after="0"/>
              <w:rPr>
                <w:sz w:val="14"/>
                <w:szCs w:val="14"/>
                <w:color w:val="auto"/>
              </w:rPr>
            </w:pPr>
          </w:p>
        </w:tc>
        <w:tc>
          <w:tcPr>
            <w:tcW w:w="1460" w:type="dxa"/>
            <w:vAlign w:val="bottom"/>
            <w:gridSpan w:val="2"/>
          </w:tcPr>
          <w:p>
            <w:pPr>
              <w:ind w:left="180"/>
              <w:spacing w:after="0" w:line="164" w:lineRule="exact"/>
              <w:rPr>
                <w:sz w:val="20"/>
                <w:szCs w:val="20"/>
                <w:color w:val="auto"/>
              </w:rPr>
            </w:pPr>
            <w:r>
              <w:rPr>
                <w:rFonts w:ascii="Times New Roman" w:cs="Times New Roman" w:eastAsia="Times New Roman" w:hAnsi="Times New Roman"/>
                <w:sz w:val="18"/>
                <w:szCs w:val="18"/>
                <w:b w:val="1"/>
                <w:bCs w:val="1"/>
                <w:color w:val="auto"/>
              </w:rPr>
              <w:t>October 30,</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300" w:type="dxa"/>
            <w:vAlign w:val="bottom"/>
            <w:gridSpan w:val="4"/>
            <w:vMerge w:val="restart"/>
          </w:tcPr>
          <w:p>
            <w:pPr>
              <w:jc w:val="center"/>
              <w:ind w:right="520"/>
              <w:spacing w:after="0"/>
              <w:rPr>
                <w:sz w:val="20"/>
                <w:szCs w:val="20"/>
                <w:color w:val="auto"/>
              </w:rPr>
            </w:pPr>
            <w:r>
              <w:rPr>
                <w:rFonts w:ascii="Times New Roman" w:cs="Times New Roman" w:eastAsia="Times New Roman" w:hAnsi="Times New Roman"/>
                <w:sz w:val="18"/>
                <w:szCs w:val="18"/>
                <w:b w:val="1"/>
                <w:bCs w:val="1"/>
                <w:color w:val="auto"/>
                <w:w w:val="97"/>
              </w:rPr>
              <w:t>YoY</w:t>
            </w:r>
          </w:p>
        </w:tc>
        <w:tc>
          <w:tcPr>
            <w:tcW w:w="1400" w:type="dxa"/>
            <w:vAlign w:val="bottom"/>
            <w:vMerge w:val="restart"/>
          </w:tcPr>
          <w:p>
            <w:pPr>
              <w:jc w:val="center"/>
              <w:ind w:right="312"/>
              <w:spacing w:after="0"/>
              <w:rPr>
                <w:sz w:val="20"/>
                <w:szCs w:val="20"/>
                <w:color w:val="auto"/>
              </w:rPr>
            </w:pPr>
            <w:r>
              <w:rPr>
                <w:rFonts w:ascii="Times New Roman" w:cs="Times New Roman" w:eastAsia="Times New Roman" w:hAnsi="Times New Roman"/>
                <w:sz w:val="18"/>
                <w:szCs w:val="18"/>
                <w:b w:val="1"/>
                <w:bCs w:val="1"/>
                <w:color w:val="auto"/>
                <w:w w:val="97"/>
              </w:rPr>
              <w:t>QoQ</w:t>
            </w:r>
          </w:p>
        </w:tc>
        <w:tc>
          <w:tcPr>
            <w:tcW w:w="0" w:type="dxa"/>
            <w:vAlign w:val="bottom"/>
          </w:tcPr>
          <w:p>
            <w:pPr>
              <w:spacing w:after="0"/>
              <w:rPr>
                <w:sz w:val="1"/>
                <w:szCs w:val="1"/>
                <w:color w:val="auto"/>
              </w:rPr>
            </w:pPr>
          </w:p>
        </w:tc>
      </w:tr>
      <w:tr>
        <w:trPr>
          <w:trHeight w:val="236"/>
        </w:trPr>
        <w:tc>
          <w:tcPr>
            <w:tcW w:w="2180" w:type="dxa"/>
            <w:vAlign w:val="bottom"/>
          </w:tcPr>
          <w:p>
            <w:pPr>
              <w:ind w:left="240"/>
              <w:spacing w:after="0"/>
              <w:rPr>
                <w:sz w:val="20"/>
                <w:szCs w:val="20"/>
                <w:color w:val="auto"/>
              </w:rPr>
            </w:pPr>
            <w:r>
              <w:rPr>
                <w:rFonts w:ascii="Times New Roman" w:cs="Times New Roman" w:eastAsia="Times New Roman" w:hAnsi="Times New Roman"/>
                <w:sz w:val="18"/>
                <w:szCs w:val="18"/>
                <w:b w:val="1"/>
                <w:bCs w:val="1"/>
                <w:color w:val="auto"/>
              </w:rPr>
              <w:t>(In millions)</w:t>
            </w:r>
          </w:p>
        </w:tc>
        <w:tc>
          <w:tcPr>
            <w:tcW w:w="260" w:type="dxa"/>
            <w:vAlign w:val="bottom"/>
          </w:tcPr>
          <w:p>
            <w:pPr>
              <w:spacing w:after="0"/>
              <w:rPr>
                <w:sz w:val="20"/>
                <w:szCs w:val="20"/>
                <w:color w:val="auto"/>
              </w:rPr>
            </w:pPr>
          </w:p>
        </w:tc>
        <w:tc>
          <w:tcPr>
            <w:tcW w:w="1400" w:type="dxa"/>
            <w:vAlign w:val="bottom"/>
          </w:tcPr>
          <w:p>
            <w:pPr>
              <w:jc w:val="right"/>
              <w:ind w:right="552"/>
              <w:spacing w:after="0"/>
              <w:rPr>
                <w:sz w:val="20"/>
                <w:szCs w:val="20"/>
                <w:color w:val="auto"/>
              </w:rPr>
            </w:pPr>
            <w:r>
              <w:rPr>
                <w:rFonts w:ascii="Times New Roman" w:cs="Times New Roman" w:eastAsia="Times New Roman" w:hAnsi="Times New Roman"/>
                <w:sz w:val="18"/>
                <w:szCs w:val="18"/>
                <w:b w:val="1"/>
                <w:bCs w:val="1"/>
                <w:color w:val="auto"/>
              </w:rPr>
              <w:t>2022</w:t>
            </w: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20" w:type="dxa"/>
            <w:vAlign w:val="bottom"/>
          </w:tcPr>
          <w:p>
            <w:pPr>
              <w:jc w:val="center"/>
              <w:ind w:right="192"/>
              <w:spacing w:after="0"/>
              <w:rPr>
                <w:sz w:val="20"/>
                <w:szCs w:val="20"/>
                <w:color w:val="auto"/>
              </w:rPr>
            </w:pPr>
            <w:r>
              <w:rPr>
                <w:rFonts w:ascii="Times New Roman" w:cs="Times New Roman" w:eastAsia="Times New Roman" w:hAnsi="Times New Roman"/>
                <w:sz w:val="18"/>
                <w:szCs w:val="18"/>
                <w:b w:val="1"/>
                <w:bCs w:val="1"/>
                <w:color w:val="auto"/>
                <w:w w:val="99"/>
              </w:rPr>
              <w:t>2022</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40" w:type="dxa"/>
            <w:vAlign w:val="bottom"/>
          </w:tcPr>
          <w:p>
            <w:pPr>
              <w:jc w:val="right"/>
              <w:ind w:right="552"/>
              <w:spacing w:after="0"/>
              <w:rPr>
                <w:sz w:val="20"/>
                <w:szCs w:val="20"/>
                <w:color w:val="auto"/>
              </w:rPr>
            </w:pPr>
            <w:r>
              <w:rPr>
                <w:rFonts w:ascii="Times New Roman" w:cs="Times New Roman" w:eastAsia="Times New Roman" w:hAnsi="Times New Roman"/>
                <w:sz w:val="18"/>
                <w:szCs w:val="18"/>
                <w:b w:val="1"/>
                <w:bCs w:val="1"/>
                <w:color w:val="auto"/>
              </w:rPr>
              <w:t>2021</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300" w:type="dxa"/>
            <w:vAlign w:val="bottom"/>
            <w:gridSpan w:val="4"/>
            <w:vMerge w:val="continue"/>
          </w:tcPr>
          <w:p>
            <w:pPr>
              <w:spacing w:after="0"/>
              <w:rPr>
                <w:sz w:val="20"/>
                <w:szCs w:val="20"/>
                <w:color w:val="auto"/>
              </w:rPr>
            </w:pPr>
          </w:p>
        </w:tc>
        <w:tc>
          <w:tcPr>
            <w:tcW w:w="140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17"/>
        </w:trPr>
        <w:tc>
          <w:tcPr>
            <w:tcW w:w="2180" w:type="dxa"/>
            <w:vAlign w:val="bottom"/>
            <w:tcBorders>
              <w:top w:val="single" w:sz="8" w:color="CCEEFF"/>
            </w:tcBorders>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Data center</w:t>
            </w:r>
          </w:p>
        </w:tc>
        <w:tc>
          <w:tcPr>
            <w:tcW w:w="260" w:type="dxa"/>
            <w:vAlign w:val="bottom"/>
            <w:tcBorders>
              <w:top w:val="single" w:sz="8" w:color="auto"/>
            </w:tcBorders>
            <w:shd w:val="clear" w:color="auto" w:fill="CCEEFF"/>
          </w:tcPr>
          <w:p>
            <w:pPr>
              <w:jc w:val="right"/>
              <w:ind w:right="52"/>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627.3</w:t>
            </w:r>
          </w:p>
        </w:tc>
        <w:tc>
          <w:tcPr>
            <w:tcW w:w="12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auto"/>
            </w:tcBorders>
            <w:shd w:val="clear" w:color="auto" w:fill="CCEEFF"/>
          </w:tcPr>
          <w:p>
            <w:pPr>
              <w:jc w:val="right"/>
              <w:ind w:right="13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643.4</w:t>
            </w:r>
          </w:p>
        </w:tc>
        <w:tc>
          <w:tcPr>
            <w:tcW w:w="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w:t>
            </w:r>
          </w:p>
        </w:tc>
        <w:tc>
          <w:tcPr>
            <w:tcW w:w="14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499.8</w:t>
            </w:r>
          </w:p>
        </w:tc>
        <w:tc>
          <w:tcPr>
            <w:tcW w:w="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780" w:type="dxa"/>
            <w:vAlign w:val="bottom"/>
            <w:tcBorders>
              <w:top w:val="single" w:sz="8" w:color="auto"/>
            </w:tcBorders>
            <w:shd w:val="clear" w:color="auto" w:fill="CCEEFF"/>
          </w:tcPr>
          <w:p>
            <w:pPr>
              <w:ind w:left="1400"/>
              <w:spacing w:after="0"/>
              <w:rPr>
                <w:sz w:val="20"/>
                <w:szCs w:val="20"/>
                <w:color w:val="auto"/>
              </w:rPr>
            </w:pPr>
            <w:r>
              <w:rPr>
                <w:rFonts w:ascii="Times New Roman" w:cs="Times New Roman" w:eastAsia="Times New Roman" w:hAnsi="Times New Roman"/>
                <w:sz w:val="18"/>
                <w:szCs w:val="18"/>
                <w:color w:val="auto"/>
                <w:w w:val="95"/>
              </w:rPr>
              <w:t>26 %</w:t>
            </w: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14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w:t>
            </w:r>
          </w:p>
        </w:tc>
        <w:tc>
          <w:tcPr>
            <w:tcW w:w="0" w:type="dxa"/>
            <w:vAlign w:val="bottom"/>
          </w:tcPr>
          <w:p>
            <w:pPr>
              <w:spacing w:after="0"/>
              <w:rPr>
                <w:sz w:val="1"/>
                <w:szCs w:val="1"/>
                <w:color w:val="auto"/>
              </w:rPr>
            </w:pPr>
          </w:p>
        </w:tc>
      </w:tr>
      <w:tr>
        <w:trPr>
          <w:trHeight w:val="223"/>
        </w:trPr>
        <w:tc>
          <w:tcPr>
            <w:tcW w:w="21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Enterprise networking</w:t>
            </w:r>
          </w:p>
        </w:tc>
        <w:tc>
          <w:tcPr>
            <w:tcW w:w="26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376.0</w:t>
            </w: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340.3</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247.2</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ind w:left="1400"/>
              <w:spacing w:after="0"/>
              <w:rPr>
                <w:sz w:val="20"/>
                <w:szCs w:val="20"/>
                <w:color w:val="auto"/>
              </w:rPr>
            </w:pPr>
            <w:r>
              <w:rPr>
                <w:rFonts w:ascii="Times New Roman" w:cs="Times New Roman" w:eastAsia="Times New Roman" w:hAnsi="Times New Roman"/>
                <w:sz w:val="18"/>
                <w:szCs w:val="18"/>
                <w:color w:val="auto"/>
                <w:w w:val="95"/>
              </w:rPr>
              <w:t>52 %</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Carrier infrastructure</w:t>
            </w:r>
          </w:p>
        </w:tc>
        <w:tc>
          <w:tcPr>
            <w:tcW w:w="26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271.4</w:t>
            </w: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285.2</w:t>
            </w:r>
          </w:p>
        </w:tc>
        <w:tc>
          <w:tcPr>
            <w:tcW w:w="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215.1</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780" w:type="dxa"/>
            <w:vAlign w:val="bottom"/>
            <w:shd w:val="clear" w:color="auto" w:fill="CCEEFF"/>
          </w:tcPr>
          <w:p>
            <w:pPr>
              <w:ind w:left="1400"/>
              <w:spacing w:after="0"/>
              <w:rPr>
                <w:sz w:val="20"/>
                <w:szCs w:val="20"/>
                <w:color w:val="auto"/>
              </w:rPr>
            </w:pPr>
            <w:r>
              <w:rPr>
                <w:rFonts w:ascii="Times New Roman" w:cs="Times New Roman" w:eastAsia="Times New Roman" w:hAnsi="Times New Roman"/>
                <w:sz w:val="18"/>
                <w:szCs w:val="18"/>
                <w:color w:val="auto"/>
                <w:w w:val="95"/>
              </w:rPr>
              <w:t>26 %</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w:t>
            </w:r>
          </w:p>
        </w:tc>
        <w:tc>
          <w:tcPr>
            <w:tcW w:w="0" w:type="dxa"/>
            <w:vAlign w:val="bottom"/>
          </w:tcPr>
          <w:p>
            <w:pPr>
              <w:spacing w:after="0"/>
              <w:rPr>
                <w:sz w:val="1"/>
                <w:szCs w:val="1"/>
                <w:color w:val="auto"/>
              </w:rPr>
            </w:pPr>
          </w:p>
        </w:tc>
      </w:tr>
      <w:tr>
        <w:trPr>
          <w:trHeight w:val="223"/>
        </w:trPr>
        <w:tc>
          <w:tcPr>
            <w:tcW w:w="21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Consumer</w:t>
            </w:r>
          </w:p>
        </w:tc>
        <w:tc>
          <w:tcPr>
            <w:tcW w:w="26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178.4</w:t>
            </w: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164.4</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182.5</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Automotive/industrial</w:t>
            </w:r>
          </w:p>
        </w:tc>
        <w:tc>
          <w:tcPr>
            <w:tcW w:w="26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84.2</w:t>
            </w:r>
          </w:p>
        </w:tc>
        <w:tc>
          <w:tcPr>
            <w:tcW w:w="12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83.6</w:t>
            </w:r>
          </w:p>
        </w:tc>
        <w:tc>
          <w:tcPr>
            <w:tcW w:w="4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4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66.6</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780" w:type="dxa"/>
            <w:vAlign w:val="bottom"/>
            <w:tcBorders>
              <w:bottom w:val="single" w:sz="8" w:color="auto"/>
            </w:tcBorders>
            <w:shd w:val="clear" w:color="auto" w:fill="CCEEFF"/>
          </w:tcPr>
          <w:p>
            <w:pPr>
              <w:ind w:left="1400"/>
              <w:spacing w:after="0"/>
              <w:rPr>
                <w:sz w:val="20"/>
                <w:szCs w:val="20"/>
                <w:color w:val="auto"/>
              </w:rPr>
            </w:pPr>
            <w:r>
              <w:rPr>
                <w:rFonts w:ascii="Times New Roman" w:cs="Times New Roman" w:eastAsia="Times New Roman" w:hAnsi="Times New Roman"/>
                <w:sz w:val="18"/>
                <w:szCs w:val="18"/>
                <w:color w:val="auto"/>
                <w:w w:val="95"/>
              </w:rPr>
              <w:t>26 %</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0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1 %</w:t>
            </w:r>
          </w:p>
        </w:tc>
        <w:tc>
          <w:tcPr>
            <w:tcW w:w="0" w:type="dxa"/>
            <w:vAlign w:val="bottom"/>
          </w:tcPr>
          <w:p>
            <w:pPr>
              <w:spacing w:after="0"/>
              <w:rPr>
                <w:sz w:val="1"/>
                <w:szCs w:val="1"/>
                <w:color w:val="auto"/>
              </w:rPr>
            </w:pPr>
          </w:p>
        </w:tc>
      </w:tr>
      <w:tr>
        <w:trPr>
          <w:trHeight w:val="217"/>
        </w:trPr>
        <w:tc>
          <w:tcPr>
            <w:tcW w:w="2180" w:type="dxa"/>
            <w:vAlign w:val="bottom"/>
          </w:tcPr>
          <w:p>
            <w:pPr>
              <w:ind w:left="240"/>
              <w:spacing w:after="0"/>
              <w:rPr>
                <w:sz w:val="20"/>
                <w:szCs w:val="20"/>
                <w:color w:val="auto"/>
              </w:rPr>
            </w:pPr>
            <w:r>
              <w:rPr>
                <w:rFonts w:ascii="Times New Roman" w:cs="Times New Roman" w:eastAsia="Times New Roman" w:hAnsi="Times New Roman"/>
                <w:sz w:val="18"/>
                <w:szCs w:val="18"/>
                <w:b w:val="1"/>
                <w:bCs w:val="1"/>
                <w:color w:val="auto"/>
              </w:rPr>
              <w:t>Total Net Revenue</w:t>
            </w:r>
          </w:p>
        </w:tc>
        <w:tc>
          <w:tcPr>
            <w:tcW w:w="260" w:type="dxa"/>
            <w:vAlign w:val="bottom"/>
            <w:tcBorders>
              <w:bottom w:val="single" w:sz="8" w:color="auto"/>
            </w:tcBorders>
          </w:tcPr>
          <w:p>
            <w:pPr>
              <w:jc w:val="right"/>
              <w:ind w:right="52"/>
              <w:spacing w:after="0"/>
              <w:rPr>
                <w:sz w:val="20"/>
                <w:szCs w:val="20"/>
                <w:color w:val="auto"/>
              </w:rPr>
            </w:pPr>
            <w:r>
              <w:rPr>
                <w:rFonts w:ascii="Times New Roman" w:cs="Times New Roman" w:eastAsia="Times New Roman" w:hAnsi="Times New Roman"/>
                <w:sz w:val="18"/>
                <w:szCs w:val="18"/>
                <w:color w:val="auto"/>
              </w:rPr>
              <w:t>$</w:t>
            </w:r>
          </w:p>
        </w:tc>
        <w:tc>
          <w:tcPr>
            <w:tcW w:w="14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1,537.3</w:t>
            </w:r>
          </w:p>
        </w:tc>
        <w:tc>
          <w:tcPr>
            <w:tcW w:w="120" w:type="dxa"/>
            <w:vAlign w:val="bottom"/>
          </w:tcPr>
          <w:p>
            <w:pPr>
              <w:spacing w:after="0"/>
              <w:rPr>
                <w:sz w:val="18"/>
                <w:szCs w:val="18"/>
                <w:color w:val="auto"/>
              </w:rPr>
            </w:pPr>
          </w:p>
        </w:tc>
        <w:tc>
          <w:tcPr>
            <w:tcW w:w="320" w:type="dxa"/>
            <w:vAlign w:val="bottom"/>
            <w:tcBorders>
              <w:bottom w:val="single" w:sz="8" w:color="auto"/>
            </w:tcBorders>
          </w:tcPr>
          <w:p>
            <w:pPr>
              <w:jc w:val="right"/>
              <w:ind w:right="132"/>
              <w:spacing w:after="0"/>
              <w:rPr>
                <w:sz w:val="20"/>
                <w:szCs w:val="20"/>
                <w:color w:val="auto"/>
              </w:rPr>
            </w:pPr>
            <w:r>
              <w:rPr>
                <w:rFonts w:ascii="Times New Roman" w:cs="Times New Roman" w:eastAsia="Times New Roman" w:hAnsi="Times New Roman"/>
                <w:sz w:val="18"/>
                <w:szCs w:val="18"/>
                <w:color w:val="auto"/>
                <w:w w:val="88"/>
              </w:rPr>
              <w:t>$</w:t>
            </w:r>
          </w:p>
        </w:tc>
        <w:tc>
          <w:tcPr>
            <w:tcW w:w="13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1,516.9</w:t>
            </w:r>
          </w:p>
        </w:tc>
        <w:tc>
          <w:tcPr>
            <w:tcW w:w="40" w:type="dxa"/>
            <w:vAlign w:val="bottom"/>
            <w:tcBorders>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w:t>
            </w:r>
          </w:p>
        </w:tc>
        <w:tc>
          <w:tcPr>
            <w:tcW w:w="14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1,211.2</w:t>
            </w:r>
          </w:p>
        </w:tc>
        <w:tc>
          <w:tcPr>
            <w:tcW w:w="20" w:type="dxa"/>
            <w:vAlign w:val="bottom"/>
            <w:tcBorders>
              <w:bottom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780" w:type="dxa"/>
            <w:vAlign w:val="bottom"/>
            <w:tcBorders>
              <w:bottom w:val="single" w:sz="8" w:color="auto"/>
            </w:tcBorders>
          </w:tcPr>
          <w:p>
            <w:pPr>
              <w:ind w:left="1400"/>
              <w:spacing w:after="0"/>
              <w:rPr>
                <w:sz w:val="20"/>
                <w:szCs w:val="20"/>
                <w:color w:val="auto"/>
              </w:rPr>
            </w:pPr>
            <w:r>
              <w:rPr>
                <w:rFonts w:ascii="Times New Roman" w:cs="Times New Roman" w:eastAsia="Times New Roman" w:hAnsi="Times New Roman"/>
                <w:sz w:val="18"/>
                <w:szCs w:val="18"/>
                <w:color w:val="auto"/>
                <w:w w:val="95"/>
              </w:rPr>
              <w:t>27 %</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4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1 %</w:t>
            </w:r>
          </w:p>
        </w:tc>
        <w:tc>
          <w:tcPr>
            <w:tcW w:w="0" w:type="dxa"/>
            <w:vAlign w:val="bottom"/>
          </w:tcPr>
          <w:p>
            <w:pPr>
              <w:spacing w:after="0"/>
              <w:rPr>
                <w:sz w:val="1"/>
                <w:szCs w:val="1"/>
                <w:color w:val="auto"/>
              </w:rPr>
            </w:pPr>
          </w:p>
        </w:tc>
      </w:tr>
      <w:tr>
        <w:trPr>
          <w:trHeight w:val="20"/>
        </w:trPr>
        <w:tc>
          <w:tcPr>
            <w:tcW w:w="21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3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57"/>
        </w:trPr>
        <w:tc>
          <w:tcPr>
            <w:tcW w:w="2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4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300" w:type="dxa"/>
            <w:vAlign w:val="bottom"/>
            <w:tcBorders>
              <w:bottom w:val="single" w:sz="8" w:color="auto"/>
            </w:tcBorders>
            <w:gridSpan w:val="4"/>
          </w:tcPr>
          <w:p>
            <w:pPr>
              <w:jc w:val="center"/>
              <w:ind w:right="540"/>
              <w:spacing w:after="0"/>
              <w:rPr>
                <w:sz w:val="20"/>
                <w:szCs w:val="20"/>
                <w:color w:val="auto"/>
              </w:rPr>
            </w:pPr>
            <w:r>
              <w:rPr>
                <w:rFonts w:ascii="Times New Roman" w:cs="Times New Roman" w:eastAsia="Times New Roman" w:hAnsi="Times New Roman"/>
                <w:sz w:val="18"/>
                <w:szCs w:val="18"/>
                <w:b w:val="1"/>
                <w:bCs w:val="1"/>
                <w:color w:val="auto"/>
                <w:w w:val="97"/>
              </w:rPr>
              <w:t>Three Months Ended</w:t>
            </w:r>
          </w:p>
        </w:tc>
        <w:tc>
          <w:tcPr>
            <w:tcW w:w="14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70"/>
        </w:trPr>
        <w:tc>
          <w:tcPr>
            <w:tcW w:w="2180" w:type="dxa"/>
            <w:vAlign w:val="bottom"/>
          </w:tcPr>
          <w:p>
            <w:pPr>
              <w:ind w:left="240"/>
              <w:spacing w:after="0" w:line="170" w:lineRule="exact"/>
              <w:rPr>
                <w:sz w:val="20"/>
                <w:szCs w:val="20"/>
                <w:color w:val="auto"/>
              </w:rPr>
            </w:pPr>
            <w:r>
              <w:rPr>
                <w:rFonts w:ascii="Times New Roman" w:cs="Times New Roman" w:eastAsia="Times New Roman" w:hAnsi="Times New Roman"/>
                <w:sz w:val="18"/>
                <w:szCs w:val="18"/>
                <w:b w:val="1"/>
                <w:bCs w:val="1"/>
                <w:color w:val="auto"/>
              </w:rPr>
              <w:t>Revenue by End Market</w:t>
            </w:r>
          </w:p>
        </w:tc>
        <w:tc>
          <w:tcPr>
            <w:tcW w:w="26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80" w:type="dxa"/>
            <w:vAlign w:val="bottom"/>
            <w:gridSpan w:val="4"/>
          </w:tcPr>
          <w:p>
            <w:pPr>
              <w:ind w:left="100"/>
              <w:spacing w:after="0" w:line="170" w:lineRule="exact"/>
              <w:rPr>
                <w:sz w:val="20"/>
                <w:szCs w:val="20"/>
                <w:color w:val="auto"/>
              </w:rPr>
            </w:pPr>
            <w:r>
              <w:rPr>
                <w:rFonts w:ascii="Times New Roman" w:cs="Times New Roman" w:eastAsia="Times New Roman" w:hAnsi="Times New Roman"/>
                <w:sz w:val="18"/>
                <w:szCs w:val="18"/>
                <w:b w:val="1"/>
                <w:bCs w:val="1"/>
                <w:color w:val="auto"/>
              </w:rPr>
              <w:t>October 29,</w:t>
            </w:r>
          </w:p>
        </w:tc>
        <w:tc>
          <w:tcPr>
            <w:tcW w:w="2300" w:type="dxa"/>
            <w:vAlign w:val="bottom"/>
            <w:gridSpan w:val="4"/>
          </w:tcPr>
          <w:p>
            <w:pPr>
              <w:jc w:val="center"/>
              <w:ind w:right="560"/>
              <w:spacing w:after="0" w:line="170" w:lineRule="exact"/>
              <w:rPr>
                <w:sz w:val="20"/>
                <w:szCs w:val="20"/>
                <w:color w:val="auto"/>
              </w:rPr>
            </w:pPr>
            <w:r>
              <w:rPr>
                <w:rFonts w:ascii="Times New Roman" w:cs="Times New Roman" w:eastAsia="Times New Roman" w:hAnsi="Times New Roman"/>
                <w:sz w:val="18"/>
                <w:szCs w:val="18"/>
                <w:b w:val="1"/>
                <w:bCs w:val="1"/>
                <w:color w:val="auto"/>
                <w:w w:val="96"/>
              </w:rPr>
              <w:t>July 30,</w:t>
            </w:r>
          </w:p>
        </w:tc>
        <w:tc>
          <w:tcPr>
            <w:tcW w:w="1400" w:type="dxa"/>
            <w:vAlign w:val="bottom"/>
          </w:tcPr>
          <w:p>
            <w:pPr>
              <w:jc w:val="center"/>
              <w:ind w:right="312"/>
              <w:spacing w:after="0" w:line="170" w:lineRule="exact"/>
              <w:rPr>
                <w:sz w:val="20"/>
                <w:szCs w:val="20"/>
                <w:color w:val="auto"/>
              </w:rPr>
            </w:pPr>
            <w:r>
              <w:rPr>
                <w:rFonts w:ascii="Times New Roman" w:cs="Times New Roman" w:eastAsia="Times New Roman" w:hAnsi="Times New Roman"/>
                <w:sz w:val="18"/>
                <w:szCs w:val="18"/>
                <w:b w:val="1"/>
                <w:bCs w:val="1"/>
                <w:color w:val="auto"/>
                <w:w w:val="97"/>
              </w:rPr>
              <w:t>October 30,</w:t>
            </w:r>
          </w:p>
        </w:tc>
        <w:tc>
          <w:tcPr>
            <w:tcW w:w="0" w:type="dxa"/>
            <w:vAlign w:val="bottom"/>
          </w:tcPr>
          <w:p>
            <w:pPr>
              <w:spacing w:after="0"/>
              <w:rPr>
                <w:sz w:val="1"/>
                <w:szCs w:val="1"/>
                <w:color w:val="auto"/>
              </w:rPr>
            </w:pPr>
          </w:p>
        </w:tc>
      </w:tr>
      <w:tr>
        <w:trPr>
          <w:trHeight w:val="230"/>
        </w:trPr>
        <w:tc>
          <w:tcPr>
            <w:tcW w:w="2180" w:type="dxa"/>
            <w:vAlign w:val="bottom"/>
            <w:tcBorders>
              <w:bottom w:val="single" w:sz="8" w:color="CCEEFF"/>
            </w:tcBorders>
          </w:tcPr>
          <w:p>
            <w:pPr>
              <w:ind w:left="240"/>
              <w:spacing w:after="0"/>
              <w:rPr>
                <w:sz w:val="20"/>
                <w:szCs w:val="20"/>
                <w:color w:val="auto"/>
              </w:rPr>
            </w:pPr>
            <w:r>
              <w:rPr>
                <w:rFonts w:ascii="Times New Roman" w:cs="Times New Roman" w:eastAsia="Times New Roman" w:hAnsi="Times New Roman"/>
                <w:sz w:val="18"/>
                <w:szCs w:val="18"/>
                <w:b w:val="1"/>
                <w:bCs w:val="1"/>
                <w:color w:val="auto"/>
              </w:rPr>
              <w:t>% of Total</w:t>
            </w:r>
          </w:p>
        </w:tc>
        <w:tc>
          <w:tcPr>
            <w:tcW w:w="260" w:type="dxa"/>
            <w:vAlign w:val="bottom"/>
            <w:tcBorders>
              <w:bottom w:val="single" w:sz="8" w:color="CCEEFF"/>
            </w:tcBorders>
          </w:tcPr>
          <w:p>
            <w:pPr>
              <w:spacing w:after="0"/>
              <w:rPr>
                <w:sz w:val="20"/>
                <w:szCs w:val="20"/>
                <w:color w:val="auto"/>
              </w:rPr>
            </w:pPr>
          </w:p>
        </w:tc>
        <w:tc>
          <w:tcPr>
            <w:tcW w:w="1400" w:type="dxa"/>
            <w:vAlign w:val="bottom"/>
            <w:tcBorders>
              <w:bottom w:val="single" w:sz="8" w:color="CCEEFF"/>
            </w:tcBorders>
          </w:tcPr>
          <w:p>
            <w:pPr>
              <w:spacing w:after="0"/>
              <w:rPr>
                <w:sz w:val="20"/>
                <w:szCs w:val="20"/>
                <w:color w:val="auto"/>
              </w:rPr>
            </w:pPr>
          </w:p>
        </w:tc>
        <w:tc>
          <w:tcPr>
            <w:tcW w:w="120" w:type="dxa"/>
            <w:vAlign w:val="bottom"/>
            <w:tcBorders>
              <w:bottom w:val="single" w:sz="8" w:color="CCEEFF"/>
            </w:tcBorders>
          </w:tcPr>
          <w:p>
            <w:pPr>
              <w:spacing w:after="0"/>
              <w:rPr>
                <w:sz w:val="20"/>
                <w:szCs w:val="20"/>
                <w:color w:val="auto"/>
              </w:rPr>
            </w:pPr>
          </w:p>
        </w:tc>
        <w:tc>
          <w:tcPr>
            <w:tcW w:w="320" w:type="dxa"/>
            <w:vAlign w:val="bottom"/>
            <w:tcBorders>
              <w:bottom w:val="single" w:sz="8" w:color="CCEEFF"/>
            </w:tcBorders>
          </w:tcPr>
          <w:p>
            <w:pPr>
              <w:spacing w:after="0"/>
              <w:rPr>
                <w:sz w:val="20"/>
                <w:szCs w:val="20"/>
                <w:color w:val="auto"/>
              </w:rPr>
            </w:pPr>
          </w:p>
        </w:tc>
        <w:tc>
          <w:tcPr>
            <w:tcW w:w="1320" w:type="dxa"/>
            <w:vAlign w:val="bottom"/>
            <w:tcBorders>
              <w:bottom w:val="single" w:sz="8" w:color="CCEEFF"/>
            </w:tcBorders>
          </w:tcPr>
          <w:p>
            <w:pPr>
              <w:spacing w:after="0"/>
              <w:rPr>
                <w:sz w:val="20"/>
                <w:szCs w:val="20"/>
                <w:color w:val="auto"/>
              </w:rPr>
            </w:pPr>
          </w:p>
        </w:tc>
        <w:tc>
          <w:tcPr>
            <w:tcW w:w="4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1440" w:type="dxa"/>
            <w:vAlign w:val="bottom"/>
            <w:tcBorders>
              <w:bottom w:val="single" w:sz="8" w:color="auto"/>
            </w:tcBorders>
          </w:tcPr>
          <w:p>
            <w:pPr>
              <w:jc w:val="right"/>
              <w:ind w:right="632"/>
              <w:spacing w:after="0"/>
              <w:rPr>
                <w:sz w:val="20"/>
                <w:szCs w:val="20"/>
                <w:color w:val="auto"/>
              </w:rPr>
            </w:pPr>
            <w:r>
              <w:rPr>
                <w:rFonts w:ascii="Times New Roman" w:cs="Times New Roman" w:eastAsia="Times New Roman" w:hAnsi="Times New Roman"/>
                <w:sz w:val="18"/>
                <w:szCs w:val="18"/>
                <w:b w:val="1"/>
                <w:bCs w:val="1"/>
                <w:color w:val="auto"/>
              </w:rPr>
              <w:t>2022</w:t>
            </w:r>
          </w:p>
        </w:tc>
        <w:tc>
          <w:tcPr>
            <w:tcW w:w="20" w:type="dxa"/>
            <w:vAlign w:val="bottom"/>
            <w:tcBorders>
              <w:bottom w:val="single" w:sz="8" w:color="CCEEFF"/>
            </w:tcBorders>
          </w:tcPr>
          <w:p>
            <w:pPr>
              <w:spacing w:after="0"/>
              <w:rPr>
                <w:sz w:val="20"/>
                <w:szCs w:val="20"/>
                <w:color w:val="auto"/>
              </w:rPr>
            </w:pPr>
          </w:p>
        </w:tc>
        <w:tc>
          <w:tcPr>
            <w:tcW w:w="100" w:type="dxa"/>
            <w:vAlign w:val="bottom"/>
            <w:tcBorders>
              <w:bottom w:val="single" w:sz="8" w:color="CCEEFF"/>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17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2022</w:t>
            </w:r>
          </w:p>
        </w:tc>
        <w:tc>
          <w:tcPr>
            <w:tcW w:w="100" w:type="dxa"/>
            <w:vAlign w:val="bottom"/>
            <w:tcBorders>
              <w:bottom w:val="single" w:sz="8" w:color="CCEEFF"/>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400" w:type="dxa"/>
            <w:vAlign w:val="bottom"/>
            <w:tcBorders>
              <w:bottom w:val="single" w:sz="8" w:color="auto"/>
            </w:tcBorders>
          </w:tcPr>
          <w:p>
            <w:pPr>
              <w:spacing w:after="0"/>
              <w:rPr>
                <w:sz w:val="20"/>
                <w:szCs w:val="20"/>
                <w:color w:val="auto"/>
              </w:rPr>
            </w:pPr>
          </w:p>
        </w:tc>
        <w:tc>
          <w:tcPr>
            <w:tcW w:w="1400" w:type="dxa"/>
            <w:vAlign w:val="bottom"/>
            <w:tcBorders>
              <w:bottom w:val="single" w:sz="8" w:color="auto"/>
            </w:tcBorders>
          </w:tcPr>
          <w:p>
            <w:pPr>
              <w:jc w:val="center"/>
              <w:ind w:right="312"/>
              <w:spacing w:after="0"/>
              <w:rPr>
                <w:sz w:val="20"/>
                <w:szCs w:val="20"/>
                <w:color w:val="auto"/>
              </w:rPr>
            </w:pPr>
            <w:r>
              <w:rPr>
                <w:rFonts w:ascii="Times New Roman" w:cs="Times New Roman" w:eastAsia="Times New Roman" w:hAnsi="Times New Roman"/>
                <w:sz w:val="18"/>
                <w:szCs w:val="18"/>
                <w:b w:val="1"/>
                <w:bCs w:val="1"/>
                <w:color w:val="auto"/>
                <w:w w:val="99"/>
              </w:rPr>
              <w:t>2021</w:t>
            </w:r>
          </w:p>
        </w:tc>
        <w:tc>
          <w:tcPr>
            <w:tcW w:w="0" w:type="dxa"/>
            <w:vAlign w:val="bottom"/>
          </w:tcPr>
          <w:p>
            <w:pPr>
              <w:spacing w:after="0"/>
              <w:rPr>
                <w:sz w:val="1"/>
                <w:szCs w:val="1"/>
                <w:color w:val="auto"/>
              </w:rPr>
            </w:pPr>
          </w:p>
        </w:tc>
      </w:tr>
      <w:tr>
        <w:trPr>
          <w:trHeight w:val="217"/>
        </w:trPr>
        <w:tc>
          <w:tcPr>
            <w:tcW w:w="21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Data center</w:t>
            </w:r>
          </w:p>
        </w:tc>
        <w:tc>
          <w:tcPr>
            <w:tcW w:w="260" w:type="dxa"/>
            <w:vAlign w:val="bottom"/>
            <w:shd w:val="clear" w:color="auto" w:fill="CCEEFF"/>
          </w:tcPr>
          <w:p>
            <w:pPr>
              <w:spacing w:after="0"/>
              <w:rPr>
                <w:sz w:val="18"/>
                <w:szCs w:val="18"/>
                <w:color w:val="auto"/>
              </w:rPr>
            </w:pP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41 %</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780" w:type="dxa"/>
            <w:vAlign w:val="bottom"/>
            <w:shd w:val="clear" w:color="auto" w:fill="CCEEFF"/>
          </w:tcPr>
          <w:p>
            <w:pPr>
              <w:ind w:left="1380"/>
              <w:spacing w:after="0"/>
              <w:rPr>
                <w:sz w:val="20"/>
                <w:szCs w:val="20"/>
                <w:color w:val="auto"/>
              </w:rPr>
            </w:pPr>
            <w:r>
              <w:rPr>
                <w:rFonts w:ascii="Times New Roman" w:cs="Times New Roman" w:eastAsia="Times New Roman" w:hAnsi="Times New Roman"/>
                <w:sz w:val="18"/>
                <w:szCs w:val="18"/>
                <w:color w:val="auto"/>
              </w:rPr>
              <w:t>42 %</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4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41 %</w:t>
            </w:r>
          </w:p>
        </w:tc>
        <w:tc>
          <w:tcPr>
            <w:tcW w:w="0" w:type="dxa"/>
            <w:vAlign w:val="bottom"/>
          </w:tcPr>
          <w:p>
            <w:pPr>
              <w:spacing w:after="0"/>
              <w:rPr>
                <w:sz w:val="1"/>
                <w:szCs w:val="1"/>
                <w:color w:val="auto"/>
              </w:rPr>
            </w:pPr>
          </w:p>
        </w:tc>
      </w:tr>
      <w:tr>
        <w:trPr>
          <w:trHeight w:val="223"/>
        </w:trPr>
        <w:tc>
          <w:tcPr>
            <w:tcW w:w="21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Enterprise networking</w:t>
            </w:r>
          </w:p>
        </w:tc>
        <w:tc>
          <w:tcPr>
            <w:tcW w:w="26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ind w:left="1380"/>
              <w:spacing w:after="0"/>
              <w:rPr>
                <w:sz w:val="20"/>
                <w:szCs w:val="20"/>
                <w:color w:val="auto"/>
              </w:rPr>
            </w:pPr>
            <w:r>
              <w:rPr>
                <w:rFonts w:ascii="Times New Roman" w:cs="Times New Roman" w:eastAsia="Times New Roman" w:hAnsi="Times New Roman"/>
                <w:sz w:val="18"/>
                <w:szCs w:val="18"/>
                <w:color w:val="auto"/>
              </w:rPr>
              <w:t>22 %</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Carrier infrastructure</w:t>
            </w:r>
          </w:p>
        </w:tc>
        <w:tc>
          <w:tcPr>
            <w:tcW w:w="26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4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780" w:type="dxa"/>
            <w:vAlign w:val="bottom"/>
            <w:shd w:val="clear" w:color="auto" w:fill="CCEEFF"/>
          </w:tcPr>
          <w:p>
            <w:pPr>
              <w:ind w:left="1380"/>
              <w:spacing w:after="0"/>
              <w:rPr>
                <w:sz w:val="20"/>
                <w:szCs w:val="20"/>
                <w:color w:val="auto"/>
              </w:rPr>
            </w:pPr>
            <w:r>
              <w:rPr>
                <w:rFonts w:ascii="Times New Roman" w:cs="Times New Roman" w:eastAsia="Times New Roman" w:hAnsi="Times New Roman"/>
                <w:sz w:val="18"/>
                <w:szCs w:val="18"/>
                <w:color w:val="auto"/>
              </w:rPr>
              <w:t>19 %</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18 %</w:t>
            </w:r>
          </w:p>
        </w:tc>
        <w:tc>
          <w:tcPr>
            <w:tcW w:w="0" w:type="dxa"/>
            <w:vAlign w:val="bottom"/>
          </w:tcPr>
          <w:p>
            <w:pPr>
              <w:spacing w:after="0"/>
              <w:rPr>
                <w:sz w:val="1"/>
                <w:szCs w:val="1"/>
                <w:color w:val="auto"/>
              </w:rPr>
            </w:pPr>
          </w:p>
        </w:tc>
      </w:tr>
      <w:tr>
        <w:trPr>
          <w:trHeight w:val="223"/>
        </w:trPr>
        <w:tc>
          <w:tcPr>
            <w:tcW w:w="21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Consumer</w:t>
            </w:r>
          </w:p>
        </w:tc>
        <w:tc>
          <w:tcPr>
            <w:tcW w:w="26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12 %</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ind w:left="1380"/>
              <w:spacing w:after="0"/>
              <w:rPr>
                <w:sz w:val="20"/>
                <w:szCs w:val="20"/>
                <w:color w:val="auto"/>
              </w:rPr>
            </w:pPr>
            <w:r>
              <w:rPr>
                <w:rFonts w:ascii="Times New Roman" w:cs="Times New Roman" w:eastAsia="Times New Roman" w:hAnsi="Times New Roman"/>
                <w:sz w:val="18"/>
                <w:szCs w:val="18"/>
                <w:color w:val="auto"/>
              </w:rPr>
              <w:t>11 %</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15 %</w:t>
            </w:r>
          </w:p>
        </w:tc>
        <w:tc>
          <w:tcPr>
            <w:tcW w:w="0" w:type="dxa"/>
            <w:vAlign w:val="bottom"/>
          </w:tcPr>
          <w:p>
            <w:pPr>
              <w:spacing w:after="0"/>
              <w:rPr>
                <w:sz w:val="1"/>
                <w:szCs w:val="1"/>
                <w:color w:val="auto"/>
              </w:rPr>
            </w:pPr>
          </w:p>
        </w:tc>
      </w:tr>
      <w:tr>
        <w:trPr>
          <w:trHeight w:val="223"/>
        </w:trPr>
        <w:tc>
          <w:tcPr>
            <w:tcW w:w="218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Automotive/industrial</w:t>
            </w:r>
          </w:p>
        </w:tc>
        <w:tc>
          <w:tcPr>
            <w:tcW w:w="26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4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4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7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6 %</w:t>
            </w:r>
          </w:p>
        </w:tc>
        <w:tc>
          <w:tcPr>
            <w:tcW w:w="10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40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6 %</w:t>
            </w:r>
          </w:p>
        </w:tc>
        <w:tc>
          <w:tcPr>
            <w:tcW w:w="0" w:type="dxa"/>
            <w:vAlign w:val="bottom"/>
          </w:tcPr>
          <w:p>
            <w:pPr>
              <w:spacing w:after="0"/>
              <w:rPr>
                <w:sz w:val="1"/>
                <w:szCs w:val="1"/>
                <w:color w:val="auto"/>
              </w:rPr>
            </w:pPr>
          </w:p>
        </w:tc>
      </w:tr>
      <w:tr>
        <w:trPr>
          <w:trHeight w:val="217"/>
        </w:trPr>
        <w:tc>
          <w:tcPr>
            <w:tcW w:w="2180" w:type="dxa"/>
            <w:vAlign w:val="bottom"/>
          </w:tcPr>
          <w:p>
            <w:pPr>
              <w:ind w:left="240"/>
              <w:spacing w:after="0"/>
              <w:rPr>
                <w:sz w:val="20"/>
                <w:szCs w:val="20"/>
                <w:color w:val="auto"/>
              </w:rPr>
            </w:pPr>
            <w:r>
              <w:rPr>
                <w:rFonts w:ascii="Times New Roman" w:cs="Times New Roman" w:eastAsia="Times New Roman" w:hAnsi="Times New Roman"/>
                <w:sz w:val="18"/>
                <w:szCs w:val="18"/>
                <w:b w:val="1"/>
                <w:bCs w:val="1"/>
                <w:color w:val="auto"/>
              </w:rPr>
              <w:t>Total Net Revenue</w:t>
            </w:r>
          </w:p>
        </w:tc>
        <w:tc>
          <w:tcPr>
            <w:tcW w:w="26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4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4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7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1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4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100 %</w:t>
            </w:r>
          </w:p>
        </w:tc>
        <w:tc>
          <w:tcPr>
            <w:tcW w:w="0" w:type="dxa"/>
            <w:vAlign w:val="bottom"/>
          </w:tcPr>
          <w:p>
            <w:pPr>
              <w:spacing w:after="0"/>
              <w:rPr>
                <w:sz w:val="1"/>
                <w:szCs w:val="1"/>
                <w:color w:val="auto"/>
              </w:rPr>
            </w:pPr>
          </w:p>
        </w:tc>
      </w:tr>
      <w:tr>
        <w:trPr>
          <w:trHeight w:val="20"/>
        </w:trPr>
        <w:tc>
          <w:tcPr>
            <w:tcW w:w="2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For further information, contact:</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Senior Vice President, Investor Relations</w:t>
      </w:r>
    </w:p>
    <w:p>
      <w:pPr>
        <w:spacing w:after="0" w:line="232" w:lineRule="auto"/>
        <w:rPr>
          <w:sz w:val="20"/>
          <w:szCs w:val="20"/>
          <w:color w:val="auto"/>
        </w:rPr>
      </w:pPr>
      <w:r>
        <w:rPr>
          <w:rFonts w:ascii="Times New Roman" w:cs="Times New Roman" w:eastAsia="Times New Roman" w:hAnsi="Times New Roman"/>
          <w:sz w:val="18"/>
          <w:szCs w:val="18"/>
          <w:color w:val="auto"/>
        </w:rPr>
        <w:t>408-222-0777</w:t>
      </w:r>
    </w:p>
    <w:p>
      <w:pPr>
        <w:spacing w:after="0"/>
        <w:rPr>
          <w:sz w:val="20"/>
          <w:szCs w:val="20"/>
          <w:color w:val="auto"/>
        </w:rPr>
      </w:pPr>
      <w:r>
        <w:rPr>
          <w:rFonts w:ascii="Times New Roman" w:cs="Times New Roman" w:eastAsia="Times New Roman" w:hAnsi="Times New Roman"/>
          <w:sz w:val="18"/>
          <w:szCs w:val="18"/>
          <w:color w:val="auto"/>
        </w:rPr>
        <w:t>ir@marvell.com</w:t>
      </w:r>
    </w:p>
    <w:sectPr>
      <w:pgSz w:w="11900" w:h="16838" w:orient="portrait"/>
      <w:cols w:equalWidth="0" w:num="1">
        <w:col w:w="11240"/>
      </w:cols>
      <w:pgMar w:left="320" w:top="737"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1)"/>
      <w:numFmt w:val="lowerLetter"/>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
      <w:numFmt w:val="bullet"/>
      <w:start w:val="1"/>
    </w:lvl>
    <w:lvl w:ilvl="1">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2022-12-01T15:13:45Z</dcterms:created>
  <dcterms:modified xsi:type="dcterms:W3CDTF">2022-12-01T15:13:45Z</dcterms:modified>
</cp:coreProperties>
</file>