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190500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97"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Date of Report: January 11, 2023</w:t>
      </w:r>
    </w:p>
    <w:p>
      <w:pPr>
        <w:spacing w:after="0" w:line="18" w:lineRule="exact"/>
        <w:rPr>
          <w:sz w:val="24"/>
          <w:szCs w:val="24"/>
          <w:color w:val="auto"/>
        </w:rPr>
      </w:pPr>
    </w:p>
    <w:p>
      <w:pPr>
        <w:ind w:left="404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167005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2388870</wp:posOffset>
            </wp:positionH>
            <wp:positionV relativeFrom="paragraph">
              <wp:posOffset>287020</wp:posOffset>
            </wp:positionV>
            <wp:extent cx="2219960" cy="6343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2219960" cy="63436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3"/>
          <w:szCs w:val="43"/>
          <w:b w:val="1"/>
          <w:bCs w:val="1"/>
          <w:color w:val="auto"/>
        </w:rPr>
        <w:t>MARVELL TECHNOLOGY, INC.</w:t>
      </w:r>
    </w:p>
    <w:p>
      <w:pPr>
        <w:spacing w:after="0" w:line="5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44"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jc w:val="center"/>
        <w:ind w:right="2100"/>
        <w:spacing w:after="0"/>
        <w:rPr>
          <w:sz w:val="20"/>
          <w:szCs w:val="20"/>
          <w:color w:val="auto"/>
        </w:rPr>
      </w:pPr>
      <w:r>
        <w:rPr>
          <w:rFonts w:ascii="Times New Roman" w:cs="Times New Roman" w:eastAsia="Times New Roman" w:hAnsi="Times New Roman"/>
          <w:sz w:val="17"/>
          <w:szCs w:val="17"/>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85-3971597</w:t>
      </w:r>
    </w:p>
    <w:p>
      <w:pPr>
        <w:spacing w:after="0" w:line="24" w:lineRule="exact"/>
        <w:rPr>
          <w:sz w:val="24"/>
          <w:szCs w:val="24"/>
          <w:color w:val="auto"/>
        </w:rPr>
      </w:pPr>
    </w:p>
    <w:p>
      <w:pPr>
        <w:sectPr>
          <w:pgSz w:w="11900" w:h="16838" w:orient="portrait"/>
          <w:cols w:equalWidth="0" w:num="3">
            <w:col w:w="4500" w:space="720"/>
            <w:col w:w="28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34"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1000 N. West Street, Suite 1200</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Wilmington, Delaware 19801</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0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(302) 295-4840</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p>
      <w:pPr>
        <w:spacing w:after="0" w:line="394"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right="2020" w:firstLine="428"/>
        <w:spacing w:after="0" w:line="418" w:lineRule="auto"/>
        <w:tabs>
          <w:tab w:leader="none" w:pos="972"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0" w:type="dxa"/>
        <w:tblCellMar>
          <w:top w:w="0" w:type="dxa"/>
          <w:left w:w="0" w:type="dxa"/>
          <w:bottom w:w="0" w:type="dxa"/>
          <w:right w:w="0" w:type="dxa"/>
        </w:tblCellMar>
      </w:tblPr>
      <w:tr>
        <w:trPr>
          <w:trHeight w:val="150"/>
        </w:trPr>
        <w:tc>
          <w:tcPr>
            <w:tcW w:w="3860" w:type="dxa"/>
            <w:vAlign w:val="bottom"/>
            <w:gridSpan w:val="2"/>
            <w:vMerge w:val="restart"/>
          </w:tcPr>
          <w:p>
            <w:pPr>
              <w:ind w:left="132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line="150" w:lineRule="exact"/>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line="150"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ind w:left="1300"/>
              <w:spacing w:after="0"/>
              <w:rPr>
                <w:sz w:val="20"/>
                <w:szCs w:val="20"/>
                <w:color w:val="auto"/>
              </w:rPr>
            </w:pPr>
            <w:r>
              <w:rPr>
                <w:rFonts w:ascii="Times New Roman" w:cs="Times New Roman" w:eastAsia="Times New Roman" w:hAnsi="Times New Roman"/>
                <w:sz w:val="18"/>
                <w:szCs w:val="18"/>
                <w:color w:val="auto"/>
              </w:rPr>
              <w:t>Common Stock</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The Nasdaq Stock Market, LLC</w:t>
            </w:r>
          </w:p>
        </w:tc>
        <w:tc>
          <w:tcPr>
            <w:tcW w:w="0" w:type="dxa"/>
            <w:vAlign w:val="bottom"/>
          </w:tcPr>
          <w:p>
            <w:pPr>
              <w:spacing w:after="0"/>
              <w:rPr>
                <w:sz w:val="1"/>
                <w:szCs w:val="1"/>
                <w:color w:val="auto"/>
              </w:rPr>
            </w:pPr>
          </w:p>
        </w:tc>
      </w:tr>
    </w:tbl>
    <w:p>
      <w:pPr>
        <w:spacing w:after="0" w:line="112"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w:t>
      </w:r>
    </w:p>
    <w:p>
      <w:pPr>
        <w:spacing w:after="0" w:line="22" w:lineRule="exact"/>
        <w:rPr>
          <w:sz w:val="24"/>
          <w:szCs w:val="24"/>
          <w:color w:val="auto"/>
        </w:rPr>
      </w:pPr>
    </w:p>
    <w:p>
      <w:pPr>
        <w:spacing w:after="0" w:line="207" w:lineRule="exact"/>
        <w:tabs>
          <w:tab w:leader="none" w:pos="7720" w:val="left"/>
        </w:tabs>
        <w:rPr>
          <w:sz w:val="20"/>
          <w:szCs w:val="20"/>
          <w:color w:val="auto"/>
        </w:rPr>
      </w:pPr>
      <w:r>
        <w:rPr>
          <w:rFonts w:ascii="Times New Roman" w:cs="Times New Roman" w:eastAsia="Times New Roman" w:hAnsi="Times New Roman"/>
          <w:sz w:val="18"/>
          <w:szCs w:val="18"/>
          <w:color w:val="auto"/>
        </w:rPr>
        <w:t>chapter) or Rule 12b-2 of the Securities Exchange Act of 1934 (§240.12b-2 of this chapter).</w:t>
      </w:r>
      <w:r>
        <w:rPr>
          <w:sz w:val="20"/>
          <w:szCs w:val="20"/>
          <w:color w:val="auto"/>
        </w:rPr>
        <w:tab/>
      </w: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131"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142240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185420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ind w:left="1200" w:right="1000" w:hanging="1200"/>
        <w:spacing w:after="0" w:line="286" w:lineRule="auto"/>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5.02</w:t>
      </w:r>
      <w:r>
        <w:rPr>
          <w:sz w:val="20"/>
          <w:szCs w:val="20"/>
          <w:color w:val="auto"/>
        </w:rPr>
        <w:tab/>
      </w: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4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Resignation of Chief Financial Officer</w:t>
      </w:r>
    </w:p>
    <w:p>
      <w:pPr>
        <w:spacing w:after="0" w:line="119"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On January 9, 2023, Jean Hu, Chief Financial Officer of Marvell Technology, Inc. (the “Company”), notified the Company’s Board of Directors of her decision to resign effective as of January 20, 2023 to pursue another professional opportunity.</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Appointment of New Chief Financial Officer</w:t>
      </w:r>
    </w:p>
    <w:p>
      <w:pPr>
        <w:spacing w:after="0" w:line="119"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On January 11, 2023, the Company announced that Willem Meintjes has been appointed as the Company’s Chief Financial Officer effective January 20, 2023.</w:t>
      </w:r>
    </w:p>
    <w:p>
      <w:pPr>
        <w:spacing w:after="0" w:line="162" w:lineRule="exact"/>
        <w:rPr>
          <w:sz w:val="20"/>
          <w:szCs w:val="20"/>
          <w:color w:val="auto"/>
        </w:rPr>
      </w:pPr>
    </w:p>
    <w:p>
      <w:pPr>
        <w:ind w:right="260"/>
        <w:spacing w:after="0" w:line="257" w:lineRule="auto"/>
        <w:rPr>
          <w:sz w:val="20"/>
          <w:szCs w:val="20"/>
          <w:color w:val="auto"/>
        </w:rPr>
      </w:pPr>
      <w:r>
        <w:rPr>
          <w:rFonts w:ascii="Times New Roman" w:cs="Times New Roman" w:eastAsia="Times New Roman" w:hAnsi="Times New Roman"/>
          <w:sz w:val="18"/>
          <w:szCs w:val="18"/>
          <w:color w:val="auto"/>
        </w:rPr>
        <w:t>Mr. Meintjes, 42, has served as the Company’s Chief Accounting Officer and Treasurer since June 29, 2018. Prior to holding that position, starting in June of 2016, he served as the Company’s Senior Vice President of Finance. Prior to joining the Company, he was Vice President and Corporate Controller at Newport Corporation from 2015 to June 2016, and Vice President and Controller at International Rectifier from 2013 to 2015.</w:t>
      </w:r>
    </w:p>
    <w:p>
      <w:pPr>
        <w:spacing w:after="0" w:line="1" w:lineRule="exact"/>
        <w:rPr>
          <w:sz w:val="20"/>
          <w:szCs w:val="20"/>
          <w:color w:val="auto"/>
        </w:rPr>
      </w:pPr>
    </w:p>
    <w:p>
      <w:pPr>
        <w:ind w:right="700"/>
        <w:spacing w:after="0" w:line="260" w:lineRule="auto"/>
        <w:rPr>
          <w:sz w:val="20"/>
          <w:szCs w:val="20"/>
          <w:color w:val="auto"/>
        </w:rPr>
      </w:pPr>
      <w:r>
        <w:rPr>
          <w:rFonts w:ascii="Times New Roman" w:cs="Times New Roman" w:eastAsia="Times New Roman" w:hAnsi="Times New Roman"/>
          <w:sz w:val="18"/>
          <w:szCs w:val="18"/>
          <w:color w:val="auto"/>
        </w:rPr>
        <w:t>Mr. Meintjes holds both a Bachelor of Commerce in Accounting and a Bachelor of Commerce (Honours) in Accounting from the University of Johannesburg.</w:t>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Mr. Meintjes has no direct or indirect material interest in any transaction required to be disclosed pursuant to Item 404(a) of Regulation S-K.</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connection with his appointment, the Company established new compensation for Mr. Meintjes, as summarized below.</w:t>
      </w:r>
    </w:p>
    <w:p>
      <w:pPr>
        <w:spacing w:after="0" w:line="225" w:lineRule="exact"/>
        <w:rPr>
          <w:sz w:val="20"/>
          <w:szCs w:val="20"/>
          <w:color w:val="auto"/>
        </w:rPr>
      </w:pPr>
    </w:p>
    <w:p>
      <w:pPr>
        <w:ind w:right="120"/>
        <w:spacing w:after="0" w:line="281" w:lineRule="auto"/>
        <w:rPr>
          <w:sz w:val="20"/>
          <w:szCs w:val="20"/>
          <w:color w:val="auto"/>
        </w:rPr>
      </w:pPr>
      <w:r>
        <w:rPr>
          <w:rFonts w:ascii="Times New Roman" w:cs="Times New Roman" w:eastAsia="Times New Roman" w:hAnsi="Times New Roman"/>
          <w:sz w:val="17"/>
          <w:szCs w:val="17"/>
          <w:color w:val="auto"/>
        </w:rPr>
        <w:t>Mr. Meintjes’ annual base salary will be $600,000. He will be eligible to participate in the Company’s Annual Incentive Plan with a target annual incentive bonus of 100% of his annual base salary. Mr. Meintjes has been designated a “Tier 2” participant in the Company’s Change in Control Severance Plan (“CIC Plan”) substantially in the form attached as Exhibit 10.1 to the Company’s Current Report on Form 10-Q filed with the SEC on August 28, 2020. In addition, he will receive grants of restricted stock units (“RSUs”) for the number of shares of Company common stock, as follows:</w:t>
      </w:r>
    </w:p>
    <w:p>
      <w:pPr>
        <w:spacing w:after="0" w:line="56" w:lineRule="exact"/>
        <w:rPr>
          <w:sz w:val="20"/>
          <w:szCs w:val="20"/>
          <w:color w:val="auto"/>
        </w:rPr>
      </w:pPr>
    </w:p>
    <w:p>
      <w:pPr>
        <w:ind w:left="440" w:hanging="4"/>
        <w:spacing w:after="0" w:line="282" w:lineRule="auto"/>
        <w:tabs>
          <w:tab w:leader="none" w:pos="935"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RSUs for the number of shares of common stock equal to $1,200,000 divided by the average closing price of the Company’s common stock for the 30 days prior to January 15, 2023 that shall vest in quarterly installments over three (3) years from the grant date.</w:t>
      </w:r>
    </w:p>
    <w:p>
      <w:pPr>
        <w:spacing w:after="0" w:line="53" w:lineRule="exact"/>
        <w:rPr>
          <w:rFonts w:ascii="Times New Roman" w:cs="Times New Roman" w:eastAsia="Times New Roman" w:hAnsi="Times New Roman"/>
          <w:sz w:val="18"/>
          <w:szCs w:val="18"/>
          <w:color w:val="auto"/>
        </w:rPr>
      </w:pPr>
    </w:p>
    <w:p>
      <w:pPr>
        <w:ind w:left="440" w:right="60" w:hanging="4"/>
        <w:spacing w:after="0" w:line="276" w:lineRule="auto"/>
        <w:tabs>
          <w:tab w:leader="none" w:pos="935" w:val="left"/>
        </w:tabs>
        <w:numPr>
          <w:ilvl w:val="0"/>
          <w:numId w:val="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Performance-Based RSUs for the number of shares of common stock with a target amount of $1,800,000 divided by the average closing price of the Company’s common stock for the 30 days prior to January 15, 2023 that shall vest based on our TSR performance relative to the S&amp;P</w:t>
      </w:r>
    </w:p>
    <w:p>
      <w:pPr>
        <w:ind w:left="440" w:right="80" w:hanging="4"/>
        <w:spacing w:after="0" w:line="252" w:lineRule="auto"/>
        <w:tabs>
          <w:tab w:leader="none" w:pos="755"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Index over the performance period measured from December 15, 2022 to December 5, 2025, up to a maximum 200% of the target grant amount; provided, however, that the TSR related payout percentage may not exceed 100% of the target amount if the Company’s TSR is negative at the end of the performance period. In addition, the amount vesting may be increased by up to 150% based on the Non-GAAP EPS compound annual growth rate (“Non-GAAP EPS CAGR”) for the Company measured against the Non-GAAP EPS CAGR for the companies in the peer group using the initial 2-year period of the performance period. Notwithstanding the foregoing, the maximum payout of the product of (x) the relative total stockholder payout, multiplied by (y) the EPS multiplier will not exceed 250%. If the performance targets are met, the earned shares will vest on January 15, 2025, subject to continued service with the Company through such date.</w:t>
      </w: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Appointment of New Chief Accounting Officer</w:t>
      </w:r>
    </w:p>
    <w:p>
      <w:pPr>
        <w:spacing w:after="0" w:line="119" w:lineRule="exact"/>
        <w:rPr>
          <w:sz w:val="20"/>
          <w:szCs w:val="20"/>
          <w:color w:val="auto"/>
        </w:rPr>
      </w:pPr>
    </w:p>
    <w:p>
      <w:pPr>
        <w:ind w:right="280"/>
        <w:spacing w:after="0" w:line="282" w:lineRule="auto"/>
        <w:rPr>
          <w:sz w:val="20"/>
          <w:szCs w:val="20"/>
          <w:color w:val="auto"/>
        </w:rPr>
      </w:pPr>
      <w:r>
        <w:rPr>
          <w:rFonts w:ascii="Times New Roman" w:cs="Times New Roman" w:eastAsia="Times New Roman" w:hAnsi="Times New Roman"/>
          <w:sz w:val="18"/>
          <w:szCs w:val="18"/>
          <w:color w:val="auto"/>
        </w:rPr>
        <w:t>On January 11, 2023, the Company announced that Pani Dixon has been appointed as the Company’s Chief Accounting Officer effective January 20, 2023.</w:t>
      </w:r>
    </w:p>
    <w:p>
      <w:pPr>
        <w:sectPr>
          <w:pgSz w:w="11900" w:h="16838" w:orient="portrait"/>
          <w:cols w:equalWidth="0" w:num="1">
            <w:col w:w="11000"/>
          </w:cols>
          <w:pgMar w:left="440" w:top="293" w:right="459" w:bottom="1440" w:gutter="0" w:footer="0" w:header="0"/>
        </w:sectPr>
      </w:pPr>
    </w:p>
    <w:bookmarkStart w:id="2" w:name="page3"/>
    <w:bookmarkEnd w:id="2"/>
    <w:p>
      <w:pPr>
        <w:ind w:right="20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Ms. Dixon, 49, has served as the Company’s Vice President and Corporate Controller since March 2019. Prior to that she served as Senior Director, Assistant Corporate Controller from June 2017 to March 2019 and Senior Director, Technical Accounting &amp; SEC Reporting from March 2017 to June 2017. She currently serves on the Board of the California Society of CPAs (CalCPA) and on the Council of the American Institute of CPAs (AICPA). She holds a Bachelor of Business Administration (B.B.A.) in Accounting from the University of Notre Dame and is a Certified Public Accountant (CPA).</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Ms. Dixon has no direct or indirect material interest in any transaction required to be disclosed pursuant to Item 404(a) of Regulation S-K.</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connection with her appointment, the Company established Ms. Dixon’s new compensation, as summarized below.</w:t>
      </w:r>
    </w:p>
    <w:p>
      <w:pPr>
        <w:spacing w:after="0" w:line="225" w:lineRule="exact"/>
        <w:rPr>
          <w:sz w:val="20"/>
          <w:szCs w:val="20"/>
          <w:color w:val="auto"/>
        </w:rPr>
      </w:pPr>
    </w:p>
    <w:p>
      <w:pPr>
        <w:ind w:right="260"/>
        <w:spacing w:after="0" w:line="261" w:lineRule="auto"/>
        <w:rPr>
          <w:sz w:val="20"/>
          <w:szCs w:val="20"/>
          <w:color w:val="auto"/>
        </w:rPr>
      </w:pPr>
      <w:r>
        <w:rPr>
          <w:rFonts w:ascii="Times New Roman" w:cs="Times New Roman" w:eastAsia="Times New Roman" w:hAnsi="Times New Roman"/>
          <w:sz w:val="18"/>
          <w:szCs w:val="18"/>
          <w:color w:val="auto"/>
        </w:rPr>
        <w:t>Ms. Dixon’s annual base salary will be $355,000. She will be eligible to participate in the Company’s Annual Incentive Plan with a target annual incentive bonus of 43% of her annual base salary. She will receive RSUs for the number of shares of common stock equal to $500,000 divided by the average closing price of the Company’s common stock for the 30 days prior to January 15, 2023 that shall vest in quarterly installments over three (3) years from the grant date. Ms. Dixon will be designated a “Tier 3” participant in the Company’s CIC Plan.</w:t>
      </w:r>
    </w:p>
    <w:p>
      <w:pPr>
        <w:spacing w:after="0" w:line="180"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The Company’s press release is attached as Exhibit 99.1 to this Current Report on Form 8-K and the information announcing the above management changes is incorporated by reference herein.</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7"/>
          <w:szCs w:val="17"/>
          <w:b w:val="1"/>
          <w:bCs w:val="1"/>
          <w:color w:val="auto"/>
        </w:rPr>
        <w:t>Regulation FD.</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The information contained in Item 7.01 of this report, including parts of Exhibit 99.1, shall not be incorporated by reference into any filing of the registrant, whether made before or after the date hereof, regardless of any general incorporation language in such filing, unless expressly incorporated by specific reference to such filing. The information in this report, including the relevant parts of the exhibit hereto, shall not be deemed to be “filed” for purposes of Section 18 of the Securities Exchange Act of 1934, as amended, or otherwise subject to the liabilities of that section.</w:t>
      </w:r>
    </w:p>
    <w:p>
      <w:pPr>
        <w:spacing w:after="0" w:line="180" w:lineRule="exact"/>
        <w:rPr>
          <w:sz w:val="20"/>
          <w:szCs w:val="20"/>
          <w:color w:val="auto"/>
        </w:rPr>
      </w:pPr>
    </w:p>
    <w:p>
      <w:pPr>
        <w:ind w:right="160"/>
        <w:spacing w:after="0" w:line="282" w:lineRule="auto"/>
        <w:rPr>
          <w:sz w:val="20"/>
          <w:szCs w:val="20"/>
          <w:color w:val="auto"/>
        </w:rPr>
      </w:pPr>
      <w:r>
        <w:rPr>
          <w:rFonts w:ascii="Times New Roman" w:cs="Times New Roman" w:eastAsia="Times New Roman" w:hAnsi="Times New Roman"/>
          <w:sz w:val="18"/>
          <w:szCs w:val="18"/>
          <w:color w:val="auto"/>
        </w:rPr>
        <w:t>On January 11, 2023, the Company issued a press release announcing its Chief Financial Officer transition and providing certain guidance information for the fourth quarter of fiscal year 2023.</w:t>
      </w:r>
    </w:p>
    <w:p>
      <w:pPr>
        <w:spacing w:after="0" w:line="162" w:lineRule="exact"/>
        <w:rPr>
          <w:sz w:val="20"/>
          <w:szCs w:val="20"/>
          <w:color w:val="auto"/>
        </w:rPr>
      </w:pPr>
    </w:p>
    <w:p>
      <w:pPr>
        <w:ind w:right="340"/>
        <w:spacing w:after="0" w:line="282" w:lineRule="auto"/>
        <w:rPr>
          <w:sz w:val="20"/>
          <w:szCs w:val="20"/>
          <w:color w:val="auto"/>
        </w:rPr>
      </w:pPr>
      <w:r>
        <w:rPr>
          <w:rFonts w:ascii="Times New Roman" w:cs="Times New Roman" w:eastAsia="Times New Roman" w:hAnsi="Times New Roman"/>
          <w:sz w:val="18"/>
          <w:szCs w:val="18"/>
          <w:color w:val="auto"/>
        </w:rPr>
        <w:t>A copy of the press release is furnished herewith as Exhibit 99.1 and the information under the heading “Reaffirming Midpoint of Fourth Quarter of Fiscal 2023 Revenue Outlook and Narrowing Range” is deemed furnished and not filed.</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820" w:hanging="384"/>
        <w:spacing w:after="0"/>
        <w:tabs>
          <w:tab w:leader="none" w:pos="82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pacing w:after="0" w:line="252"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7"/>
          <w:szCs w:val="17"/>
          <w:u w:val="single" w:color="auto"/>
          <w:color w:val="0000EE"/>
        </w:rPr>
        <w:t>Press Release dated January 11, 2023.</w:t>
      </w:r>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1000"/>
          </w:cols>
          <w:pgMar w:left="440" w:top="297" w:right="459" w:bottom="1440" w:gutter="0" w:footer="0" w:header="0"/>
        </w:sectPr>
      </w:pPr>
    </w:p>
    <w:bookmarkStart w:id="3" w:name="page4"/>
    <w:bookmarkEnd w:id="3"/>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INC.</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January 11, 2023</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Mark Casper</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General Counsel</w:t>
      </w:r>
    </w:p>
    <w:p>
      <w:pPr>
        <w:sectPr>
          <w:pgSz w:w="11900" w:h="16838" w:orient="portrait"/>
          <w:cols w:equalWidth="0" w:num="1">
            <w:col w:w="10660"/>
          </w:cols>
          <w:pgMar w:left="440" w:top="293" w:right="799" w:bottom="1440" w:gutter="0" w:footer="0" w:header="0"/>
        </w:sectPr>
      </w:pPr>
    </w:p>
    <w:bookmarkStart w:id="4" w:name="page5"/>
    <w:bookmarkEnd w:id="4"/>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945640" cy="6000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945640" cy="6000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Announces CFO Transition</w:t>
      </w:r>
    </w:p>
    <w:p>
      <w:pPr>
        <w:spacing w:after="0" w:line="2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Willem Meintjes Appointed Chief Financial Officer</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Reaffirms Midpoint of Fourth Quarter of Fiscal 2023 Revenue Outlook, Narrows Range to +/- 3%</w:t>
      </w:r>
    </w:p>
    <w:p>
      <w:pPr>
        <w:spacing w:after="0" w:line="227"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SANTA CLARA, Calif., Jan. 11, 2023 — Marvell Technology, Inc. (NASDAQ: MRVL), a leader in data infrastructure semiconductor solutions, today announced that Willem Meintjes, who has served as Marvell’s Chief Accounting Officer and Treasurer since 2018, has been appointed Chief Financial Officer, effective January 20, 2023. Mr. Meintjes’ promotion follows the resignation of Jean Hu, who is departing the Company to pursue another professional opportunity, effective January 20, 2023.</w:t>
      </w:r>
    </w:p>
    <w:p>
      <w:pPr>
        <w:spacing w:after="0" w:line="180"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“Jean has been an incredible partner over the past six years as we have transformed Marvell into a leader in data infrastructure semiconductor solutions,” said Matt Murphy, Marvell’s President and CEO. “Jean’s commitment to talent and development has also elevated the entire finance organization, as evidenced by many of the strong leaders – including Willem – she has helped mentor over the years. We thank her for her many contributions and wish her all the best with her next professional opportunity.”</w:t>
      </w:r>
    </w:p>
    <w:p>
      <w:pPr>
        <w:spacing w:after="0" w:line="180"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Mr. Murphy continued, “Willem joined Marvell in 2016 right at the start of our transformation, and since then, he has been instrumental in building our corporate and financial foundations. He is well prepared to be taking on the role of CFO and his deep institutional knowledge of the Company, paired with his significant finance operations experience, will be pivotal as we continue our journey to be the industry’s premier data infrastructure semiconductor provider. We are proud of our thoughtful succession planning process that ensures this will be a smooth transition to the next generation of finance leadership.”</w:t>
      </w:r>
    </w:p>
    <w:p>
      <w:pPr>
        <w:spacing w:after="0" w:line="183" w:lineRule="exact"/>
        <w:rPr>
          <w:sz w:val="20"/>
          <w:szCs w:val="20"/>
          <w:color w:val="auto"/>
        </w:rPr>
      </w:pPr>
    </w:p>
    <w:p>
      <w:pPr>
        <w:jc w:val="both"/>
        <w:ind w:right="280"/>
        <w:spacing w:after="0" w:line="266" w:lineRule="auto"/>
        <w:rPr>
          <w:sz w:val="20"/>
          <w:szCs w:val="20"/>
          <w:color w:val="auto"/>
        </w:rPr>
      </w:pPr>
      <w:r>
        <w:rPr>
          <w:rFonts w:ascii="Times New Roman" w:cs="Times New Roman" w:eastAsia="Times New Roman" w:hAnsi="Times New Roman"/>
          <w:sz w:val="18"/>
          <w:szCs w:val="18"/>
          <w:color w:val="auto"/>
        </w:rPr>
        <w:t>“I am thrilled to step into this role and continue working alongside Matt and the rest of the executive team,” said Mr. Meintjes. “We have tremendous momentum in our business as demand for data infrastructure continues to grow, and the opportunity in front of us is enormous. Marvell is on a clear trajectory for success and I look forward to helping the Company execute on its next phase of growth and innovation.”</w:t>
      </w:r>
    </w:p>
    <w:p>
      <w:pPr>
        <w:spacing w:after="0" w:line="176"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“It has been a true privilege to work alongside Matt, Willem and the rest of the talented Marvell team,” said Ms. Hu. “As I depart Marvell for my next opportunity, I know the Company is well-positioned for continued success. Having worked closely with Willem, I can say with confidence that he is the right leader to drive the Company’s finance organization in the years to come.”</w:t>
      </w:r>
    </w:p>
    <w:p>
      <w:pPr>
        <w:spacing w:after="0" w:line="176" w:lineRule="exact"/>
        <w:rPr>
          <w:sz w:val="20"/>
          <w:szCs w:val="20"/>
          <w:color w:val="auto"/>
        </w:rPr>
      </w:pPr>
    </w:p>
    <w:p>
      <w:pPr>
        <w:spacing w:after="0" w:line="277" w:lineRule="auto"/>
        <w:rPr>
          <w:sz w:val="20"/>
          <w:szCs w:val="20"/>
          <w:color w:val="auto"/>
        </w:rPr>
      </w:pPr>
      <w:r>
        <w:rPr>
          <w:rFonts w:ascii="Times New Roman" w:cs="Times New Roman" w:eastAsia="Times New Roman" w:hAnsi="Times New Roman"/>
          <w:sz w:val="17"/>
          <w:szCs w:val="17"/>
          <w:color w:val="auto"/>
        </w:rPr>
        <w:t>Mr. Meintjes joined Marvell in 2016 as Senior Vice President of Finance and was promoted to Chief Accounting Officer and Treasurer two years later. During his tenure at Marvell, Mr. Meintjes has held multiple roles across the Finance organization, including overseeing the FP&amp;A, Treasury and Accounting functions. Prior to joining the Company, he served as Vice President and Corporate Controller at Newport Corporation and as Vice President and Corporate Controller at International Rectifier. Mr. Meintjes holds both a Bachelor of Commerce in Accounting and a Bachelor of Commerce (Honours) in Accounting from the University of Johannesburg and participated in Stanford University’s Strategic Financial Leadership Program in 2018.</w:t>
      </w:r>
    </w:p>
    <w:p>
      <w:pPr>
        <w:spacing w:after="0" w:line="168" w:lineRule="exact"/>
        <w:rPr>
          <w:sz w:val="20"/>
          <w:szCs w:val="20"/>
          <w:color w:val="auto"/>
        </w:rPr>
      </w:pPr>
    </w:p>
    <w:p>
      <w:pPr>
        <w:ind w:right="420"/>
        <w:spacing w:after="0" w:line="282" w:lineRule="auto"/>
        <w:rPr>
          <w:sz w:val="20"/>
          <w:szCs w:val="20"/>
          <w:color w:val="auto"/>
        </w:rPr>
      </w:pPr>
      <w:r>
        <w:rPr>
          <w:rFonts w:ascii="Times New Roman" w:cs="Times New Roman" w:eastAsia="Times New Roman" w:hAnsi="Times New Roman"/>
          <w:sz w:val="18"/>
          <w:szCs w:val="18"/>
          <w:color w:val="auto"/>
        </w:rPr>
        <w:t>As part of this transition, Pani Dixon, who currently serves as the Company’s Corporate Controller, has been named Chief Accounting Officer, also effective January 20, 2023.</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Reaffirming Midpoint of Fourth Quarter of Fiscal 2023 Revenue Outlook and Narrowing Range</w:t>
      </w:r>
    </w:p>
    <w:p>
      <w:pPr>
        <w:spacing w:after="0" w:line="121" w:lineRule="exact"/>
        <w:rPr>
          <w:sz w:val="20"/>
          <w:szCs w:val="20"/>
          <w:color w:val="auto"/>
        </w:rPr>
      </w:pPr>
    </w:p>
    <w:p>
      <w:pPr>
        <w:ind w:right="580"/>
        <w:spacing w:after="0" w:line="282" w:lineRule="auto"/>
        <w:rPr>
          <w:sz w:val="20"/>
          <w:szCs w:val="20"/>
          <w:color w:val="auto"/>
        </w:rPr>
      </w:pPr>
      <w:r>
        <w:rPr>
          <w:rFonts w:ascii="Times New Roman" w:cs="Times New Roman" w:eastAsia="Times New Roman" w:hAnsi="Times New Roman"/>
          <w:sz w:val="18"/>
          <w:szCs w:val="18"/>
          <w:color w:val="auto"/>
        </w:rPr>
        <w:t>The Company today also announced that it is reaffirming the midpoint of its revenue outlook for the fourth quarter of fiscal 2023, as provided on December 1, 2022, and narrowing the range. Net revenue is now expected to be $1.400 billion +/- 3% versus the prior +/- 5%.</w:t>
      </w:r>
    </w:p>
    <w:p>
      <w:pPr>
        <w:sectPr>
          <w:pgSz w:w="11900" w:h="16838" w:orient="portrait"/>
          <w:cols w:equalWidth="0" w:num="1">
            <w:col w:w="11020"/>
          </w:cols>
          <w:pgMar w:left="440" w:top="117" w:right="43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6940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694055"/>
                    </a:xfrm>
                    <a:prstGeom prst="rect">
                      <a:avLst/>
                    </a:prstGeom>
                    <a:noFill/>
                  </pic:spPr>
                </pic:pic>
              </a:graphicData>
            </a:graphic>
          </wp:anchor>
        </w:drawing>
        <w:t>Forward-Looking Statements under the Private Securities Litigation Reform Act of 1995</w:t>
      </w:r>
    </w:p>
    <w:p>
      <w:pPr>
        <w:spacing w:after="0" w:line="225"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This press release contains forward-looking statements within the meaning of the federal securities laws that involve risks and uncertainties. Forward-looking statements include, without limitation, any statement that may predict, forecast, indicate or imply future events or achievements such as statements in this press release related to our projected revenue for the fourth quarter of fiscal year 2023. Actual events or results may differ materially from those contemplated in this press release. Forward-looking statements speak only as of the date they are made. Readers are cautioned not to put undue reliance on forward-looking statements. Our filings with the Securities and Exchange Commission (“SEC”), which you may obtain for free at the SEC’s website at http://www.sec.gov, discuss some of the important risk factors that may affect our projected revenue, business, results of operations and financial condition. We undertake no obligation to publicly update or revise any forward-looking statements, whether as a result of new information, future events or otherwise, except as required by law.</w:t>
      </w:r>
    </w:p>
    <w:p>
      <w:pPr>
        <w:spacing w:after="0" w:line="2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2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Senior 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Kim Markle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pr@marvell.com</w:t>
      </w:r>
    </w:p>
    <w:sectPr>
      <w:pgSz w:w="11900" w:h="16838" w:orient="portrait"/>
      <w:cols w:equalWidth="0" w:num="1">
        <w:col w:w="11000"/>
      </w:cols>
      <w:pgMar w:left="440" w:top="1363"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4B0DC51"/>
    <w:multiLevelType w:val="hybridMultilevel"/>
    <w:lvl w:ilvl="0">
      <w:lvlJc w:val="left"/>
      <w:lvlText w:val="☐"/>
      <w:numFmt w:val="bullet"/>
      <w:start w:val="1"/>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1"/>
      <w:numFmt w:val="decimal"/>
      <w:start w:val="500"/>
    </w:lvl>
  </w:abstractNum>
  <w:abstractNum w:abstractNumId="3">
    <w:nsid w:val="625558EC"/>
    <w:multiLevelType w:val="hybridMultilevel"/>
    <w:lvl w:ilvl="0">
      <w:lvlJc w:val="left"/>
      <w:lvlText w:val="(%1)"/>
      <w:numFmt w:val="lowerLetter"/>
      <w:start w:val="4"/>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jpeg"/><Relationship Id="rId23" Type="http://schemas.openxmlformats.org/officeDocument/2006/relationships/image" Target="media/image1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2023-01-11T15:12:40Z</dcterms:created>
  <dcterms:modified xsi:type="dcterms:W3CDTF">2023-01-11T15:12:40Z</dcterms:modified>
</cp:coreProperties>
</file>