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39"/>
        <w:spacing w:after="0"/>
        <w:rPr>
          <w:sz w:val="20"/>
          <w:szCs w:val="20"/>
          <w:color w:val="auto"/>
        </w:rPr>
      </w:pPr>
      <w:r>
        <w:rPr>
          <w:rFonts w:ascii="Arial" w:cs="Arial" w:eastAsia="Arial" w:hAnsi="Arial"/>
          <w:sz w:val="17"/>
          <w:szCs w:val="17"/>
          <w:color w:val="auto"/>
        </w:rPr>
        <w:t>SECURITIES AND EXCHANGE COMMISSION</w:t>
      </w:r>
    </w:p>
    <w:p>
      <w:pPr>
        <w:spacing w:after="0" w:line="21" w:lineRule="exact"/>
        <w:rPr>
          <w:sz w:val="24"/>
          <w:szCs w:val="24"/>
          <w:color w:val="auto"/>
        </w:rPr>
      </w:pPr>
    </w:p>
    <w:p>
      <w:pPr>
        <w:jc w:val="center"/>
        <w:ind w:right="-139"/>
        <w:spacing w:after="0"/>
        <w:rPr>
          <w:sz w:val="20"/>
          <w:szCs w:val="20"/>
          <w:color w:val="auto"/>
        </w:rPr>
      </w:pPr>
      <w:r>
        <w:rPr>
          <w:rFonts w:ascii="Arial" w:cs="Arial" w:eastAsia="Arial" w:hAnsi="Arial"/>
          <w:sz w:val="17"/>
          <w:szCs w:val="17"/>
          <w:color w:val="auto"/>
        </w:rPr>
        <w:t>Washington, D.C. 20549</w:t>
      </w:r>
    </w:p>
    <w:p>
      <w:pPr>
        <w:spacing w:after="0" w:line="209" w:lineRule="exact"/>
        <w:rPr>
          <w:sz w:val="24"/>
          <w:szCs w:val="24"/>
          <w:color w:val="auto"/>
        </w:rPr>
      </w:pPr>
    </w:p>
    <w:p>
      <w:pPr>
        <w:ind w:left="5140"/>
        <w:spacing w:after="0"/>
        <w:rPr>
          <w:sz w:val="20"/>
          <w:szCs w:val="20"/>
          <w:color w:val="auto"/>
        </w:rPr>
      </w:pPr>
      <w:r>
        <w:rPr>
          <w:rFonts w:ascii="Arial" w:cs="Arial" w:eastAsia="Arial" w:hAnsi="Arial"/>
          <w:sz w:val="17"/>
          <w:szCs w:val="17"/>
          <w:color w:val="auto"/>
        </w:rPr>
        <w:t>Schedule 13G</w:t>
      </w:r>
    </w:p>
    <w:p>
      <w:pPr>
        <w:spacing w:after="0" w:line="183" w:lineRule="exact"/>
        <w:rPr>
          <w:sz w:val="24"/>
          <w:szCs w:val="24"/>
          <w:color w:val="auto"/>
        </w:rPr>
      </w:pPr>
    </w:p>
    <w:p>
      <w:pPr>
        <w:ind w:left="4140"/>
        <w:spacing w:after="0"/>
        <w:rPr>
          <w:sz w:val="20"/>
          <w:szCs w:val="20"/>
          <w:color w:val="auto"/>
        </w:rPr>
      </w:pPr>
      <w:r>
        <w:rPr>
          <w:rFonts w:ascii="Arial" w:cs="Arial" w:eastAsia="Arial" w:hAnsi="Arial"/>
          <w:sz w:val="17"/>
          <w:szCs w:val="17"/>
          <w:color w:val="auto"/>
        </w:rPr>
        <w:t>Under the Securities Exchange Act of 1934</w:t>
      </w:r>
    </w:p>
    <w:p>
      <w:pPr>
        <w:spacing w:after="0" w:line="21" w:lineRule="exact"/>
        <w:rPr>
          <w:sz w:val="24"/>
          <w:szCs w:val="24"/>
          <w:color w:val="auto"/>
        </w:rPr>
      </w:pPr>
    </w:p>
    <w:p>
      <w:pPr>
        <w:jc w:val="center"/>
        <w:ind w:right="-139"/>
        <w:spacing w:after="0"/>
        <w:rPr>
          <w:sz w:val="20"/>
          <w:szCs w:val="20"/>
          <w:color w:val="auto"/>
        </w:rPr>
      </w:pPr>
      <w:r>
        <w:rPr>
          <w:rFonts w:ascii="Arial" w:cs="Arial" w:eastAsia="Arial" w:hAnsi="Arial"/>
          <w:sz w:val="17"/>
          <w:szCs w:val="17"/>
          <w:color w:val="auto"/>
        </w:rPr>
        <w:t>(Amendment No.: 1)*</w:t>
      </w: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17"/>
          <w:szCs w:val="17"/>
          <w:color w:val="auto"/>
        </w:rPr>
        <w:t>Name of issuer: Marvell Technology Inc.</w:t>
      </w:r>
    </w:p>
    <w:p>
      <w:pPr>
        <w:spacing w:after="0" w:line="200" w:lineRule="exact"/>
        <w:rPr>
          <w:sz w:val="24"/>
          <w:szCs w:val="24"/>
          <w:color w:val="auto"/>
        </w:rPr>
      </w:pPr>
    </w:p>
    <w:p>
      <w:pPr>
        <w:spacing w:after="0" w:line="239" w:lineRule="exact"/>
        <w:rPr>
          <w:sz w:val="24"/>
          <w:szCs w:val="24"/>
          <w:color w:val="auto"/>
        </w:rPr>
      </w:pPr>
    </w:p>
    <w:p>
      <w:pPr>
        <w:spacing w:after="0"/>
        <w:rPr>
          <w:sz w:val="20"/>
          <w:szCs w:val="20"/>
          <w:color w:val="auto"/>
        </w:rPr>
      </w:pPr>
      <w:r>
        <w:rPr>
          <w:rFonts w:ascii="Arial" w:cs="Arial" w:eastAsia="Arial" w:hAnsi="Arial"/>
          <w:sz w:val="17"/>
          <w:szCs w:val="17"/>
          <w:color w:val="auto"/>
        </w:rPr>
        <w:t>Title of Class of Securities: Common Stock</w:t>
      </w:r>
    </w:p>
    <w:p>
      <w:pPr>
        <w:spacing w:after="0" w:line="200" w:lineRule="exact"/>
        <w:rPr>
          <w:sz w:val="24"/>
          <w:szCs w:val="24"/>
          <w:color w:val="auto"/>
        </w:rPr>
      </w:pPr>
    </w:p>
    <w:p>
      <w:pPr>
        <w:spacing w:after="0" w:line="239" w:lineRule="exact"/>
        <w:rPr>
          <w:sz w:val="24"/>
          <w:szCs w:val="24"/>
          <w:color w:val="auto"/>
        </w:rPr>
      </w:pPr>
    </w:p>
    <w:p>
      <w:pPr>
        <w:spacing w:after="0"/>
        <w:rPr>
          <w:sz w:val="20"/>
          <w:szCs w:val="20"/>
          <w:color w:val="auto"/>
        </w:rPr>
      </w:pPr>
      <w:r>
        <w:rPr>
          <w:rFonts w:ascii="Arial" w:cs="Arial" w:eastAsia="Arial" w:hAnsi="Arial"/>
          <w:sz w:val="17"/>
          <w:szCs w:val="17"/>
          <w:color w:val="auto"/>
        </w:rPr>
        <w:t>CUSIP Number: 573874104</w:t>
      </w:r>
    </w:p>
    <w:p>
      <w:pPr>
        <w:spacing w:after="0" w:line="200" w:lineRule="exact"/>
        <w:rPr>
          <w:sz w:val="24"/>
          <w:szCs w:val="24"/>
          <w:color w:val="auto"/>
        </w:rPr>
      </w:pPr>
    </w:p>
    <w:p>
      <w:pPr>
        <w:spacing w:after="0" w:line="235" w:lineRule="exact"/>
        <w:rPr>
          <w:sz w:val="24"/>
          <w:szCs w:val="24"/>
          <w:color w:val="auto"/>
        </w:rPr>
      </w:pPr>
    </w:p>
    <w:p>
      <w:pPr>
        <w:spacing w:after="0"/>
        <w:rPr>
          <w:sz w:val="20"/>
          <w:szCs w:val="20"/>
          <w:color w:val="auto"/>
        </w:rPr>
      </w:pPr>
      <w:r>
        <w:rPr>
          <w:rFonts w:ascii="Arial" w:cs="Arial" w:eastAsia="Arial" w:hAnsi="Arial"/>
          <w:sz w:val="17"/>
          <w:szCs w:val="17"/>
          <w:color w:val="auto"/>
        </w:rPr>
        <w:t xml:space="preserve">Date of Event Which Requires Filing of this Statement: </w:t>
      </w:r>
      <w:r>
        <w:rPr>
          <w:rFonts w:ascii="Arial" w:cs="Arial" w:eastAsia="Arial" w:hAnsi="Arial"/>
          <w:sz w:val="17"/>
          <w:szCs w:val="17"/>
          <w:b w:val="1"/>
          <w:bCs w:val="1"/>
          <w:color w:val="auto"/>
        </w:rPr>
        <w:t>December 30, 2022</w:t>
      </w:r>
    </w:p>
    <w:p>
      <w:pPr>
        <w:spacing w:after="0" w:line="227" w:lineRule="exact"/>
        <w:rPr>
          <w:sz w:val="24"/>
          <w:szCs w:val="24"/>
          <w:color w:val="auto"/>
        </w:rPr>
      </w:pPr>
    </w:p>
    <w:p>
      <w:pPr>
        <w:spacing w:after="0"/>
        <w:rPr>
          <w:sz w:val="20"/>
          <w:szCs w:val="20"/>
          <w:color w:val="auto"/>
        </w:rPr>
      </w:pPr>
      <w:r>
        <w:rPr>
          <w:rFonts w:ascii="Arial" w:cs="Arial" w:eastAsia="Arial" w:hAnsi="Arial"/>
          <w:sz w:val="17"/>
          <w:szCs w:val="17"/>
          <w:color w:val="auto"/>
        </w:rPr>
        <w:t>Check the appropriate box to designate the rule pursuant to which this Schedule is filed:</w:t>
      </w:r>
    </w:p>
    <w:p>
      <w:pPr>
        <w:spacing w:after="0" w:line="183" w:lineRule="exact"/>
        <w:rPr>
          <w:sz w:val="24"/>
          <w:szCs w:val="24"/>
          <w:color w:val="auto"/>
        </w:rPr>
      </w:pPr>
    </w:p>
    <w:p>
      <w:pPr>
        <w:ind w:left="380" w:hanging="156"/>
        <w:spacing w:after="0"/>
        <w:tabs>
          <w:tab w:leader="none" w:pos="380" w:val="left"/>
        </w:tabs>
        <w:numPr>
          <w:ilvl w:val="0"/>
          <w:numId w:val="1"/>
        </w:numPr>
        <w:rPr>
          <w:rFonts w:ascii="MS PGothic" w:cs="MS PGothic" w:eastAsia="MS PGothic" w:hAnsi="MS PGothic"/>
          <w:sz w:val="15"/>
          <w:szCs w:val="15"/>
          <w:color w:val="auto"/>
        </w:rPr>
      </w:pPr>
      <w:r>
        <w:rPr>
          <w:rFonts w:ascii="Arial" w:cs="Arial" w:eastAsia="Arial" w:hAnsi="Arial"/>
          <w:sz w:val="15"/>
          <w:szCs w:val="15"/>
          <w:color w:val="auto"/>
        </w:rPr>
        <w:t>   Rule 13d-1(b)</w:t>
      </w:r>
    </w:p>
    <w:p>
      <w:pPr>
        <w:spacing w:after="0" w:line="219" w:lineRule="exact"/>
        <w:rPr>
          <w:sz w:val="24"/>
          <w:szCs w:val="24"/>
          <w:color w:val="auto"/>
        </w:rPr>
      </w:pPr>
    </w:p>
    <w:p>
      <w:pPr>
        <w:ind w:left="380" w:hanging="156"/>
        <w:spacing w:after="0"/>
        <w:tabs>
          <w:tab w:leader="none" w:pos="380" w:val="left"/>
        </w:tabs>
        <w:numPr>
          <w:ilvl w:val="0"/>
          <w:numId w:val="2"/>
        </w:numPr>
        <w:rPr>
          <w:rFonts w:ascii="MS PGothic" w:cs="MS PGothic" w:eastAsia="MS PGothic" w:hAnsi="MS PGothic"/>
          <w:sz w:val="15"/>
          <w:szCs w:val="15"/>
          <w:color w:val="auto"/>
        </w:rPr>
      </w:pPr>
      <w:r>
        <w:rPr>
          <w:rFonts w:ascii="Arial" w:cs="Arial" w:eastAsia="Arial" w:hAnsi="Arial"/>
          <w:sz w:val="15"/>
          <w:szCs w:val="15"/>
          <w:color w:val="auto"/>
        </w:rPr>
        <w:t>   Rule 13d-1(c)</w:t>
      </w:r>
    </w:p>
    <w:p>
      <w:pPr>
        <w:spacing w:after="0" w:line="219" w:lineRule="exact"/>
        <w:rPr>
          <w:rFonts w:ascii="MS PGothic" w:cs="MS PGothic" w:eastAsia="MS PGothic" w:hAnsi="MS PGothic"/>
          <w:sz w:val="15"/>
          <w:szCs w:val="15"/>
          <w:color w:val="auto"/>
        </w:rPr>
      </w:pPr>
    </w:p>
    <w:p>
      <w:pPr>
        <w:ind w:left="380" w:hanging="156"/>
        <w:spacing w:after="0"/>
        <w:tabs>
          <w:tab w:leader="none" w:pos="380" w:val="left"/>
        </w:tabs>
        <w:numPr>
          <w:ilvl w:val="0"/>
          <w:numId w:val="2"/>
        </w:numPr>
        <w:rPr>
          <w:rFonts w:ascii="MS PGothic" w:cs="MS PGothic" w:eastAsia="MS PGothic" w:hAnsi="MS PGothic"/>
          <w:sz w:val="15"/>
          <w:szCs w:val="15"/>
          <w:color w:val="auto"/>
        </w:rPr>
      </w:pPr>
      <w:r>
        <w:rPr>
          <w:rFonts w:ascii="Arial" w:cs="Arial" w:eastAsia="Arial" w:hAnsi="Arial"/>
          <w:sz w:val="15"/>
          <w:szCs w:val="15"/>
          <w:color w:val="auto"/>
        </w:rPr>
        <w:t>   Rule 13d-1(d)</w:t>
      </w:r>
    </w:p>
    <w:p>
      <w:pPr>
        <w:spacing w:after="0" w:line="246" w:lineRule="exact"/>
        <w:rPr>
          <w:sz w:val="24"/>
          <w:szCs w:val="24"/>
          <w:color w:val="auto"/>
        </w:rPr>
      </w:pPr>
    </w:p>
    <w:p>
      <w:pPr>
        <w:ind w:firstLine="216"/>
        <w:spacing w:after="0" w:line="274" w:lineRule="auto"/>
        <w:rPr>
          <w:sz w:val="20"/>
          <w:szCs w:val="20"/>
          <w:color w:val="auto"/>
        </w:rPr>
      </w:pPr>
      <w:r>
        <w:rPr>
          <w:rFonts w:ascii="Arial" w:cs="Arial" w:eastAsia="Arial" w:hAnsi="Arial"/>
          <w:sz w:val="17"/>
          <w:szCs w:val="17"/>
          <w:color w:val="auto"/>
        </w:rPr>
        <w:t>*The remainder of this cover page shall be filled out for a reporting person's initial filing on this form with respect to the subject class of securities, and for any subsequent amendment containing information which would alter the disclosures provided in a prior cover page.</w:t>
      </w:r>
    </w:p>
    <w:p>
      <w:pPr>
        <w:spacing w:after="0" w:line="175" w:lineRule="exact"/>
        <w:rPr>
          <w:sz w:val="24"/>
          <w:szCs w:val="24"/>
          <w:color w:val="auto"/>
        </w:rPr>
      </w:pPr>
    </w:p>
    <w:p>
      <w:pPr>
        <w:ind w:right="80" w:firstLine="216"/>
        <w:spacing w:after="0" w:line="342" w:lineRule="auto"/>
        <w:rPr>
          <w:sz w:val="20"/>
          <w:szCs w:val="20"/>
          <w:color w:val="auto"/>
        </w:rPr>
      </w:pPr>
      <w:r>
        <w:rPr>
          <w:rFonts w:ascii="Arial" w:cs="Arial" w:eastAsia="Arial" w:hAnsi="Arial"/>
          <w:sz w:val="15"/>
          <w:szCs w:val="15"/>
          <w:color w:val="auto"/>
        </w:rPr>
        <w:t>The information required in the remainder of this cover page shall not be deemed to be "filed" for the purpose of Section 18 of the Securities Exchange Act of 1934 ("Act") or otherwise subject to the liabilities of that section of the Act but shall be subject to all other provisions of the Act (however, see the Notes).</w:t>
      </w:r>
    </w:p>
    <w:p>
      <w:pPr>
        <w:spacing w:after="0" w:line="345" w:lineRule="exact"/>
        <w:rPr>
          <w:sz w:val="24"/>
          <w:szCs w:val="24"/>
          <w:color w:val="auto"/>
        </w:rPr>
      </w:pPr>
    </w:p>
    <w:p>
      <w:pPr>
        <w:spacing w:after="0"/>
        <w:rPr>
          <w:sz w:val="20"/>
          <w:szCs w:val="20"/>
          <w:color w:val="auto"/>
        </w:rPr>
      </w:pPr>
      <w:r>
        <w:rPr>
          <w:rFonts w:ascii="Arial" w:cs="Arial" w:eastAsia="Arial" w:hAnsi="Arial"/>
          <w:sz w:val="17"/>
          <w:szCs w:val="17"/>
          <w:color w:val="auto"/>
        </w:rPr>
        <w:t>(Continued on the following page(s))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307340</wp:posOffset>
            </wp:positionV>
            <wp:extent cx="713232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132320" cy="8255"/>
                    </a:xfrm>
                    <a:prstGeom prst="rect">
                      <a:avLst/>
                    </a:prstGeom>
                    <a:noFill/>
                  </pic:spPr>
                </pic:pic>
              </a:graphicData>
            </a:graphic>
          </wp:anchor>
        </w:drawing>
      </w:r>
    </w:p>
    <w:p>
      <w:pPr>
        <w:sectPr>
          <w:pgSz w:w="11900" w:h="16838" w:orient="portrait"/>
          <w:cols w:equalWidth="0" w:num="1">
            <w:col w:w="11100"/>
          </w:cols>
          <w:pgMar w:left="320" w:top="230" w:right="479" w:bottom="1440" w:gutter="0" w:footer="0" w:header="0"/>
        </w:sectPr>
      </w:pPr>
    </w:p>
    <w:bookmarkStart w:id="1" w:name="page2"/>
    <w:bookmarkEnd w:id="1"/>
    <w:p>
      <w:pPr>
        <w:ind w:left="5480"/>
        <w:spacing w:after="0"/>
        <w:rPr>
          <w:sz w:val="20"/>
          <w:szCs w:val="20"/>
          <w:color w:val="auto"/>
        </w:rPr>
      </w:pPr>
      <w:r>
        <w:rPr>
          <w:rFonts w:ascii="Arial" w:cs="Arial" w:eastAsia="Arial" w:hAnsi="Arial"/>
          <w:sz w:val="17"/>
          <w:szCs w:val="17"/>
          <w:color w:val="auto"/>
        </w:rPr>
        <w:t>13G</w:t>
      </w:r>
    </w:p>
    <w:p>
      <w:pPr>
        <w:spacing w:after="0" w:line="183" w:lineRule="exact"/>
        <w:rPr>
          <w:sz w:val="20"/>
          <w:szCs w:val="20"/>
          <w:color w:val="auto"/>
        </w:rPr>
      </w:pPr>
    </w:p>
    <w:p>
      <w:pPr>
        <w:spacing w:after="0"/>
        <w:rPr>
          <w:sz w:val="20"/>
          <w:szCs w:val="20"/>
          <w:color w:val="auto"/>
        </w:rPr>
      </w:pPr>
      <w:r>
        <w:rPr>
          <w:rFonts w:ascii="Arial" w:cs="Arial" w:eastAsia="Arial" w:hAnsi="Arial"/>
          <w:sz w:val="17"/>
          <w:szCs w:val="17"/>
          <w:color w:val="auto"/>
        </w:rPr>
        <w:t>CUSIP No.: 573874104</w:t>
      </w:r>
    </w:p>
    <w:p>
      <w:pPr>
        <w:spacing w:after="0" w:line="200" w:lineRule="exact"/>
        <w:rPr>
          <w:sz w:val="20"/>
          <w:szCs w:val="20"/>
          <w:color w:val="auto"/>
        </w:rPr>
      </w:pPr>
    </w:p>
    <w:p>
      <w:pPr>
        <w:spacing w:after="0" w:line="239" w:lineRule="exact"/>
        <w:rPr>
          <w:sz w:val="20"/>
          <w:szCs w:val="20"/>
          <w:color w:val="auto"/>
        </w:rPr>
      </w:pPr>
    </w:p>
    <w:p>
      <w:pPr>
        <w:ind w:left="220" w:hanging="212"/>
        <w:spacing w:after="0"/>
        <w:tabs>
          <w:tab w:leader="none" w:pos="220" w:val="left"/>
        </w:tabs>
        <w:numPr>
          <w:ilvl w:val="0"/>
          <w:numId w:val="3"/>
        </w:numPr>
        <w:rPr>
          <w:rFonts w:ascii="Arial" w:cs="Arial" w:eastAsia="Arial" w:hAnsi="Arial"/>
          <w:sz w:val="17"/>
          <w:szCs w:val="17"/>
          <w:color w:val="auto"/>
        </w:rPr>
      </w:pPr>
      <w:r>
        <w:rPr>
          <w:rFonts w:ascii="Arial" w:cs="Arial" w:eastAsia="Arial" w:hAnsi="Arial"/>
          <w:sz w:val="17"/>
          <w:szCs w:val="17"/>
          <w:color w:val="auto"/>
        </w:rPr>
        <w:t>NAME OF REPORTING PERSON</w:t>
      </w:r>
    </w:p>
    <w:p>
      <w:pPr>
        <w:spacing w:after="0" w:line="20" w:lineRule="exact"/>
        <w:rPr>
          <w:rFonts w:ascii="Arial" w:cs="Arial" w:eastAsia="Arial" w:hAnsi="Arial"/>
          <w:sz w:val="17"/>
          <w:szCs w:val="17"/>
          <w:color w:val="auto"/>
        </w:rPr>
      </w:pPr>
    </w:p>
    <w:p>
      <w:pPr>
        <w:ind w:left="220" w:right="6199"/>
        <w:spacing w:after="0" w:line="505" w:lineRule="auto"/>
        <w:rPr>
          <w:rFonts w:ascii="Arial" w:cs="Arial" w:eastAsia="Arial" w:hAnsi="Arial"/>
          <w:sz w:val="17"/>
          <w:szCs w:val="17"/>
          <w:color w:val="auto"/>
        </w:rPr>
      </w:pPr>
      <w:r>
        <w:rPr>
          <w:rFonts w:ascii="Arial" w:cs="Arial" w:eastAsia="Arial" w:hAnsi="Arial"/>
          <w:sz w:val="17"/>
          <w:szCs w:val="17"/>
          <w:color w:val="auto"/>
        </w:rPr>
        <w:t>I.R.S. IDENTIFICATION NO. OF ABOVE PERSON The Vanguard Group - 23-1945930</w:t>
      </w:r>
    </w:p>
    <w:p>
      <w:pPr>
        <w:ind w:left="220" w:hanging="212"/>
        <w:spacing w:after="0"/>
        <w:tabs>
          <w:tab w:leader="none" w:pos="220" w:val="left"/>
        </w:tabs>
        <w:numPr>
          <w:ilvl w:val="0"/>
          <w:numId w:val="3"/>
        </w:numPr>
        <w:rPr>
          <w:rFonts w:ascii="Arial" w:cs="Arial" w:eastAsia="Arial" w:hAnsi="Arial"/>
          <w:sz w:val="17"/>
          <w:szCs w:val="17"/>
          <w:color w:val="auto"/>
        </w:rPr>
      </w:pPr>
      <w:r>
        <w:rPr>
          <w:rFonts w:ascii="Arial" w:cs="Arial" w:eastAsia="Arial" w:hAnsi="Arial"/>
          <w:sz w:val="17"/>
          <w:szCs w:val="17"/>
          <w:color w:val="auto"/>
        </w:rPr>
        <w:t>CHECK THE APPROPRIATE [LINE] IF A MEMBER OF A GROUP</w:t>
      </w: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20" w:hanging="212"/>
        <w:spacing w:after="0"/>
        <w:tabs>
          <w:tab w:leader="none" w:pos="220" w:val="left"/>
        </w:tabs>
        <w:numPr>
          <w:ilvl w:val="0"/>
          <w:numId w:val="4"/>
        </w:numPr>
        <w:rPr>
          <w:rFonts w:ascii="Arial" w:cs="Arial" w:eastAsia="Arial" w:hAnsi="Arial"/>
          <w:sz w:val="17"/>
          <w:szCs w:val="17"/>
          <w:color w:val="auto"/>
        </w:rPr>
      </w:pPr>
      <w:r>
        <w:rPr>
          <w:rFonts w:ascii="Arial" w:cs="Arial" w:eastAsia="Arial" w:hAnsi="Arial"/>
          <w:sz w:val="17"/>
          <w:szCs w:val="17"/>
          <w:color w:val="auto"/>
        </w:rPr>
        <w:t>SEC USE ONLY</w:t>
      </w:r>
    </w:p>
    <w:p>
      <w:pPr>
        <w:spacing w:after="0" w:line="200" w:lineRule="exact"/>
        <w:rPr>
          <w:rFonts w:ascii="Arial" w:cs="Arial" w:eastAsia="Arial" w:hAnsi="Arial"/>
          <w:sz w:val="17"/>
          <w:szCs w:val="17"/>
          <w:color w:val="auto"/>
        </w:rPr>
      </w:pPr>
    </w:p>
    <w:p>
      <w:pPr>
        <w:spacing w:after="0" w:line="200" w:lineRule="exact"/>
        <w:rPr>
          <w:rFonts w:ascii="Arial" w:cs="Arial" w:eastAsia="Arial" w:hAnsi="Arial"/>
          <w:sz w:val="17"/>
          <w:szCs w:val="17"/>
          <w:color w:val="auto"/>
        </w:rPr>
      </w:pPr>
    </w:p>
    <w:p>
      <w:pPr>
        <w:spacing w:after="0" w:line="255" w:lineRule="exact"/>
        <w:rPr>
          <w:rFonts w:ascii="Arial" w:cs="Arial" w:eastAsia="Arial" w:hAnsi="Arial"/>
          <w:sz w:val="17"/>
          <w:szCs w:val="17"/>
          <w:color w:val="auto"/>
        </w:rPr>
      </w:pPr>
    </w:p>
    <w:p>
      <w:pPr>
        <w:ind w:left="220" w:right="6459" w:hanging="212"/>
        <w:spacing w:after="0" w:line="513" w:lineRule="auto"/>
        <w:tabs>
          <w:tab w:leader="none" w:pos="218" w:val="left"/>
        </w:tabs>
        <w:numPr>
          <w:ilvl w:val="0"/>
          <w:numId w:val="4"/>
        </w:numPr>
        <w:rPr>
          <w:rFonts w:ascii="Arial" w:cs="Arial" w:eastAsia="Arial" w:hAnsi="Arial"/>
          <w:sz w:val="17"/>
          <w:szCs w:val="17"/>
          <w:color w:val="auto"/>
        </w:rPr>
      </w:pPr>
      <w:r>
        <w:rPr>
          <w:rFonts w:ascii="Arial" w:cs="Arial" w:eastAsia="Arial" w:hAnsi="Arial"/>
          <w:sz w:val="17"/>
          <w:szCs w:val="17"/>
          <w:color w:val="auto"/>
        </w:rPr>
        <w:t>CITIZENSHIP OF PLACE OF ORGANIZATION Pennsylvania</w:t>
      </w:r>
    </w:p>
    <w:p>
      <w:pPr>
        <w:spacing w:after="0" w:line="1" w:lineRule="exact"/>
        <w:rPr>
          <w:sz w:val="20"/>
          <w:szCs w:val="20"/>
          <w:color w:val="auto"/>
        </w:rPr>
      </w:pPr>
    </w:p>
    <w:p>
      <w:pPr>
        <w:spacing w:after="0"/>
        <w:rPr>
          <w:sz w:val="20"/>
          <w:szCs w:val="20"/>
          <w:color w:val="auto"/>
        </w:rPr>
      </w:pPr>
      <w:r>
        <w:rPr>
          <w:rFonts w:ascii="Arial" w:cs="Arial" w:eastAsia="Arial" w:hAnsi="Arial"/>
          <w:sz w:val="16"/>
          <w:szCs w:val="16"/>
          <w:color w:val="auto"/>
        </w:rPr>
        <w:t>(For questions 5-8, report the number of shares beneficially owned by each reporting person with:)</w:t>
      </w:r>
    </w:p>
    <w:p>
      <w:pPr>
        <w:spacing w:after="0" w:line="235" w:lineRule="exact"/>
        <w:rPr>
          <w:sz w:val="20"/>
          <w:szCs w:val="20"/>
          <w:color w:val="auto"/>
        </w:rPr>
      </w:pPr>
    </w:p>
    <w:p>
      <w:pPr>
        <w:ind w:left="220" w:right="8159" w:hanging="212"/>
        <w:spacing w:after="0" w:line="513" w:lineRule="auto"/>
        <w:tabs>
          <w:tab w:leader="none" w:pos="218" w:val="left"/>
        </w:tabs>
        <w:numPr>
          <w:ilvl w:val="0"/>
          <w:numId w:val="5"/>
        </w:numPr>
        <w:rPr>
          <w:rFonts w:ascii="Arial" w:cs="Arial" w:eastAsia="Arial" w:hAnsi="Arial"/>
          <w:sz w:val="17"/>
          <w:szCs w:val="17"/>
          <w:color w:val="auto"/>
        </w:rPr>
      </w:pPr>
      <w:r>
        <w:rPr>
          <w:rFonts w:ascii="Arial" w:cs="Arial" w:eastAsia="Arial" w:hAnsi="Arial"/>
          <w:sz w:val="17"/>
          <w:szCs w:val="17"/>
          <w:color w:val="auto"/>
        </w:rPr>
        <w:t>SOLE VOTING POWER 0</w:t>
      </w:r>
    </w:p>
    <w:p>
      <w:pPr>
        <w:spacing w:after="0" w:line="1" w:lineRule="exact"/>
        <w:rPr>
          <w:rFonts w:ascii="Arial" w:cs="Arial" w:eastAsia="Arial" w:hAnsi="Arial"/>
          <w:sz w:val="17"/>
          <w:szCs w:val="17"/>
          <w:color w:val="auto"/>
        </w:rPr>
      </w:pPr>
    </w:p>
    <w:p>
      <w:pPr>
        <w:ind w:left="220" w:right="7899" w:hanging="212"/>
        <w:spacing w:after="0" w:line="513" w:lineRule="auto"/>
        <w:tabs>
          <w:tab w:leader="none" w:pos="218" w:val="left"/>
        </w:tabs>
        <w:numPr>
          <w:ilvl w:val="0"/>
          <w:numId w:val="5"/>
        </w:numPr>
        <w:rPr>
          <w:rFonts w:ascii="Arial" w:cs="Arial" w:eastAsia="Arial" w:hAnsi="Arial"/>
          <w:sz w:val="17"/>
          <w:szCs w:val="17"/>
          <w:color w:val="auto"/>
        </w:rPr>
      </w:pPr>
      <w:r>
        <w:rPr>
          <w:rFonts w:ascii="Arial" w:cs="Arial" w:eastAsia="Arial" w:hAnsi="Arial"/>
          <w:sz w:val="17"/>
          <w:szCs w:val="17"/>
          <w:color w:val="auto"/>
        </w:rPr>
        <w:t>SHARED VOTING POWER 602,972</w:t>
      </w:r>
    </w:p>
    <w:p>
      <w:pPr>
        <w:spacing w:after="0" w:line="1" w:lineRule="exact"/>
        <w:rPr>
          <w:rFonts w:ascii="Arial" w:cs="Arial" w:eastAsia="Arial" w:hAnsi="Arial"/>
          <w:sz w:val="17"/>
          <w:szCs w:val="17"/>
          <w:color w:val="auto"/>
        </w:rPr>
      </w:pPr>
    </w:p>
    <w:p>
      <w:pPr>
        <w:ind w:left="220" w:right="7779" w:hanging="212"/>
        <w:spacing w:after="0" w:line="513" w:lineRule="auto"/>
        <w:tabs>
          <w:tab w:leader="none" w:pos="218" w:val="left"/>
        </w:tabs>
        <w:numPr>
          <w:ilvl w:val="0"/>
          <w:numId w:val="5"/>
        </w:numPr>
        <w:rPr>
          <w:rFonts w:ascii="Arial" w:cs="Arial" w:eastAsia="Arial" w:hAnsi="Arial"/>
          <w:sz w:val="17"/>
          <w:szCs w:val="17"/>
          <w:color w:val="auto"/>
        </w:rPr>
      </w:pPr>
      <w:r>
        <w:rPr>
          <w:rFonts w:ascii="Arial" w:cs="Arial" w:eastAsia="Arial" w:hAnsi="Arial"/>
          <w:sz w:val="17"/>
          <w:szCs w:val="17"/>
          <w:color w:val="auto"/>
        </w:rPr>
        <w:t>SOLE DISPOSITIVE POWER 66,419,098</w:t>
      </w:r>
    </w:p>
    <w:p>
      <w:pPr>
        <w:spacing w:after="0" w:line="1" w:lineRule="exact"/>
        <w:rPr>
          <w:rFonts w:ascii="Arial" w:cs="Arial" w:eastAsia="Arial" w:hAnsi="Arial"/>
          <w:sz w:val="17"/>
          <w:szCs w:val="17"/>
          <w:color w:val="auto"/>
        </w:rPr>
      </w:pPr>
    </w:p>
    <w:p>
      <w:pPr>
        <w:ind w:left="220" w:right="7519" w:hanging="212"/>
        <w:spacing w:after="0" w:line="513" w:lineRule="auto"/>
        <w:tabs>
          <w:tab w:leader="none" w:pos="218" w:val="left"/>
        </w:tabs>
        <w:numPr>
          <w:ilvl w:val="0"/>
          <w:numId w:val="5"/>
        </w:numPr>
        <w:rPr>
          <w:rFonts w:ascii="Arial" w:cs="Arial" w:eastAsia="Arial" w:hAnsi="Arial"/>
          <w:sz w:val="17"/>
          <w:szCs w:val="17"/>
          <w:color w:val="auto"/>
        </w:rPr>
      </w:pPr>
      <w:r>
        <w:rPr>
          <w:rFonts w:ascii="Arial" w:cs="Arial" w:eastAsia="Arial" w:hAnsi="Arial"/>
          <w:sz w:val="17"/>
          <w:szCs w:val="17"/>
          <w:color w:val="auto"/>
        </w:rPr>
        <w:t>SHARED DISPOSITIVE POWER 1,793,260</w:t>
      </w:r>
    </w:p>
    <w:p>
      <w:pPr>
        <w:spacing w:after="0" w:line="1" w:lineRule="exact"/>
        <w:rPr>
          <w:rFonts w:ascii="Arial" w:cs="Arial" w:eastAsia="Arial" w:hAnsi="Arial"/>
          <w:sz w:val="17"/>
          <w:szCs w:val="17"/>
          <w:color w:val="auto"/>
        </w:rPr>
      </w:pPr>
    </w:p>
    <w:p>
      <w:pPr>
        <w:ind w:left="220" w:right="3699" w:hanging="212"/>
        <w:spacing w:after="0" w:line="513" w:lineRule="auto"/>
        <w:tabs>
          <w:tab w:leader="none" w:pos="208" w:val="left"/>
        </w:tabs>
        <w:numPr>
          <w:ilvl w:val="0"/>
          <w:numId w:val="5"/>
        </w:numPr>
        <w:rPr>
          <w:rFonts w:ascii="Arial" w:cs="Arial" w:eastAsia="Arial" w:hAnsi="Arial"/>
          <w:sz w:val="17"/>
          <w:szCs w:val="17"/>
          <w:color w:val="auto"/>
        </w:rPr>
      </w:pPr>
      <w:r>
        <w:rPr>
          <w:rFonts w:ascii="Arial" w:cs="Arial" w:eastAsia="Arial" w:hAnsi="Arial"/>
          <w:sz w:val="17"/>
          <w:szCs w:val="17"/>
          <w:color w:val="auto"/>
        </w:rPr>
        <w:t>AGGREGATE AMOUNT BENEFICIALLY OWNED BY EACH REPORTING PERSON 68,212,358</w:t>
      </w:r>
    </w:p>
    <w:p>
      <w:pPr>
        <w:spacing w:after="0" w:line="1" w:lineRule="exact"/>
        <w:rPr>
          <w:rFonts w:ascii="Arial" w:cs="Arial" w:eastAsia="Arial" w:hAnsi="Arial"/>
          <w:sz w:val="17"/>
          <w:szCs w:val="17"/>
          <w:color w:val="auto"/>
        </w:rPr>
      </w:pPr>
    </w:p>
    <w:p>
      <w:pPr>
        <w:ind w:left="220" w:right="3119" w:hanging="212"/>
        <w:spacing w:after="0" w:line="513" w:lineRule="auto"/>
        <w:tabs>
          <w:tab w:leader="none" w:pos="303" w:val="left"/>
        </w:tabs>
        <w:numPr>
          <w:ilvl w:val="0"/>
          <w:numId w:val="5"/>
        </w:numPr>
        <w:rPr>
          <w:rFonts w:ascii="Arial" w:cs="Arial" w:eastAsia="Arial" w:hAnsi="Arial"/>
          <w:sz w:val="17"/>
          <w:szCs w:val="17"/>
          <w:color w:val="auto"/>
        </w:rPr>
      </w:pPr>
      <w:r>
        <w:rPr>
          <w:rFonts w:ascii="Arial" w:cs="Arial" w:eastAsia="Arial" w:hAnsi="Arial"/>
          <w:sz w:val="17"/>
          <w:szCs w:val="17"/>
          <w:color w:val="auto"/>
        </w:rPr>
        <w:t>CHECK BOX IF THE AGGREGATE AMOUNT IN ROW (9) EXCLUDES CERTAIN SHARES N/A</w:t>
      </w:r>
    </w:p>
    <w:p>
      <w:pPr>
        <w:spacing w:after="0" w:line="1" w:lineRule="exact"/>
        <w:rPr>
          <w:rFonts w:ascii="Arial" w:cs="Arial" w:eastAsia="Arial" w:hAnsi="Arial"/>
          <w:sz w:val="17"/>
          <w:szCs w:val="17"/>
          <w:color w:val="auto"/>
        </w:rPr>
      </w:pPr>
    </w:p>
    <w:p>
      <w:pPr>
        <w:ind w:left="300" w:hanging="292"/>
        <w:spacing w:after="0"/>
        <w:tabs>
          <w:tab w:leader="none" w:pos="300" w:val="left"/>
        </w:tabs>
        <w:numPr>
          <w:ilvl w:val="0"/>
          <w:numId w:val="5"/>
        </w:numPr>
        <w:rPr>
          <w:rFonts w:ascii="Arial" w:cs="Arial" w:eastAsia="Arial" w:hAnsi="Arial"/>
          <w:sz w:val="17"/>
          <w:szCs w:val="17"/>
          <w:color w:val="auto"/>
        </w:rPr>
      </w:pPr>
      <w:r>
        <w:rPr>
          <w:rFonts w:ascii="Arial" w:cs="Arial" w:eastAsia="Arial" w:hAnsi="Arial"/>
          <w:sz w:val="17"/>
          <w:szCs w:val="17"/>
          <w:color w:val="auto"/>
        </w:rPr>
        <w:t>PERCENT OF CLASS REPRESENTED BY AMOUNT IN ROW 9</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7.99%</w:t>
      </w:r>
    </w:p>
    <w:p>
      <w:pPr>
        <w:spacing w:after="0" w:line="223" w:lineRule="exact"/>
        <w:rPr>
          <w:sz w:val="20"/>
          <w:szCs w:val="20"/>
          <w:color w:val="auto"/>
        </w:rPr>
      </w:pPr>
    </w:p>
    <w:p>
      <w:pPr>
        <w:ind w:left="220" w:right="7459" w:hanging="212"/>
        <w:spacing w:after="0" w:line="539" w:lineRule="auto"/>
        <w:tabs>
          <w:tab w:leader="none" w:pos="300" w:val="left"/>
        </w:tabs>
        <w:numPr>
          <w:ilvl w:val="0"/>
          <w:numId w:val="6"/>
        </w:numPr>
        <w:rPr>
          <w:rFonts w:ascii="Arial" w:cs="Arial" w:eastAsia="Arial" w:hAnsi="Arial"/>
          <w:sz w:val="17"/>
          <w:szCs w:val="17"/>
          <w:color w:val="auto"/>
        </w:rPr>
      </w:pPr>
      <w:r>
        <w:rPr>
          <w:rFonts w:ascii="Arial" w:cs="Arial" w:eastAsia="Arial" w:hAnsi="Arial"/>
          <w:sz w:val="17"/>
          <w:szCs w:val="17"/>
          <w:color w:val="auto"/>
        </w:rPr>
        <w:t>TYPE OF REPORTING PERSON 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139700</wp:posOffset>
            </wp:positionV>
            <wp:extent cx="713232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32320" cy="8890"/>
                    </a:xfrm>
                    <a:prstGeom prst="rect">
                      <a:avLst/>
                    </a:prstGeom>
                    <a:noFill/>
                  </pic:spPr>
                </pic:pic>
              </a:graphicData>
            </a:graphic>
          </wp:anchor>
        </w:drawing>
      </w:r>
    </w:p>
    <w:p>
      <w:pPr>
        <w:sectPr>
          <w:pgSz w:w="11900" w:h="16838" w:orient="portrait"/>
          <w:cols w:equalWidth="0" w:num="1">
            <w:col w:w="10139"/>
          </w:cols>
          <w:pgMar w:left="320" w:top="689" w:right="1440" w:bottom="1440" w:gutter="0" w:footer="0" w:header="0"/>
        </w:sectPr>
      </w:pPr>
    </w:p>
    <w:bookmarkStart w:id="2" w:name="page3"/>
    <w:bookmarkEnd w:id="2"/>
    <w:p>
      <w:pPr>
        <w:jc w:val="center"/>
        <w:ind w:right="-1120"/>
        <w:spacing w:after="0"/>
        <w:rPr>
          <w:sz w:val="20"/>
          <w:szCs w:val="20"/>
          <w:color w:val="auto"/>
        </w:rPr>
      </w:pPr>
      <w:r>
        <w:rPr>
          <w:rFonts w:ascii="Arial" w:cs="Arial" w:eastAsia="Arial" w:hAnsi="Arial"/>
          <w:sz w:val="17"/>
          <w:szCs w:val="17"/>
          <w:color w:val="auto"/>
        </w:rPr>
        <w:t>SECURITIES AND EXCHANGE COMMISSION</w:t>
      </w:r>
    </w:p>
    <w:p>
      <w:pPr>
        <w:spacing w:after="0" w:line="21" w:lineRule="exact"/>
        <w:rPr>
          <w:sz w:val="20"/>
          <w:szCs w:val="20"/>
          <w:color w:val="auto"/>
        </w:rPr>
      </w:pPr>
    </w:p>
    <w:p>
      <w:pPr>
        <w:jc w:val="center"/>
        <w:ind w:right="-1120"/>
        <w:spacing w:after="0"/>
        <w:rPr>
          <w:sz w:val="20"/>
          <w:szCs w:val="20"/>
          <w:color w:val="auto"/>
        </w:rPr>
      </w:pPr>
      <w:r>
        <w:rPr>
          <w:rFonts w:ascii="Arial" w:cs="Arial" w:eastAsia="Arial" w:hAnsi="Arial"/>
          <w:sz w:val="17"/>
          <w:szCs w:val="17"/>
          <w:color w:val="auto"/>
        </w:rPr>
        <w:t>Washington, D.C. 20549</w:t>
      </w:r>
    </w:p>
    <w:p>
      <w:pPr>
        <w:spacing w:after="0" w:line="209" w:lineRule="exact"/>
        <w:rPr>
          <w:sz w:val="20"/>
          <w:szCs w:val="20"/>
          <w:color w:val="auto"/>
        </w:rPr>
      </w:pPr>
    </w:p>
    <w:p>
      <w:pPr>
        <w:jc w:val="center"/>
        <w:ind w:right="-1120"/>
        <w:spacing w:after="0"/>
        <w:rPr>
          <w:sz w:val="20"/>
          <w:szCs w:val="20"/>
          <w:color w:val="auto"/>
        </w:rPr>
      </w:pPr>
      <w:r>
        <w:rPr>
          <w:rFonts w:ascii="Arial" w:cs="Arial" w:eastAsia="Arial" w:hAnsi="Arial"/>
          <w:sz w:val="17"/>
          <w:szCs w:val="17"/>
          <w:color w:val="auto"/>
        </w:rPr>
        <w:t>Schedule 13G</w:t>
      </w:r>
    </w:p>
    <w:p>
      <w:pPr>
        <w:spacing w:after="0" w:line="21" w:lineRule="exact"/>
        <w:rPr>
          <w:sz w:val="20"/>
          <w:szCs w:val="20"/>
          <w:color w:val="auto"/>
        </w:rPr>
      </w:pPr>
    </w:p>
    <w:p>
      <w:pPr>
        <w:jc w:val="center"/>
        <w:ind w:right="-1120"/>
        <w:spacing w:after="0"/>
        <w:rPr>
          <w:sz w:val="20"/>
          <w:szCs w:val="20"/>
          <w:color w:val="auto"/>
        </w:rPr>
      </w:pPr>
      <w:r>
        <w:rPr>
          <w:rFonts w:ascii="Arial" w:cs="Arial" w:eastAsia="Arial" w:hAnsi="Arial"/>
          <w:sz w:val="17"/>
          <w:szCs w:val="17"/>
          <w:color w:val="auto"/>
        </w:rPr>
        <w:t>Under the Securities Act of 1934</w:t>
      </w:r>
    </w:p>
    <w:p>
      <w:pPr>
        <w:spacing w:after="0" w:line="209"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1(a) - Name of Issuer:</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Marvell Technology Inc.</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1(b) - Address of Issuer's Principal Executive Offices:</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1000 NW Street, Suite 1200</w:t>
      </w:r>
    </w:p>
    <w:p>
      <w:pPr>
        <w:spacing w:after="0" w:line="21" w:lineRule="exact"/>
        <w:rPr>
          <w:sz w:val="20"/>
          <w:szCs w:val="20"/>
          <w:color w:val="auto"/>
        </w:rPr>
      </w:pPr>
    </w:p>
    <w:p>
      <w:pPr>
        <w:ind w:left="220"/>
        <w:spacing w:after="0"/>
        <w:rPr>
          <w:sz w:val="20"/>
          <w:szCs w:val="20"/>
          <w:color w:val="auto"/>
        </w:rPr>
      </w:pPr>
      <w:r>
        <w:rPr>
          <w:rFonts w:ascii="Arial" w:cs="Arial" w:eastAsia="Arial" w:hAnsi="Arial"/>
          <w:sz w:val="17"/>
          <w:szCs w:val="17"/>
          <w:color w:val="auto"/>
        </w:rPr>
        <w:t>Wilmington, DE 19801</w:t>
      </w:r>
    </w:p>
    <w:p>
      <w:pPr>
        <w:spacing w:after="0" w:line="209"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2(a) - Name of Person Filing:</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The Vanguard Group - 23-1945930</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2(b) – Address of Principal Business Office or, if none, residence:</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100 Vanguard Blvd.</w:t>
      </w:r>
    </w:p>
    <w:p>
      <w:pPr>
        <w:spacing w:after="0" w:line="21" w:lineRule="exact"/>
        <w:rPr>
          <w:sz w:val="20"/>
          <w:szCs w:val="20"/>
          <w:color w:val="auto"/>
        </w:rPr>
      </w:pPr>
    </w:p>
    <w:p>
      <w:pPr>
        <w:ind w:left="220"/>
        <w:spacing w:after="0"/>
        <w:rPr>
          <w:sz w:val="20"/>
          <w:szCs w:val="20"/>
          <w:color w:val="auto"/>
        </w:rPr>
      </w:pPr>
      <w:r>
        <w:rPr>
          <w:rFonts w:ascii="Arial" w:cs="Arial" w:eastAsia="Arial" w:hAnsi="Arial"/>
          <w:sz w:val="17"/>
          <w:szCs w:val="17"/>
          <w:color w:val="auto"/>
        </w:rPr>
        <w:t>Malvern, PA 19355</w:t>
      </w:r>
    </w:p>
    <w:p>
      <w:pPr>
        <w:spacing w:after="0" w:line="209"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2(c) – Citizenship:</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Pennsylvania</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2(d) - Title of Class of Securities:</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Common Stock</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2(e) - CUSIP Number</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573874104</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3 - Type of Filing:</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5"/>
          <w:szCs w:val="15"/>
          <w:color w:val="auto"/>
        </w:rPr>
        <w:t>This statement is being filed pursuant to Rule 13d-1. An investment adviser in accordance with §240.13d-1(b)(1)(ii)(E).</w:t>
      </w:r>
    </w:p>
    <w:p>
      <w:pPr>
        <w:spacing w:after="0" w:line="246"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4 - Ownership:</w:t>
      </w:r>
    </w:p>
    <w:p>
      <w:pPr>
        <w:spacing w:after="0" w:line="223" w:lineRule="exact"/>
        <w:rPr>
          <w:sz w:val="20"/>
          <w:szCs w:val="20"/>
          <w:color w:val="auto"/>
        </w:rPr>
      </w:pPr>
    </w:p>
    <w:p>
      <w:pPr>
        <w:ind w:left="320" w:hanging="227"/>
        <w:spacing w:after="0"/>
        <w:tabs>
          <w:tab w:leader="none" w:pos="320" w:val="left"/>
        </w:tabs>
        <w:numPr>
          <w:ilvl w:val="0"/>
          <w:numId w:val="7"/>
        </w:numPr>
        <w:rPr>
          <w:rFonts w:ascii="Arial" w:cs="Arial" w:eastAsia="Arial" w:hAnsi="Arial"/>
          <w:sz w:val="17"/>
          <w:szCs w:val="17"/>
          <w:color w:val="auto"/>
        </w:rPr>
      </w:pPr>
      <w:r>
        <w:rPr>
          <w:rFonts w:ascii="Arial" w:cs="Arial" w:eastAsia="Arial" w:hAnsi="Arial"/>
          <w:sz w:val="17"/>
          <w:szCs w:val="17"/>
          <w:color w:val="auto"/>
        </w:rPr>
        <w:t>Amount Beneficially Owned:</w:t>
      </w:r>
    </w:p>
    <w:p>
      <w:pPr>
        <w:spacing w:after="0" w:line="223" w:lineRule="exact"/>
        <w:rPr>
          <w:rFonts w:ascii="Arial" w:cs="Arial" w:eastAsia="Arial" w:hAnsi="Arial"/>
          <w:sz w:val="17"/>
          <w:szCs w:val="17"/>
          <w:color w:val="auto"/>
        </w:rPr>
      </w:pPr>
    </w:p>
    <w:p>
      <w:pPr>
        <w:ind w:left="340" w:hanging="247"/>
        <w:spacing w:after="0"/>
        <w:tabs>
          <w:tab w:leader="none" w:pos="340" w:val="left"/>
        </w:tabs>
        <w:numPr>
          <w:ilvl w:val="0"/>
          <w:numId w:val="7"/>
        </w:numPr>
        <w:rPr>
          <w:rFonts w:ascii="Arial" w:cs="Arial" w:eastAsia="Arial" w:hAnsi="Arial"/>
          <w:sz w:val="17"/>
          <w:szCs w:val="17"/>
          <w:color w:val="auto"/>
        </w:rPr>
      </w:pPr>
      <w:r>
        <w:rPr>
          <w:rFonts w:ascii="Arial" w:cs="Arial" w:eastAsia="Arial" w:hAnsi="Arial"/>
          <w:sz w:val="17"/>
          <w:szCs w:val="17"/>
          <w:color w:val="auto"/>
        </w:rPr>
        <w:t>Percent of Class: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307340</wp:posOffset>
            </wp:positionV>
            <wp:extent cx="713232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32320" cy="8890"/>
                    </a:xfrm>
                    <a:prstGeom prst="rect">
                      <a:avLst/>
                    </a:prstGeom>
                    <a:noFill/>
                  </pic:spPr>
                </pic:pic>
              </a:graphicData>
            </a:graphic>
          </wp:anchor>
        </w:drawing>
      </w:r>
    </w:p>
    <w:p>
      <w:pPr>
        <w:sectPr>
          <w:pgSz w:w="11900" w:h="16838" w:orient="portrait"/>
          <w:cols w:equalWidth="0" w:num="1">
            <w:col w:w="10139"/>
          </w:cols>
          <w:pgMar w:left="320" w:top="689" w:right="1440" w:bottom="1440" w:gutter="0" w:footer="0" w:header="0"/>
        </w:sectPr>
      </w:pPr>
    </w:p>
    <w:bookmarkStart w:id="3" w:name="page4"/>
    <w:bookmarkEnd w:id="3"/>
    <w:p>
      <w:pPr>
        <w:ind w:left="500" w:hanging="276"/>
        <w:spacing w:after="0"/>
        <w:tabs>
          <w:tab w:leader="none" w:pos="500" w:val="left"/>
        </w:tabs>
        <w:numPr>
          <w:ilvl w:val="0"/>
          <w:numId w:val="8"/>
        </w:numPr>
        <w:rPr>
          <w:rFonts w:ascii="Arial" w:cs="Arial" w:eastAsia="Arial" w:hAnsi="Arial"/>
          <w:sz w:val="17"/>
          <w:szCs w:val="17"/>
          <w:color w:val="auto"/>
        </w:rPr>
      </w:pPr>
      <w:r>
        <w:rPr>
          <w:rFonts w:ascii="Arial" w:cs="Arial" w:eastAsia="Arial" w:hAnsi="Arial"/>
          <w:sz w:val="17"/>
          <w:szCs w:val="17"/>
          <w:color w:val="auto"/>
        </w:rPr>
        <w:t>Number of shares as to which such person has:</w:t>
      </w:r>
    </w:p>
    <w:p>
      <w:pPr>
        <w:spacing w:after="0" w:line="223" w:lineRule="exact"/>
        <w:rPr>
          <w:rFonts w:ascii="Arial" w:cs="Arial" w:eastAsia="Arial" w:hAnsi="Arial"/>
          <w:sz w:val="17"/>
          <w:szCs w:val="17"/>
          <w:color w:val="auto"/>
        </w:rPr>
      </w:pPr>
    </w:p>
    <w:p>
      <w:pPr>
        <w:ind w:left="480" w:hanging="256"/>
        <w:spacing w:after="0"/>
        <w:tabs>
          <w:tab w:leader="none" w:pos="480" w:val="left"/>
        </w:tabs>
        <w:numPr>
          <w:ilvl w:val="0"/>
          <w:numId w:val="9"/>
        </w:numPr>
        <w:rPr>
          <w:rFonts w:ascii="Arial" w:cs="Arial" w:eastAsia="Arial" w:hAnsi="Arial"/>
          <w:sz w:val="17"/>
          <w:szCs w:val="17"/>
          <w:color w:val="auto"/>
        </w:rPr>
      </w:pPr>
      <w:r>
        <w:rPr>
          <w:rFonts w:ascii="Arial" w:cs="Arial" w:eastAsia="Arial" w:hAnsi="Arial"/>
          <w:sz w:val="17"/>
          <w:szCs w:val="17"/>
          <w:color w:val="auto"/>
        </w:rPr>
        <w:t>sole power to vote or direct to vote:</w:t>
      </w:r>
    </w:p>
    <w:p>
      <w:pPr>
        <w:spacing w:after="0" w:line="223" w:lineRule="exact"/>
        <w:rPr>
          <w:rFonts w:ascii="Arial" w:cs="Arial" w:eastAsia="Arial" w:hAnsi="Arial"/>
          <w:sz w:val="17"/>
          <w:szCs w:val="17"/>
          <w:color w:val="auto"/>
        </w:rPr>
      </w:pPr>
    </w:p>
    <w:p>
      <w:pPr>
        <w:ind w:left="520" w:hanging="296"/>
        <w:spacing w:after="0"/>
        <w:tabs>
          <w:tab w:leader="none" w:pos="520" w:val="left"/>
        </w:tabs>
        <w:numPr>
          <w:ilvl w:val="0"/>
          <w:numId w:val="10"/>
        </w:numPr>
        <w:rPr>
          <w:rFonts w:ascii="Arial" w:cs="Arial" w:eastAsia="Arial" w:hAnsi="Arial"/>
          <w:sz w:val="17"/>
          <w:szCs w:val="17"/>
          <w:color w:val="auto"/>
        </w:rPr>
      </w:pPr>
      <w:r>
        <w:rPr>
          <w:rFonts w:ascii="Arial" w:cs="Arial" w:eastAsia="Arial" w:hAnsi="Arial"/>
          <w:sz w:val="17"/>
          <w:szCs w:val="17"/>
          <w:color w:val="auto"/>
        </w:rPr>
        <w:t>shared power to vote or direct to vote:</w:t>
      </w:r>
    </w:p>
    <w:p>
      <w:pPr>
        <w:spacing w:after="0" w:line="223" w:lineRule="exact"/>
        <w:rPr>
          <w:rFonts w:ascii="Arial" w:cs="Arial" w:eastAsia="Arial" w:hAnsi="Arial"/>
          <w:sz w:val="17"/>
          <w:szCs w:val="17"/>
          <w:color w:val="auto"/>
        </w:rPr>
      </w:pPr>
    </w:p>
    <w:p>
      <w:pPr>
        <w:jc w:val="both"/>
        <w:ind w:left="220" w:right="6900" w:firstLine="4"/>
        <w:spacing w:after="0" w:line="582" w:lineRule="auto"/>
        <w:tabs>
          <w:tab w:leader="none" w:pos="562" w:val="left"/>
        </w:tabs>
        <w:numPr>
          <w:ilvl w:val="0"/>
          <w:numId w:val="11"/>
        </w:numPr>
        <w:rPr>
          <w:rFonts w:ascii="Arial" w:cs="Arial" w:eastAsia="Arial" w:hAnsi="Arial"/>
          <w:sz w:val="15"/>
          <w:szCs w:val="15"/>
          <w:color w:val="auto"/>
        </w:rPr>
      </w:pPr>
      <w:r>
        <w:rPr>
          <w:rFonts w:ascii="Arial" w:cs="Arial" w:eastAsia="Arial" w:hAnsi="Arial"/>
          <w:sz w:val="15"/>
          <w:szCs w:val="15"/>
          <w:color w:val="auto"/>
        </w:rPr>
        <w:t>sole power to dispose of or to direct the disposition of: (iv) shared power to dispose or to direct the disposition of:</w:t>
      </w:r>
    </w:p>
    <w:p>
      <w:pPr>
        <w:spacing w:after="0"/>
        <w:rPr>
          <w:sz w:val="20"/>
          <w:szCs w:val="20"/>
          <w:color w:val="auto"/>
        </w:rPr>
      </w:pPr>
      <w:r>
        <w:rPr>
          <w:rFonts w:ascii="Arial" w:cs="Arial" w:eastAsia="Arial" w:hAnsi="Arial"/>
          <w:sz w:val="17"/>
          <w:szCs w:val="17"/>
          <w:u w:val="single" w:color="auto"/>
          <w:color w:val="auto"/>
        </w:rPr>
        <w:t>Comments:</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The responses to questions 5 through 9 and 11 on the cover page(s) are incorporated by reference into this Item 4.  </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5 - Ownership of Five Percent or Less of a Class:</w:t>
      </w:r>
    </w:p>
    <w:p>
      <w:pPr>
        <w:spacing w:after="0" w:line="223" w:lineRule="exact"/>
        <w:rPr>
          <w:sz w:val="20"/>
          <w:szCs w:val="20"/>
          <w:color w:val="auto"/>
        </w:rPr>
      </w:pPr>
    </w:p>
    <w:p>
      <w:pPr>
        <w:ind w:firstLine="216"/>
        <w:spacing w:after="0" w:line="226" w:lineRule="exact"/>
        <w:rPr>
          <w:sz w:val="20"/>
          <w:szCs w:val="20"/>
          <w:color w:val="auto"/>
        </w:rPr>
      </w:pPr>
      <w:r>
        <w:rPr>
          <w:rFonts w:ascii="Arial" w:cs="Arial" w:eastAsia="Arial" w:hAnsi="Arial"/>
          <w:sz w:val="17"/>
          <w:szCs w:val="17"/>
          <w:color w:val="auto"/>
        </w:rPr>
        <w:t xml:space="preserve">If this statement is being filed to report the fact that as of the date hereof the reporting person has ceased to be the beneficial owner of more than 5 percent of the class of securities, check the following </w:t>
      </w:r>
      <w:r>
        <w:rPr>
          <w:rFonts w:ascii="MS PGothic" w:cs="MS PGothic" w:eastAsia="MS PGothic" w:hAnsi="MS PGothic"/>
          <w:sz w:val="17"/>
          <w:szCs w:val="17"/>
          <w:color w:val="auto"/>
        </w:rPr>
        <w:t>☐</w:t>
      </w:r>
    </w:p>
    <w:p>
      <w:pPr>
        <w:spacing w:after="0" w:line="18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6 - Ownership of More Than Five Percent on Behalf of Another Person:</w:t>
      </w:r>
    </w:p>
    <w:p>
      <w:pPr>
        <w:spacing w:after="0" w:line="223" w:lineRule="exact"/>
        <w:rPr>
          <w:sz w:val="20"/>
          <w:szCs w:val="20"/>
          <w:color w:val="auto"/>
        </w:rPr>
      </w:pPr>
    </w:p>
    <w:p>
      <w:pPr>
        <w:ind w:right="140" w:firstLine="216"/>
        <w:spacing w:after="0" w:line="306" w:lineRule="auto"/>
        <w:rPr>
          <w:sz w:val="20"/>
          <w:szCs w:val="20"/>
          <w:color w:val="auto"/>
        </w:rPr>
      </w:pPr>
      <w:r>
        <w:rPr>
          <w:rFonts w:ascii="Arial" w:cs="Arial" w:eastAsia="Arial" w:hAnsi="Arial"/>
          <w:sz w:val="16"/>
          <w:szCs w:val="16"/>
          <w:color w:val="auto"/>
        </w:rPr>
        <w:t>The Vanguard Group, Inc.'s clients, including investment companies registered under the Investment Company Act of 1940 and other managed accounts, have the right to receive or the power to direct the receipt of dividends from, or the proceeds from the sale of, the securities reported herein.</w:t>
      </w:r>
    </w:p>
    <w:p>
      <w:pPr>
        <w:spacing w:after="0" w:line="152" w:lineRule="exact"/>
        <w:rPr>
          <w:sz w:val="20"/>
          <w:szCs w:val="20"/>
          <w:color w:val="auto"/>
        </w:rPr>
      </w:pPr>
    </w:p>
    <w:p>
      <w:pPr>
        <w:ind w:left="220"/>
        <w:spacing w:after="0"/>
        <w:rPr>
          <w:sz w:val="20"/>
          <w:szCs w:val="20"/>
          <w:color w:val="auto"/>
        </w:rPr>
      </w:pPr>
      <w:r>
        <w:rPr>
          <w:rFonts w:ascii="Arial" w:cs="Arial" w:eastAsia="Arial" w:hAnsi="Arial"/>
          <w:sz w:val="17"/>
          <w:szCs w:val="17"/>
          <w:color w:val="auto"/>
        </w:rPr>
        <w:t>No one other person's interest in the securities reported herein is more than 5%.</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7 - Identification and Classification of the Subsidiary Which Acquired The Security Being Reported on by the Parent Holding Company:</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Not applicable</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8 - Identification and Classification of Members of Group:</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Not applicable</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9 - Notice of Dissolution of Group:</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7"/>
          <w:szCs w:val="17"/>
          <w:color w:val="auto"/>
        </w:rPr>
        <w:t>Not applicable</w:t>
      </w:r>
    </w:p>
    <w:p>
      <w:pPr>
        <w:spacing w:after="0" w:line="223"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Item 10 - Certification:</w:t>
      </w:r>
    </w:p>
    <w:p>
      <w:pPr>
        <w:spacing w:after="0" w:line="223" w:lineRule="exact"/>
        <w:rPr>
          <w:sz w:val="20"/>
          <w:szCs w:val="20"/>
          <w:color w:val="auto"/>
        </w:rPr>
      </w:pPr>
    </w:p>
    <w:p>
      <w:pPr>
        <w:ind w:right="140" w:firstLine="216"/>
        <w:spacing w:after="0" w:line="257" w:lineRule="auto"/>
        <w:rPr>
          <w:sz w:val="20"/>
          <w:szCs w:val="20"/>
          <w:color w:val="auto"/>
        </w:rPr>
      </w:pPr>
      <w:r>
        <w:rPr>
          <w:rFonts w:ascii="Arial" w:cs="Arial" w:eastAsia="Arial" w:hAnsi="Arial"/>
          <w:sz w:val="17"/>
          <w:szCs w:val="17"/>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 influencing the control of the issuer of the securities and were not acquired in connection with or as a participant in any transaction having that purpose or effect, other than activities solely in connection with a nomination under §240.14a-11.</w:t>
      </w:r>
    </w:p>
    <w:p>
      <w:pPr>
        <w:spacing w:after="0" w:line="189" w:lineRule="exact"/>
        <w:rPr>
          <w:sz w:val="20"/>
          <w:szCs w:val="20"/>
          <w:color w:val="auto"/>
        </w:rPr>
      </w:pPr>
    </w:p>
    <w:p>
      <w:pPr>
        <w:spacing w:after="0"/>
        <w:rPr>
          <w:sz w:val="20"/>
          <w:szCs w:val="20"/>
          <w:color w:val="auto"/>
        </w:rPr>
      </w:pPr>
      <w:r>
        <w:rPr>
          <w:rFonts w:ascii="Arial" w:cs="Arial" w:eastAsia="Arial" w:hAnsi="Arial"/>
          <w:sz w:val="17"/>
          <w:szCs w:val="17"/>
          <w:u w:val="single" w:color="auto"/>
          <w:color w:val="auto"/>
        </w:rPr>
        <w:t>Signature</w:t>
      </w:r>
    </w:p>
    <w:p>
      <w:pPr>
        <w:spacing w:after="0" w:line="223" w:lineRule="exact"/>
        <w:rPr>
          <w:sz w:val="20"/>
          <w:szCs w:val="20"/>
          <w:color w:val="auto"/>
        </w:rPr>
      </w:pPr>
    </w:p>
    <w:p>
      <w:pPr>
        <w:ind w:left="220"/>
        <w:spacing w:after="0"/>
        <w:rPr>
          <w:sz w:val="20"/>
          <w:szCs w:val="20"/>
          <w:color w:val="auto"/>
        </w:rPr>
      </w:pPr>
      <w:r>
        <w:rPr>
          <w:rFonts w:ascii="Arial" w:cs="Arial" w:eastAsia="Arial" w:hAnsi="Arial"/>
          <w:sz w:val="16"/>
          <w:szCs w:val="16"/>
          <w:color w:val="auto"/>
        </w:rPr>
        <w:t>After reasonable inquiry and to the best of my knowledge and belief, I certify that the information set forth in this statement is true, complete and correct.</w:t>
      </w:r>
    </w:p>
    <w:p>
      <w:pPr>
        <w:spacing w:after="0" w:line="235" w:lineRule="exact"/>
        <w:rPr>
          <w:sz w:val="20"/>
          <w:szCs w:val="20"/>
          <w:color w:val="auto"/>
        </w:rPr>
      </w:pPr>
    </w:p>
    <w:p>
      <w:pPr>
        <w:spacing w:after="0"/>
        <w:rPr>
          <w:sz w:val="20"/>
          <w:szCs w:val="20"/>
          <w:color w:val="auto"/>
        </w:rPr>
      </w:pPr>
      <w:r>
        <w:rPr>
          <w:rFonts w:ascii="Arial" w:cs="Arial" w:eastAsia="Arial" w:hAnsi="Arial"/>
          <w:sz w:val="17"/>
          <w:szCs w:val="17"/>
          <w:color w:val="auto"/>
        </w:rPr>
        <w:t>Date: February 9, 2023</w:t>
      </w:r>
    </w:p>
    <w:p>
      <w:pPr>
        <w:spacing w:after="0" w:line="226"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By /s/ Ashley Grim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2607310</wp:posOffset>
            </wp:positionH>
            <wp:positionV relativeFrom="paragraph">
              <wp:posOffset>-10160</wp:posOffset>
            </wp:positionV>
            <wp:extent cx="75819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58190" cy="8890"/>
                    </a:xfrm>
                    <a:prstGeom prst="rect">
                      <a:avLst/>
                    </a:prstGeom>
                    <a:noFill/>
                  </pic:spPr>
                </pic:pic>
              </a:graphicData>
            </a:graphic>
          </wp:anchor>
        </w:drawing>
      </w:r>
    </w:p>
    <w:p>
      <w:pPr>
        <w:spacing w:after="0" w:line="3"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Name: Ashley Grim</w:t>
      </w:r>
    </w:p>
    <w:p>
      <w:pPr>
        <w:spacing w:after="0" w:line="9" w:lineRule="exact"/>
        <w:rPr>
          <w:sz w:val="20"/>
          <w:szCs w:val="20"/>
          <w:color w:val="auto"/>
        </w:rPr>
      </w:pPr>
    </w:p>
    <w:p>
      <w:pPr>
        <w:ind w:left="3900"/>
        <w:spacing w:after="0"/>
        <w:rPr>
          <w:sz w:val="20"/>
          <w:szCs w:val="20"/>
          <w:color w:val="auto"/>
        </w:rPr>
      </w:pPr>
      <w:r>
        <w:rPr>
          <w:rFonts w:ascii="Arial" w:cs="Arial" w:eastAsia="Arial" w:hAnsi="Arial"/>
          <w:sz w:val="18"/>
          <w:szCs w:val="18"/>
          <w:color w:val="auto"/>
        </w:rPr>
        <w:t>Title: Head of Global Fund Administration</w:t>
      </w:r>
    </w:p>
    <w:sectPr>
      <w:pgSz w:w="11900" w:h="16838" w:orient="portrait"/>
      <w:cols w:equalWidth="0" w:num="1">
        <w:col w:w="11200"/>
      </w:cols>
      <w:pgMar w:left="320" w:top="689" w:right="3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507ED7AB"/>
    <w:multiLevelType w:val="hybridMultilevel"/>
    <w:lvl w:ilvl="0">
      <w:lvlJc w:val="left"/>
      <w:lvlText w:val="☒"/>
      <w:numFmt w:val="bullet"/>
      <w:start w:val="1"/>
    </w:lvl>
  </w:abstractNum>
  <w:abstractNum w:abstractNumId="1">
    <w:nsid w:val="2EB141F2"/>
    <w:multiLevelType w:val="hybridMultilevel"/>
    <w:lvl w:ilvl="0">
      <w:lvlJc w:val="left"/>
      <w:lvlText w:val="☐"/>
      <w:numFmt w:val="bullet"/>
      <w:start w:val="1"/>
    </w:lvl>
  </w:abstractNum>
  <w:abstractNum w:abstractNumId="2">
    <w:nsid w:val="41B71EFB"/>
    <w:multiLevelType w:val="hybridMultilevel"/>
    <w:lvl w:ilvl="0">
      <w:lvlJc w:val="left"/>
      <w:lvlText w:val="%1."/>
      <w:numFmt w:val="decimal"/>
      <w:start w:val="1"/>
    </w:lvl>
  </w:abstractNum>
  <w:abstractNum w:abstractNumId="3">
    <w:nsid w:val="79E2A9E3"/>
    <w:multiLevelType w:val="hybridMultilevel"/>
    <w:lvl w:ilvl="0">
      <w:lvlJc w:val="left"/>
      <w:lvlText w:val="%1."/>
      <w:numFmt w:val="decimal"/>
      <w:start w:val="3"/>
    </w:lvl>
  </w:abstractNum>
  <w:abstractNum w:abstractNumId="4">
    <w:nsid w:val="7545E146"/>
    <w:multiLevelType w:val="hybridMultilevel"/>
    <w:lvl w:ilvl="0">
      <w:lvlJc w:val="left"/>
      <w:lvlText w:val="%1."/>
      <w:numFmt w:val="decimal"/>
      <w:start w:val="5"/>
    </w:lvl>
  </w:abstractNum>
  <w:abstractNum w:abstractNumId="5">
    <w:nsid w:val="515F007C"/>
    <w:multiLevelType w:val="hybridMultilevel"/>
    <w:lvl w:ilvl="0">
      <w:lvlJc w:val="left"/>
      <w:lvlText w:val="%1."/>
      <w:numFmt w:val="decimal"/>
      <w:start w:val="12"/>
    </w:lvl>
  </w:abstractNum>
  <w:abstractNum w:abstractNumId="6">
    <w:nsid w:val="5BD062C2"/>
    <w:multiLevelType w:val="hybridMultilevel"/>
    <w:lvl w:ilvl="0">
      <w:lvlJc w:val="left"/>
      <w:lvlText w:val="(%1)"/>
      <w:numFmt w:val="lowerLetter"/>
      <w:start w:val="1"/>
    </w:lvl>
  </w:abstractNum>
  <w:abstractNum w:abstractNumId="7">
    <w:nsid w:val="12200854"/>
    <w:multiLevelType w:val="hybridMultilevel"/>
    <w:lvl w:ilvl="0">
      <w:lvlJc w:val="left"/>
      <w:lvlText w:val="(%1)"/>
      <w:numFmt w:val="lowerLetter"/>
      <w:start w:val="3"/>
    </w:lvl>
  </w:abstractNum>
  <w:abstractNum w:abstractNumId="8">
    <w:nsid w:val="4DB127F8"/>
    <w:multiLevelType w:val="hybridMultilevel"/>
    <w:lvl w:ilvl="0">
      <w:lvlJc w:val="left"/>
      <w:lvlText w:val="(%1)"/>
      <w:numFmt w:val="lowerLetter"/>
      <w:start w:val="9"/>
    </w:lvl>
  </w:abstractNum>
  <w:abstractNum w:abstractNumId="9">
    <w:nsid w:val="216231B"/>
    <w:multiLevelType w:val="hybridMultilevel"/>
    <w:lvl w:ilvl="0">
      <w:lvlJc w:val="left"/>
      <w:lvlText w:val="(%1)"/>
      <w:numFmt w:val="lowerLetter"/>
      <w:start w:val="35"/>
    </w:lvl>
  </w:abstractNum>
  <w:abstractNum w:abstractNumId="10">
    <w:nsid w:val="1F16E9E8"/>
    <w:multiLevelType w:val="hybridMultilevel"/>
    <w:lvl w:ilvl="0">
      <w:lvlJc w:val="left"/>
      <w:lvlText w:val="(%1)"/>
      <w:numFmt w:val="lowerLetter"/>
      <w:start w:val="6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2023-02-09T10:46:17Z</dcterms:created>
  <dcterms:modified xsi:type="dcterms:W3CDTF">2023-02-09T10:46:17Z</dcterms:modified>
</cp:coreProperties>
</file>