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16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January 26, 2023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Willem Meintjes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Financial Officer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10-K for the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Fiscal Year Ended January 29, 2022</w:t>
      </w: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10-Q for the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Fiscal Quarter Ended October 29, 2022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8-K furnished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December 1, 2022</w:t>
      </w: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001-40357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Willem Meintjes: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right="2559" w:firstLine="1474"/>
        <w:spacing w:after="0" w:line="25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have limited our review of your filing to the financial statements and related</w:t>
      </w:r>
    </w:p>
    <w:p>
      <w:pPr>
        <w:ind w:right="1819" w:firstLine="737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disclosures and have the following comments. In some of our comments, we may ask you to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provide us with information so we may better understand your disclosure.</w:t>
      </w:r>
    </w:p>
    <w:p>
      <w:pPr>
        <w:spacing w:after="0" w:line="192" w:lineRule="exact"/>
        <w:rPr>
          <w:sz w:val="24"/>
          <w:szCs w:val="24"/>
          <w:color w:val="auto"/>
        </w:rPr>
      </w:pPr>
    </w:p>
    <w:p>
      <w:pPr>
        <w:ind w:right="2339" w:firstLine="1474"/>
        <w:spacing w:after="0" w:line="25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respond to these comments within ten business days by providing the requested</w:t>
      </w:r>
    </w:p>
    <w:p>
      <w:pPr>
        <w:ind w:right="2019" w:firstLine="737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information or advise us as soon as possible when you will respond. If you do not believe our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right="2119" w:firstLine="737"/>
        <w:spacing w:after="0" w:line="309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comments apply to your facts and circumstances, please tell us why in your response.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59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After reviewing your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response to these comments, we may have additional comments.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10-K for the Fiscal Year Ended January 29, 2022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Financial Statements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Notes to Consolidated Financial Statements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Note 10 Restructuring, page 87</w:t>
      </w:r>
    </w:p>
    <w:p>
      <w:pPr>
        <w:spacing w:after="0" w:line="16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4"/>
        </w:trPr>
        <w:tc>
          <w:tcPr>
            <w:tcW w:w="2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1.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Other</w:t>
            </w:r>
          </w:p>
        </w:tc>
        <w:tc>
          <w:tcPr>
            <w:tcW w:w="284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We note that the $119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4480" w:type="dxa"/>
            <w:vAlign w:val="bottom"/>
            <w:gridSpan w:val="2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million impairment represents 83% of the</w:t>
            </w: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ind w:left="20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charges in the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ind w:left="52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  <w:w w:val="96"/>
              </w:rPr>
              <w:t>table on page 88 and 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8220" w:type="dxa"/>
            <w:vAlign w:val="bottom"/>
            <w:gridSpan w:val="4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significant portion of total restructuring charges for Fiscal 2021. In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ind w:left="52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this regard, please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8220" w:type="dxa"/>
            <w:vAlign w:val="bottom"/>
            <w:gridSpan w:val="4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revise to separately present impairment charges in your tables that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ind w:left="52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detail the components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8220" w:type="dxa"/>
            <w:vAlign w:val="bottom"/>
            <w:gridSpan w:val="4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of the restructuring expenses. Refer to SAB Topic 5.P.4.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ind w:left="32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2.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ind w:left="52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In a related matter,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8220" w:type="dxa"/>
            <w:vAlign w:val="bottom"/>
            <w:gridSpan w:val="4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your MD&amp;A should be revised on page 48 to provide a robust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ind w:left="52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discussion of the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8220" w:type="dxa"/>
            <w:vAlign w:val="bottom"/>
            <w:gridSpan w:val="4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nature of your restructuring charges rather than just referencing the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6"/>
        </w:trPr>
        <w:tc>
          <w:tcPr>
            <w:tcW w:w="2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footnote.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financial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jc w:val="right"/>
              <w:ind w:right="852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Willem Meintjes</w:t>
            </w:r>
          </w:p>
        </w:tc>
        <w:tc>
          <w:tcPr>
            <w:tcW w:w="18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Meintjes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  <w:w w:val="97"/>
              </w:rPr>
              <w:t>FirstName  LastNameWillem</w:t>
            </w:r>
          </w:p>
        </w:tc>
        <w:tc>
          <w:tcPr>
            <w:tcW w:w="184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Marvell Technology, Inc.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Comapany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January 26,NameMarvell</w:t>
            </w:r>
          </w:p>
        </w:tc>
        <w:tc>
          <w:tcPr>
            <w:tcW w:w="18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Technology, Inc.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jc w:val="right"/>
              <w:ind w:right="852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2023</w:t>
            </w:r>
          </w:p>
        </w:tc>
        <w:tc>
          <w:tcPr>
            <w:tcW w:w="184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January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64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Page 2 26, 2023 Page 2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FirstName LastName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10-Q for the Fiscal Quarter Ended October 29, 2022</w:t>
      </w:r>
    </w:p>
    <w:p>
      <w:pPr>
        <w:spacing w:after="0" w:line="16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Financial Statements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right="3599"/>
        <w:spacing w:after="0" w:line="37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6"/>
          <w:szCs w:val="16"/>
          <w:color w:val="auto"/>
        </w:rPr>
        <w:t>Notes to Unaudited Condensed Consolidated Financial Statements Note 7. Goodwill and Acquired Intangible Assets, Net, page 20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8"/>
        <w:spacing w:after="0" w:line="257" w:lineRule="auto"/>
        <w:tabs>
          <w:tab w:leader="none" w:pos="948" w:val="left"/>
        </w:tabs>
        <w:numPr>
          <w:ilvl w:val="0"/>
          <w:numId w:val="1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note that in the second quarter of fiscal 2023, you acquired IPR&amp;D and hired staff to</w:t>
      </w:r>
    </w:p>
    <w:p>
      <w:pPr>
        <w:ind w:right="2019" w:firstLine="948"/>
        <w:spacing w:after="0" w:line="309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expand your engineering resources and this resulted in $20.1 million of IPR&amp;D and $40</w:t>
      </w:r>
    </w:p>
    <w:p>
      <w:pPr>
        <w:sectPr>
          <w:pgSz w:w="11900" w:h="16973" w:orient="portrait"/>
          <w:cols w:equalWidth="0" w:num="1">
            <w:col w:w="10139"/>
          </w:cols>
          <w:pgMar w:left="320" w:top="218" w:right="1440" w:bottom="0" w:gutter="0" w:footer="0" w:header="0"/>
        </w:sectPr>
      </w:pPr>
    </w:p>
    <w:bookmarkStart w:id="1" w:name="page2"/>
    <w:bookmarkEnd w:id="1"/>
    <w:p>
      <w:pPr>
        <w:ind w:right="1819" w:firstLine="948"/>
        <w:spacing w:after="0" w:line="25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million of goodwill. As this appears to be an asset acquisition rather than a business</w:t>
      </w:r>
    </w:p>
    <w:p>
      <w:pPr>
        <w:ind w:right="2339" w:firstLine="948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combination, please clarify for us how this represents a business combination under ASC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3499" w:firstLine="956"/>
        <w:spacing w:after="0" w:line="309" w:lineRule="auto"/>
        <w:tabs>
          <w:tab w:leader="none" w:pos="1474" w:val="left"/>
        </w:tabs>
        <w:numPr>
          <w:ilvl w:val="0"/>
          <w:numId w:val="2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Specifically refer to ASC 805-10-55-3A through 9. Form 8-K furnished December 1, 2022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Exhibit 99.1 Earnings Release, page 9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right="1819" w:firstLine="8"/>
        <w:spacing w:after="0" w:line="257" w:lineRule="auto"/>
        <w:tabs>
          <w:tab w:leader="none" w:pos="948" w:val="left"/>
        </w:tabs>
        <w:numPr>
          <w:ilvl w:val="0"/>
          <w:numId w:val="3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note you present several non-GAAP financial measures including, net income on a</w:t>
      </w:r>
    </w:p>
    <w:p>
      <w:pPr>
        <w:ind w:right="223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non-GAAP basis and net income per share on a non-GAAP basis, which include related</w:t>
      </w:r>
    </w:p>
    <w:p>
      <w:pPr>
        <w:ind w:right="20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income tax adjustments. It is not clear to us how you calculated the income tax</w:t>
      </w:r>
    </w:p>
    <w:p>
      <w:pPr>
        <w:ind w:right="21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adjustments related to these non-GAAP financial measures or how you determined the</w:t>
      </w:r>
    </w:p>
    <w:p>
      <w:pPr>
        <w:ind w:right="19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income tax adjustments comply with the response to Question 102.11 of the Compliance</w:t>
      </w:r>
    </w:p>
    <w:p>
      <w:pPr>
        <w:ind w:right="18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and Disclosure Interpretations on Non-GAAP Financial Measures. In this regard, we note</w:t>
      </w:r>
    </w:p>
    <w:p>
      <w:pPr>
        <w:ind w:right="265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your use of a 5 and 6% income tax rate related to the non-GAAP adjustments you</w:t>
      </w:r>
    </w:p>
    <w:p>
      <w:pPr>
        <w:ind w:left="960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recorded and, for the twelve months ended January 29, 2022 we note</w:t>
      </w:r>
    </w:p>
    <w:p>
      <w:pPr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your</w:t>
      </w:r>
    </w:p>
    <w:p>
      <w:pPr>
        <w:ind w:right="20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effective income tax rate was about 12% on a GAAP basis and was much higher for the</w:t>
      </w:r>
    </w:p>
    <w:p>
      <w:pPr>
        <w:ind w:right="19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2023 quarters. Please explain to us how you calculated the income tax adjustments related</w:t>
      </w:r>
    </w:p>
    <w:p>
      <w:pPr>
        <w:ind w:right="255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to these non-GAAP financial measures and how you determined the non-GAAP income</w:t>
      </w:r>
    </w:p>
    <w:p>
      <w:pPr>
        <w:ind w:right="223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tax adjustments are appropriate and comply with Question 102.11 or explain how you</w:t>
      </w:r>
    </w:p>
    <w:p>
      <w:pPr>
        <w:ind w:right="243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intend to revise your non-GAAP financial measures to comply with Question 102.11.</w:t>
      </w:r>
    </w:p>
    <w:p>
      <w:pPr>
        <w:ind w:right="1919" w:firstLine="8"/>
        <w:spacing w:after="0" w:line="238" w:lineRule="auto"/>
        <w:tabs>
          <w:tab w:leader="none" w:pos="948" w:val="left"/>
        </w:tabs>
        <w:numPr>
          <w:ilvl w:val="0"/>
          <w:numId w:val="3"/>
        </w:numPr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note that several of your non-GAAP performance measures adjust for the amortization</w:t>
      </w:r>
    </w:p>
    <w:p>
      <w:pPr>
        <w:ind w:right="19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of acquired intangible assets. Please revise to disclose the specific nature of the</w:t>
      </w:r>
    </w:p>
    <w:p>
      <w:pPr>
        <w:ind w:right="201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amortization that is being excluded from the measure, and that while the expense is</w:t>
      </w:r>
    </w:p>
    <w:p>
      <w:pPr>
        <w:ind w:right="2339" w:firstLine="948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excluded, the revenue of the acquired company is reflected in the measure and that those</w:t>
      </w:r>
    </w:p>
    <w:p>
      <w:pPr>
        <w:ind w:left="120" w:right="4979" w:firstLine="842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assets contribute to revenue generation. Willem Meintjes</w:t>
      </w:r>
    </w:p>
    <w:p>
      <w:pPr>
        <w:ind w:right="7599"/>
        <w:spacing w:after="0" w:line="238" w:lineRule="auto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 January 26, 2023</w:t>
      </w:r>
    </w:p>
    <w:p>
      <w:pPr>
        <w:spacing w:after="0"/>
        <w:rPr>
          <w:rFonts w:ascii="Courier New" w:cs="Courier New" w:eastAsia="Courier New" w:hAnsi="Courier New"/>
          <w:sz w:val="18"/>
          <w:szCs w:val="18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Page 3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right="2559" w:firstLine="737"/>
        <w:spacing w:after="0" w:line="25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 closing, we remind you that the company and its management are responsible for the</w:t>
      </w:r>
    </w:p>
    <w:p>
      <w:pPr>
        <w:ind w:right="2659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accuracy and adequacy of their disclosures, notwithstanding any review, comments, action or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absence of action by the staff.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right="2339" w:firstLine="737"/>
        <w:spacing w:after="0" w:line="25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You may contact Heather Clark at 202-551-3624 or Claire Erlanger at 202-551-3301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with any questions.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4"/>
        </w:trPr>
        <w:tc>
          <w:tcPr>
            <w:tcW w:w="5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FirstName LastNameWillem Meintjes</w:t>
            </w:r>
          </w:p>
        </w:tc>
        <w:tc>
          <w:tcPr>
            <w:tcW w:w="2280" w:type="dxa"/>
            <w:vAlign w:val="bottom"/>
          </w:tcPr>
          <w:p>
            <w:pPr>
              <w:ind w:left="1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Sincerely,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6"/>
        </w:trPr>
        <w:tc>
          <w:tcPr>
            <w:tcW w:w="5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Comapany NameMarvell Technology, Inc.</w:t>
            </w:r>
          </w:p>
        </w:tc>
        <w:tc>
          <w:tcPr>
            <w:tcW w:w="2280" w:type="dxa"/>
            <w:vAlign w:val="bottom"/>
            <w:vMerge w:val="restart"/>
          </w:tcPr>
          <w:p>
            <w:pPr>
              <w:ind w:left="1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  <w:w w:val="95"/>
              </w:rPr>
              <w:t>Division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50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Corporation Finance</w:t>
            </w:r>
          </w:p>
        </w:tc>
        <w:tc>
          <w:tcPr>
            <w:tcW w:w="228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50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80" w:type="dxa"/>
            <w:vAlign w:val="bottom"/>
            <w:vMerge w:val="restart"/>
          </w:tcPr>
          <w:p>
            <w:pPr>
              <w:ind w:left="1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Office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500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January 26, 2023 Page 3</w:t>
            </w:r>
          </w:p>
        </w:tc>
        <w:tc>
          <w:tcPr>
            <w:tcW w:w="228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5000" w:type="dxa"/>
            <w:vAlign w:val="bottom"/>
          </w:tcPr>
          <w:p>
            <w:pPr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Manufacturing</w:t>
            </w: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6"/>
        </w:trPr>
        <w:tc>
          <w:tcPr>
            <w:tcW w:w="5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8"/>
                <w:szCs w:val="18"/>
                <w:color w:val="auto"/>
              </w:rPr>
              <w:t>FirstName LastName</w:t>
            </w: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10139"/>
      </w:cols>
      <w:pgMar w:left="320" w:top="11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3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805"/>
    </w:lvl>
  </w:abstractNum>
  <w:abstractNum w:abstractNumId="2">
    <w:nsid w:val="19495CFF"/>
    <w:multiLevelType w:val="hybridMultilevel"/>
    <w:lvl w:ilvl="0">
      <w:lvlJc w:val="left"/>
      <w:lvlText w:val="%1."/>
      <w:numFmt w:val="decimal"/>
      <w:start w:val="4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2023-03-13T23:14:49Z</dcterms:created>
  <dcterms:modified xsi:type="dcterms:W3CDTF">2023-03-13T23:14:49Z</dcterms:modified>
</cp:coreProperties>
</file>