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5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186690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9"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01"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Report: March 14, 2023</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167005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287020</wp:posOffset>
            </wp:positionV>
            <wp:extent cx="2219960" cy="6343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219960" cy="63436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sectPr>
      </w:pPr>
    </w:p>
    <w:p>
      <w:pPr>
        <w:spacing w:after="0" w:line="200" w:lineRule="exact"/>
        <w:rPr>
          <w:sz w:val="24"/>
          <w:szCs w:val="24"/>
          <w:color w:val="auto"/>
        </w:rPr>
      </w:pPr>
    </w:p>
    <w:p>
      <w:pPr>
        <w:spacing w:after="0" w:line="248"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8"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8"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82"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4"/>
          <w:szCs w:val="24"/>
          <w:color w:val="auto"/>
        </w:rPr>
      </w:pPr>
    </w:p>
    <w:p>
      <w:pPr>
        <w:sectPr>
          <w:pgSz w:w="11900" w:h="16838" w:orient="portrait"/>
          <w:cols w:equalWidth="0" w:num="3">
            <w:col w:w="4480" w:space="720"/>
            <w:col w:w="2760" w:space="720"/>
            <w:col w:w="2340"/>
          </w:cols>
          <w:pgMar w:left="440" w:top="382"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3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type w:val="continuous"/>
        </w:sectPr>
      </w:pPr>
    </w:p>
    <w:p>
      <w:pPr>
        <w:spacing w:after="0" w:line="398"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35"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5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37"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ind w:left="1320"/>
              <w:spacing w:after="0"/>
              <w:rPr>
                <w:sz w:val="20"/>
                <w:szCs w:val="20"/>
                <w:color w:val="auto"/>
              </w:rPr>
            </w:pPr>
            <w:r>
              <w:rPr>
                <w:rFonts w:ascii="Arial" w:cs="Arial" w:eastAsia="Arial" w:hAnsi="Arial"/>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4"/>
        </w:trPr>
        <w:tc>
          <w:tcPr>
            <w:tcW w:w="3740" w:type="dxa"/>
            <w:vAlign w:val="bottom"/>
            <w:tcBorders>
              <w:top w:val="single" w:sz="8" w:color="auto"/>
            </w:tcBorders>
          </w:tcPr>
          <w:p>
            <w:pPr>
              <w:ind w:left="1300"/>
              <w:spacing w:after="0"/>
              <w:rPr>
                <w:sz w:val="20"/>
                <w:szCs w:val="20"/>
                <w:color w:val="auto"/>
              </w:rPr>
            </w:pPr>
            <w:r>
              <w:rPr>
                <w:rFonts w:ascii="Arial" w:cs="Arial" w:eastAsia="Arial" w:hAnsi="Arial"/>
                <w:sz w:val="18"/>
                <w:szCs w:val="18"/>
                <w:color w:val="auto"/>
              </w:rPr>
              <w:t>Common Stock</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The Nasdaq Stock Market, LLC</w:t>
            </w:r>
          </w:p>
        </w:tc>
        <w:tc>
          <w:tcPr>
            <w:tcW w:w="0" w:type="dxa"/>
            <w:vAlign w:val="bottom"/>
          </w:tcPr>
          <w:p>
            <w:pPr>
              <w:spacing w:after="0"/>
              <w:rPr>
                <w:sz w:val="1"/>
                <w:szCs w:val="1"/>
                <w:color w:val="auto"/>
              </w:rPr>
            </w:pPr>
          </w:p>
        </w:tc>
      </w:tr>
    </w:tbl>
    <w:p>
      <w:pPr>
        <w:spacing w:after="0" w:line="120"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01"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142240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184785</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5.03</w:t>
      </w:r>
      <w:r>
        <w:rPr>
          <w:sz w:val="20"/>
          <w:szCs w:val="20"/>
          <w:color w:val="auto"/>
        </w:rPr>
        <w:tab/>
      </w:r>
      <w:r>
        <w:rPr>
          <w:rFonts w:ascii="Arial" w:cs="Arial" w:eastAsia="Arial" w:hAnsi="Arial"/>
          <w:sz w:val="16"/>
          <w:szCs w:val="16"/>
          <w:b w:val="1"/>
          <w:bCs w:val="1"/>
          <w:color w:val="auto"/>
        </w:rPr>
        <w:t>Amendments to Articles of Incorporation or Bylaws; Change in Fiscal Year.</w:t>
      </w:r>
    </w:p>
    <w:p>
      <w:pPr>
        <w:spacing w:after="0" w:line="121" w:lineRule="exact"/>
        <w:rPr>
          <w:sz w:val="20"/>
          <w:szCs w:val="20"/>
          <w:color w:val="auto"/>
        </w:rPr>
      </w:pPr>
    </w:p>
    <w:p>
      <w:pPr>
        <w:ind w:right="580"/>
        <w:spacing w:after="0" w:line="342" w:lineRule="auto"/>
        <w:rPr>
          <w:sz w:val="20"/>
          <w:szCs w:val="20"/>
          <w:color w:val="auto"/>
        </w:rPr>
      </w:pPr>
      <w:r>
        <w:rPr>
          <w:rFonts w:ascii="Arial" w:cs="Arial" w:eastAsia="Arial" w:hAnsi="Arial"/>
          <w:sz w:val="16"/>
          <w:szCs w:val="16"/>
          <w:color w:val="auto"/>
        </w:rPr>
        <w:t>On March 14, 2023, the Board of Directors of Marvell Technology, Inc. (the “Company”) approved an amendment (the “Amendment”) to the Company’s Amended and Restated Certificate of Incorporation to change the Company’s registered agent and the Company’s registered address.</w:t>
      </w:r>
    </w:p>
    <w:p>
      <w:pPr>
        <w:spacing w:after="0" w:line="124" w:lineRule="exact"/>
        <w:rPr>
          <w:sz w:val="20"/>
          <w:szCs w:val="20"/>
          <w:color w:val="auto"/>
        </w:rPr>
      </w:pPr>
    </w:p>
    <w:p>
      <w:pPr>
        <w:ind w:right="240"/>
        <w:spacing w:after="0" w:line="263" w:lineRule="auto"/>
        <w:rPr>
          <w:sz w:val="20"/>
          <w:szCs w:val="20"/>
          <w:color w:val="auto"/>
        </w:rPr>
      </w:pPr>
      <w:r>
        <w:rPr>
          <w:rFonts w:ascii="Arial" w:cs="Arial" w:eastAsia="Arial" w:hAnsi="Arial"/>
          <w:sz w:val="18"/>
          <w:szCs w:val="18"/>
          <w:color w:val="auto"/>
        </w:rPr>
        <w:t>The foregoing description of the Amendment does not purport to be complete and is qualified in its entirety by reference to the full text of the Second Amended and Restated Certificate of Incorporation, a copy of which is filed as Exhibit 3.1 to this Current Report on Form 8-K and is incorporated herein by reference.</w:t>
      </w:r>
    </w:p>
    <w:p>
      <w:pPr>
        <w:spacing w:after="0" w:line="328"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On March 15, 2023, the Company announced that its Board of Directors had declared the payment of its quarterly dividend of $0.06 per share to be paid on April 26, 2023 to all stockholders of record as of April 7, 2023. A copy of the press release is furnished herewith as Exhibit 99.1 and is incorporated by reference herein. The payment of future quarterly cash dividends is subject to, among other things, the best interests of the Company and its stockholders, its results of operations, cash balances and future cash requirements, financial condition, statutory requirements of Delaware law, and other factors that the Board of Directors may deem relevant.</w:t>
      </w:r>
    </w:p>
    <w:p>
      <w:pPr>
        <w:spacing w:after="0" w:line="332"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18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6"/>
          <w:szCs w:val="16"/>
          <w:u w:val="single" w:color="auto"/>
          <w:color w:val="0000EE"/>
        </w:rPr>
        <w:t>Second Amended and Restated Certificate of Incorporation</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u w:val="single" w:color="auto"/>
          <w:color w:val="0000EE"/>
        </w:rPr>
        <w:t>Press Release dated March 15, 2023, titled “Marvell Technology, Inc. Declares Quarterly Dividend Payment”</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00"/>
          </w:cols>
          <w:pgMar w:left="440" w:top="297" w:right="45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March 15,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Willem Meintjes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3.1</w:t>
      </w:r>
    </w:p>
    <w:p>
      <w:pPr>
        <w:spacing w:after="0" w:line="225" w:lineRule="exact"/>
        <w:rPr>
          <w:sz w:val="20"/>
          <w:szCs w:val="20"/>
          <w:color w:val="auto"/>
        </w:rPr>
      </w:pPr>
    </w:p>
    <w:p>
      <w:pPr>
        <w:ind w:left="3940"/>
        <w:spacing w:after="0"/>
        <w:rPr>
          <w:sz w:val="20"/>
          <w:szCs w:val="20"/>
          <w:color w:val="auto"/>
        </w:rPr>
      </w:pPr>
      <w:r>
        <w:rPr>
          <w:rFonts w:ascii="Arial" w:cs="Arial" w:eastAsia="Arial" w:hAnsi="Arial"/>
          <w:sz w:val="18"/>
          <w:szCs w:val="18"/>
          <w:b w:val="1"/>
          <w:bCs w:val="1"/>
          <w:color w:val="auto"/>
        </w:rPr>
        <w:t>SECOND AMENDED AND RESTATED</w:t>
      </w:r>
    </w:p>
    <w:p>
      <w:pPr>
        <w:spacing w:after="0" w:line="117" w:lineRule="exact"/>
        <w:rPr>
          <w:sz w:val="20"/>
          <w:szCs w:val="20"/>
          <w:color w:val="auto"/>
        </w:rPr>
      </w:pPr>
    </w:p>
    <w:p>
      <w:pPr>
        <w:ind w:left="3940"/>
        <w:spacing w:after="0"/>
        <w:rPr>
          <w:sz w:val="20"/>
          <w:szCs w:val="20"/>
          <w:color w:val="auto"/>
        </w:rPr>
      </w:pPr>
      <w:r>
        <w:rPr>
          <w:rFonts w:ascii="Arial" w:cs="Arial" w:eastAsia="Arial" w:hAnsi="Arial"/>
          <w:sz w:val="18"/>
          <w:szCs w:val="18"/>
          <w:b w:val="1"/>
          <w:bCs w:val="1"/>
          <w:color w:val="auto"/>
        </w:rPr>
        <w:t>CERTIFICATE OF INCORPORATION</w:t>
      </w:r>
    </w:p>
    <w:p>
      <w:pPr>
        <w:spacing w:after="0" w:line="117" w:lineRule="exact"/>
        <w:rPr>
          <w:sz w:val="20"/>
          <w:szCs w:val="20"/>
          <w:color w:val="auto"/>
        </w:rPr>
      </w:pPr>
    </w:p>
    <w:p>
      <w:pPr>
        <w:ind w:left="5380"/>
        <w:spacing w:after="0"/>
        <w:rPr>
          <w:sz w:val="20"/>
          <w:szCs w:val="20"/>
          <w:color w:val="auto"/>
        </w:rPr>
      </w:pPr>
      <w:r>
        <w:rPr>
          <w:rFonts w:ascii="Arial" w:cs="Arial" w:eastAsia="Arial" w:hAnsi="Arial"/>
          <w:sz w:val="18"/>
          <w:szCs w:val="18"/>
          <w:b w:val="1"/>
          <w:bCs w:val="1"/>
          <w:color w:val="auto"/>
        </w:rPr>
        <w:t>OF</w:t>
      </w:r>
    </w:p>
    <w:p>
      <w:pPr>
        <w:spacing w:after="0" w:line="117"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 Delaware corporation)</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corporation organized and existing under the laws of the State of Delaware (the “</w:t>
      </w:r>
      <w:r>
        <w:rPr>
          <w:rFonts w:ascii="Arial" w:cs="Arial" w:eastAsia="Arial" w:hAnsi="Arial"/>
          <w:sz w:val="18"/>
          <w:szCs w:val="18"/>
          <w:u w:val="single" w:color="auto"/>
          <w:color w:val="auto"/>
        </w:rPr>
        <w:t>Corporation</w:t>
      </w:r>
      <w:r>
        <w:rPr>
          <w:rFonts w:ascii="Arial" w:cs="Arial" w:eastAsia="Arial" w:hAnsi="Arial"/>
          <w:sz w:val="18"/>
          <w:szCs w:val="18"/>
          <w:color w:val="auto"/>
        </w:rPr>
        <w:t>”), does hereby certify as follows:</w:t>
      </w:r>
    </w:p>
    <w:p>
      <w:pPr>
        <w:spacing w:after="0" w:line="170" w:lineRule="exact"/>
        <w:rPr>
          <w:sz w:val="20"/>
          <w:szCs w:val="20"/>
          <w:color w:val="auto"/>
        </w:rPr>
      </w:pPr>
    </w:p>
    <w:p>
      <w:pPr>
        <w:ind w:right="60" w:firstLine="436"/>
        <w:spacing w:after="0" w:line="263" w:lineRule="auto"/>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name of the Corporation is Marvell Technology, Inc. The Corporation’s original Certificate of Incorporation was filed with the Secretary of State of the State of Delaware on October 23, 2020 and was Amended and Restated and filed with the Secretary of State of the State of Delaware on April 19, 2021.</w:t>
      </w:r>
    </w:p>
    <w:p>
      <w:pPr>
        <w:spacing w:after="0" w:line="183" w:lineRule="exact"/>
        <w:rPr>
          <w:rFonts w:ascii="Arial" w:cs="Arial" w:eastAsia="Arial" w:hAnsi="Arial"/>
          <w:sz w:val="18"/>
          <w:szCs w:val="18"/>
          <w:color w:val="auto"/>
        </w:rPr>
      </w:pPr>
    </w:p>
    <w:p>
      <w:pPr>
        <w:ind w:right="400" w:firstLine="436"/>
        <w:spacing w:after="0" w:line="263" w:lineRule="auto"/>
        <w:tabs>
          <w:tab w:leader="none" w:pos="62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This Second Amended and Restated Certificate of Incorporation was duly adopted in accordance with Sections 242 and 245 of the General Corporation Law of the State of Delaware, and restates, integrates and further amends the provisions of the Corporation’s Amended and Restated Certificate of Incorporation.</w:t>
      </w:r>
    </w:p>
    <w:p>
      <w:pPr>
        <w:spacing w:after="0" w:line="183" w:lineRule="exact"/>
        <w:rPr>
          <w:rFonts w:ascii="Arial" w:cs="Arial" w:eastAsia="Arial" w:hAnsi="Arial"/>
          <w:sz w:val="18"/>
          <w:szCs w:val="18"/>
          <w:color w:val="auto"/>
        </w:rPr>
      </w:pPr>
    </w:p>
    <w:p>
      <w:pPr>
        <w:ind w:left="620" w:hanging="184"/>
        <w:spacing w:after="0"/>
        <w:tabs>
          <w:tab w:leader="none" w:pos="620"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text of the Second Amended and Restated Certificate of Incorporation of the Corporation is amended and restated to read as follows:</w:t>
      </w:r>
    </w:p>
    <w:p>
      <w:pPr>
        <w:spacing w:after="0" w:line="200" w:lineRule="exact"/>
        <w:rPr>
          <w:sz w:val="20"/>
          <w:szCs w:val="20"/>
          <w:color w:val="auto"/>
        </w:rPr>
      </w:pP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NAME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name of the Corporation is Marvell Technology, Inc.</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AGENT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850 New Burton Road, Suite 201, Dover, DE,19904. The name of its registered agent at such address is Cogency Global Inc.</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PURPOSE</w:t>
      </w:r>
    </w:p>
    <w:p>
      <w:pPr>
        <w:spacing w:after="0" w:line="103"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The purpose of the Corporation is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w:t>
      </w:r>
    </w:p>
    <w:p>
      <w:pPr>
        <w:spacing w:after="0" w:line="211" w:lineRule="exact"/>
        <w:rPr>
          <w:sz w:val="20"/>
          <w:szCs w:val="20"/>
          <w:color w:val="auto"/>
        </w:rPr>
      </w:pPr>
    </w:p>
    <w:p>
      <w:pPr>
        <w:ind w:right="500" w:firstLine="440"/>
        <w:spacing w:after="0" w:line="263" w:lineRule="auto"/>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Authorized Stock</w:t>
      </w:r>
      <w:r>
        <w:rPr>
          <w:rFonts w:ascii="Arial" w:cs="Arial" w:eastAsia="Arial" w:hAnsi="Arial"/>
          <w:sz w:val="18"/>
          <w:szCs w:val="18"/>
          <w:color w:val="auto"/>
        </w:rPr>
        <w:t>. The total number of shares which the Corporation shall have authority to issue is 1,258,000,000, of which 1,250,000,000 shall be designated Common Stock, par value $0.002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 and 8,000,000 shall be designated Preferred Stock, par value $0.002 per share (the “</w:t>
      </w:r>
      <w:r>
        <w:rPr>
          <w:rFonts w:ascii="Arial" w:cs="Arial" w:eastAsia="Arial" w:hAnsi="Arial"/>
          <w:sz w:val="18"/>
          <w:szCs w:val="18"/>
          <w:u w:val="single" w:color="auto"/>
          <w:color w:val="auto"/>
        </w:rPr>
        <w:t>Preferred Stock</w:t>
      </w:r>
      <w:r>
        <w:rPr>
          <w:rFonts w:ascii="Arial" w:cs="Arial" w:eastAsia="Arial" w:hAnsi="Arial"/>
          <w:sz w:val="18"/>
          <w:szCs w:val="18"/>
          <w:color w:val="auto"/>
        </w:rPr>
        <w:t>”).</w:t>
      </w:r>
    </w:p>
    <w:p>
      <w:pPr>
        <w:sectPr>
          <w:pgSz w:w="11900" w:h="16838" w:orient="portrait"/>
          <w:cols w:equalWidth="0" w:num="1">
            <w:col w:w="11020"/>
          </w:cols>
          <w:pgMar w:left="440" w:top="121" w:right="439" w:bottom="1440" w:gutter="0" w:footer="0" w:header="0"/>
        </w:sectPr>
      </w:pPr>
    </w:p>
    <w:bookmarkStart w:id="4" w:name="page5"/>
    <w:bookmarkEnd w:id="4"/>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4.2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225" w:lineRule="exact"/>
        <w:rPr>
          <w:sz w:val="20"/>
          <w:szCs w:val="20"/>
          <w:color w:val="auto"/>
        </w:rPr>
      </w:pPr>
    </w:p>
    <w:p>
      <w:pPr>
        <w:ind w:firstLine="987"/>
        <w:spacing w:after="0" w:line="273" w:lineRule="auto"/>
        <w:tabs>
          <w:tab w:leader="none" w:pos="1236"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Each holder of Common Stock, as such, shall be entitled to one vote for each share of Common Stock held of record by such holder on all matters on which stockholders generally are entitled to vote;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Arial" w:cs="Arial" w:eastAsia="Arial" w:hAnsi="Arial"/>
          <w:sz w:val="17"/>
          <w:szCs w:val="17"/>
          <w:u w:val="single" w:color="auto"/>
          <w:color w:val="auto"/>
        </w:rPr>
        <w:t>Preferred Stock Designation</w:t>
      </w:r>
      <w:r>
        <w:rPr>
          <w:rFonts w:ascii="Arial" w:cs="Arial" w:eastAsia="Arial" w:hAnsi="Arial"/>
          <w:sz w:val="17"/>
          <w:szCs w:val="17"/>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177" w:lineRule="exact"/>
        <w:rPr>
          <w:rFonts w:ascii="Arial" w:cs="Arial" w:eastAsia="Arial" w:hAnsi="Arial"/>
          <w:sz w:val="17"/>
          <w:szCs w:val="17"/>
          <w:color w:val="auto"/>
        </w:rPr>
      </w:pPr>
    </w:p>
    <w:p>
      <w:pPr>
        <w:ind w:right="320" w:firstLine="987"/>
        <w:spacing w:after="0" w:line="277" w:lineRule="auto"/>
        <w:tabs>
          <w:tab w:leader="none" w:pos="1246"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170" w:lineRule="exact"/>
        <w:rPr>
          <w:rFonts w:ascii="Arial" w:cs="Arial" w:eastAsia="Arial" w:hAnsi="Arial"/>
          <w:sz w:val="18"/>
          <w:szCs w:val="18"/>
          <w:color w:val="auto"/>
        </w:rPr>
      </w:pPr>
    </w:p>
    <w:p>
      <w:pPr>
        <w:ind w:right="60" w:firstLine="987"/>
        <w:spacing w:after="0" w:line="263" w:lineRule="auto"/>
        <w:tabs>
          <w:tab w:leader="none" w:pos="1236"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Liquidation</w:t>
      </w:r>
      <w:r>
        <w:rPr>
          <w:rFonts w:ascii="Arial" w:cs="Arial" w:eastAsia="Arial" w:hAnsi="Arial"/>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84" w:lineRule="exact"/>
        <w:rPr>
          <w:sz w:val="20"/>
          <w:szCs w:val="20"/>
          <w:color w:val="auto"/>
        </w:rPr>
      </w:pPr>
    </w:p>
    <w:p>
      <w:pPr>
        <w:ind w:right="20" w:firstLine="440"/>
        <w:spacing w:after="0" w:line="275" w:lineRule="auto"/>
        <w:rPr>
          <w:sz w:val="20"/>
          <w:szCs w:val="20"/>
          <w:color w:val="auto"/>
        </w:rPr>
      </w:pPr>
      <w:r>
        <w:rPr>
          <w:rFonts w:ascii="Arial" w:cs="Arial" w:eastAsia="Arial" w:hAnsi="Arial"/>
          <w:sz w:val="17"/>
          <w:szCs w:val="17"/>
          <w:color w:val="auto"/>
        </w:rPr>
        <w:t xml:space="preserve">Section 4.3 </w:t>
      </w:r>
      <w:r>
        <w:rPr>
          <w:rFonts w:ascii="Arial" w:cs="Arial" w:eastAsia="Arial" w:hAnsi="Arial"/>
          <w:sz w:val="17"/>
          <w:szCs w:val="17"/>
          <w:u w:val="single" w:color="auto"/>
          <w:color w:val="auto"/>
        </w:rPr>
        <w:t>Preferred Stock</w:t>
      </w:r>
      <w:r>
        <w:rPr>
          <w:rFonts w:ascii="Arial" w:cs="Arial" w:eastAsia="Arial" w:hAnsi="Arial"/>
          <w:sz w:val="17"/>
          <w:szCs w:val="17"/>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76"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No Class Vote on Changes in Authorized Number of Shares of Stock</w:t>
      </w:r>
      <w:r>
        <w:rPr>
          <w:rFonts w:ascii="Arial" w:cs="Arial" w:eastAsia="Arial" w:hAnsi="Arial"/>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3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BOARD OF DIRECTORS</w:t>
      </w:r>
    </w:p>
    <w:p>
      <w:pPr>
        <w:spacing w:after="0" w:line="211" w:lineRule="exact"/>
        <w:rPr>
          <w:sz w:val="20"/>
          <w:szCs w:val="20"/>
          <w:color w:val="auto"/>
        </w:rPr>
      </w:pPr>
    </w:p>
    <w:p>
      <w:pPr>
        <w:jc w:val="both"/>
        <w:ind w:right="340" w:firstLine="440"/>
        <w:spacing w:after="0" w:line="263" w:lineRule="auto"/>
        <w:rPr>
          <w:sz w:val="20"/>
          <w:szCs w:val="20"/>
          <w:color w:val="auto"/>
        </w:rPr>
      </w:pPr>
      <w:r>
        <w:rPr>
          <w:rFonts w:ascii="Arial" w:cs="Arial" w:eastAsia="Arial" w:hAnsi="Arial"/>
          <w:sz w:val="18"/>
          <w:szCs w:val="18"/>
          <w:color w:val="auto"/>
        </w:rPr>
        <w:t xml:space="preserve">Section 5.1 </w:t>
      </w:r>
      <w:r>
        <w:rPr>
          <w:rFonts w:ascii="Arial" w:cs="Arial" w:eastAsia="Arial" w:hAnsi="Arial"/>
          <w:sz w:val="18"/>
          <w:szCs w:val="18"/>
          <w:u w:val="single" w:color="auto"/>
          <w:color w:val="auto"/>
        </w:rPr>
        <w:t>Number</w:t>
      </w:r>
      <w:r>
        <w:rPr>
          <w:rFonts w:ascii="Arial" w:cs="Arial" w:eastAsia="Arial" w:hAnsi="Arial"/>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5.2 </w:t>
      </w:r>
      <w:r>
        <w:rPr>
          <w:rFonts w:ascii="Arial" w:cs="Arial" w:eastAsia="Arial" w:hAnsi="Arial"/>
          <w:sz w:val="18"/>
          <w:szCs w:val="18"/>
          <w:u w:val="single" w:color="auto"/>
          <w:color w:val="auto"/>
        </w:rPr>
        <w:t>Vacancies and Newly Created Directorships; Removal</w:t>
      </w:r>
      <w:r>
        <w:rPr>
          <w:rFonts w:ascii="Arial" w:cs="Arial" w:eastAsia="Arial" w:hAnsi="Arial"/>
          <w:sz w:val="18"/>
          <w:szCs w:val="18"/>
          <w:color w:val="auto"/>
        </w:rPr>
        <w:t>.</w:t>
      </w:r>
    </w:p>
    <w:p>
      <w:pPr>
        <w:spacing w:after="0" w:line="225" w:lineRule="exact"/>
        <w:rPr>
          <w:sz w:val="20"/>
          <w:szCs w:val="20"/>
          <w:color w:val="auto"/>
        </w:rPr>
      </w:pPr>
    </w:p>
    <w:p>
      <w:pPr>
        <w:ind w:right="40" w:firstLine="987"/>
        <w:spacing w:after="0" w:line="255" w:lineRule="auto"/>
        <w:tabs>
          <w:tab w:leader="none" w:pos="1236" w:val="left"/>
        </w:tabs>
        <w:numPr>
          <w:ilvl w:val="0"/>
          <w:numId w:val="4"/>
        </w:numPr>
        <w:rPr>
          <w:rFonts w:ascii="Arial" w:cs="Arial" w:eastAsia="Arial" w:hAnsi="Arial"/>
          <w:sz w:val="18"/>
          <w:szCs w:val="18"/>
          <w:color w:val="auto"/>
        </w:rPr>
      </w:pPr>
      <w:r>
        <w:rPr>
          <w:rFonts w:ascii="Arial" w:cs="Arial" w:eastAsia="Arial" w:hAnsi="Arial"/>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92" w:lineRule="exact"/>
        <w:rPr>
          <w:rFonts w:ascii="Arial" w:cs="Arial" w:eastAsia="Arial" w:hAnsi="Arial"/>
          <w:sz w:val="18"/>
          <w:szCs w:val="18"/>
          <w:color w:val="auto"/>
        </w:rPr>
      </w:pPr>
    </w:p>
    <w:p>
      <w:pPr>
        <w:ind w:right="20" w:firstLine="987"/>
        <w:spacing w:after="0" w:line="257" w:lineRule="auto"/>
        <w:tabs>
          <w:tab w:leader="none" w:pos="1246"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ectPr>
          <w:pgSz w:w="11900" w:h="16838" w:orient="portrait"/>
          <w:cols w:equalWidth="0" w:num="1">
            <w:col w:w="11020"/>
          </w:cols>
          <w:pgMar w:left="440" w:top="274" w:right="439" w:bottom="1440" w:gutter="0" w:footer="0" w:header="0"/>
        </w:sectPr>
      </w:pPr>
    </w:p>
    <w:bookmarkStart w:id="5" w:name="page6"/>
    <w:bookmarkEnd w:id="5"/>
    <w:p>
      <w:pPr>
        <w:ind w:left="4" w:firstLine="987"/>
        <w:spacing w:after="0" w:line="287" w:lineRule="auto"/>
        <w:tabs>
          <w:tab w:leader="none" w:pos="1240" w:val="left"/>
        </w:tabs>
        <w:numPr>
          <w:ilvl w:val="0"/>
          <w:numId w:val="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 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68" w:lineRule="exact"/>
        <w:rPr>
          <w:sz w:val="20"/>
          <w:szCs w:val="20"/>
          <w:color w:val="auto"/>
        </w:rPr>
      </w:pPr>
    </w:p>
    <w:p>
      <w:pPr>
        <w:ind w:left="4" w:right="140" w:firstLine="440"/>
        <w:spacing w:after="0" w:line="308" w:lineRule="auto"/>
        <w:rPr>
          <w:sz w:val="20"/>
          <w:szCs w:val="20"/>
          <w:color w:val="auto"/>
        </w:rPr>
      </w:pPr>
      <w:r>
        <w:rPr>
          <w:rFonts w:ascii="Arial" w:cs="Arial" w:eastAsia="Arial" w:hAnsi="Arial"/>
          <w:sz w:val="17"/>
          <w:szCs w:val="17"/>
          <w:color w:val="auto"/>
        </w:rPr>
        <w:t xml:space="preserve">Section 5.3 </w:t>
      </w:r>
      <w:r>
        <w:rPr>
          <w:rFonts w:ascii="Arial" w:cs="Arial" w:eastAsia="Arial" w:hAnsi="Arial"/>
          <w:sz w:val="17"/>
          <w:szCs w:val="17"/>
          <w:u w:val="single" w:color="auto"/>
          <w:color w:val="auto"/>
        </w:rPr>
        <w:t>Powers</w:t>
      </w:r>
      <w:r>
        <w:rPr>
          <w:rFonts w:ascii="Arial" w:cs="Arial" w:eastAsia="Arial" w:hAnsi="Arial"/>
          <w:sz w:val="17"/>
          <w:szCs w:val="17"/>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46"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Election</w:t>
      </w:r>
      <w:r>
        <w:rPr>
          <w:rFonts w:ascii="Arial" w:cs="Arial" w:eastAsia="Arial" w:hAnsi="Arial"/>
          <w:sz w:val="18"/>
          <w:szCs w:val="18"/>
          <w:color w:val="auto"/>
        </w:rPr>
        <w:t xml:space="preserve">; </w:t>
      </w:r>
      <w:r>
        <w:rPr>
          <w:rFonts w:ascii="Arial" w:cs="Arial" w:eastAsia="Arial" w:hAnsi="Arial"/>
          <w:sz w:val="18"/>
          <w:szCs w:val="18"/>
          <w:u w:val="single" w:color="auto"/>
          <w:color w:val="auto"/>
        </w:rPr>
        <w:t>Annual Meeting of Stockholders</w:t>
      </w:r>
      <w:r>
        <w:rPr>
          <w:rFonts w:ascii="Arial" w:cs="Arial" w:eastAsia="Arial" w:hAnsi="Arial"/>
          <w:sz w:val="18"/>
          <w:szCs w:val="18"/>
          <w:color w:val="auto"/>
        </w:rPr>
        <w:t>.</w:t>
      </w:r>
    </w:p>
    <w:p>
      <w:pPr>
        <w:spacing w:after="0" w:line="225" w:lineRule="exact"/>
        <w:rPr>
          <w:sz w:val="20"/>
          <w:szCs w:val="20"/>
          <w:color w:val="auto"/>
        </w:rPr>
      </w:pPr>
    </w:p>
    <w:p>
      <w:pPr>
        <w:ind w:left="984"/>
        <w:spacing w:after="0"/>
        <w:rPr>
          <w:sz w:val="20"/>
          <w:szCs w:val="20"/>
          <w:color w:val="auto"/>
        </w:rPr>
      </w:pPr>
      <w:r>
        <w:rPr>
          <w:rFonts w:ascii="Arial" w:cs="Arial" w:eastAsia="Arial" w:hAnsi="Arial"/>
          <w:sz w:val="16"/>
          <w:szCs w:val="16"/>
          <w:color w:val="auto"/>
        </w:rPr>
        <w:t xml:space="preserve">(a) </w:t>
      </w:r>
      <w:r>
        <w:rPr>
          <w:rFonts w:ascii="Arial" w:cs="Arial" w:eastAsia="Arial" w:hAnsi="Arial"/>
          <w:sz w:val="16"/>
          <w:szCs w:val="16"/>
          <w:u w:val="single" w:color="auto"/>
          <w:color w:val="auto"/>
        </w:rPr>
        <w:t>Ballot Not Required</w:t>
      </w:r>
      <w:r>
        <w:rPr>
          <w:rFonts w:ascii="Arial" w:cs="Arial" w:eastAsia="Arial" w:hAnsi="Arial"/>
          <w:sz w:val="16"/>
          <w:szCs w:val="16"/>
          <w:color w:val="auto"/>
        </w:rPr>
        <w:t>. The directors of the Corporation need not be elected by written ballot unless the Bylaws of the Corporation so</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provide.</w:t>
      </w:r>
    </w:p>
    <w:p>
      <w:pPr>
        <w:spacing w:after="0" w:line="211" w:lineRule="exact"/>
        <w:rPr>
          <w:sz w:val="20"/>
          <w:szCs w:val="20"/>
          <w:color w:val="auto"/>
        </w:rPr>
      </w:pPr>
    </w:p>
    <w:p>
      <w:pPr>
        <w:ind w:left="4" w:right="660" w:firstLine="987"/>
        <w:spacing w:after="0" w:line="263" w:lineRule="auto"/>
        <w:tabs>
          <w:tab w:leader="none" w:pos="125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Notice</w:t>
      </w:r>
      <w:r>
        <w:rPr>
          <w:rFonts w:ascii="Arial" w:cs="Arial" w:eastAsia="Arial" w:hAnsi="Arial"/>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183" w:lineRule="exact"/>
        <w:rPr>
          <w:rFonts w:ascii="Arial" w:cs="Arial" w:eastAsia="Arial" w:hAnsi="Arial"/>
          <w:sz w:val="18"/>
          <w:szCs w:val="18"/>
          <w:color w:val="auto"/>
        </w:rPr>
      </w:pPr>
    </w:p>
    <w:p>
      <w:pPr>
        <w:jc w:val="both"/>
        <w:ind w:left="4" w:right="380" w:firstLine="987"/>
        <w:spacing w:after="0" w:line="263" w:lineRule="auto"/>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96"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STOCKHOLDER ACTION</w:t>
      </w:r>
    </w:p>
    <w:p>
      <w:pPr>
        <w:spacing w:after="0" w:line="211" w:lineRule="exact"/>
        <w:rPr>
          <w:sz w:val="20"/>
          <w:szCs w:val="20"/>
          <w:color w:val="auto"/>
        </w:rPr>
      </w:pPr>
    </w:p>
    <w:p>
      <w:pPr>
        <w:ind w:left="4" w:right="120" w:firstLine="440"/>
        <w:spacing w:after="0" w:line="275" w:lineRule="auto"/>
        <w:rPr>
          <w:sz w:val="20"/>
          <w:szCs w:val="20"/>
          <w:color w:val="auto"/>
        </w:rPr>
      </w:pPr>
      <w:r>
        <w:rPr>
          <w:rFonts w:ascii="Arial" w:cs="Arial" w:eastAsia="Arial" w:hAnsi="Arial"/>
          <w:sz w:val="17"/>
          <w:szCs w:val="17"/>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88"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SPECIAL MEETINGS OF STOCKHOLDERS</w:t>
      </w:r>
    </w:p>
    <w:p>
      <w:pPr>
        <w:spacing w:after="0" w:line="211" w:lineRule="exact"/>
        <w:rPr>
          <w:sz w:val="20"/>
          <w:szCs w:val="20"/>
          <w:color w:val="auto"/>
        </w:rPr>
      </w:pPr>
    </w:p>
    <w:p>
      <w:pPr>
        <w:ind w:left="4" w:right="140" w:firstLine="440"/>
        <w:spacing w:after="0" w:line="291" w:lineRule="auto"/>
        <w:rPr>
          <w:sz w:val="20"/>
          <w:szCs w:val="20"/>
          <w:color w:val="auto"/>
        </w:rPr>
      </w:pPr>
      <w:r>
        <w:rPr>
          <w:rFonts w:ascii="Arial" w:cs="Arial" w:eastAsia="Arial" w:hAnsi="Arial"/>
          <w:sz w:val="16"/>
          <w:szCs w:val="16"/>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ind w:left="4" w:right="60" w:hanging="4"/>
        <w:spacing w:after="0" w:line="255" w:lineRule="auto"/>
        <w:tabs>
          <w:tab w:leader="none" w:pos="259" w:val="left"/>
        </w:tabs>
        <w:numPr>
          <w:ilvl w:val="0"/>
          <w:numId w:val="7"/>
        </w:numPr>
        <w:rPr>
          <w:rFonts w:ascii="Arial" w:cs="Arial" w:eastAsia="Arial" w:hAnsi="Arial"/>
          <w:sz w:val="18"/>
          <w:szCs w:val="18"/>
          <w:color w:val="auto"/>
        </w:rPr>
      </w:pPr>
      <w:r>
        <w:rPr>
          <w:rFonts w:ascii="Arial" w:cs="Arial" w:eastAsia="Arial" w:hAnsi="Arial"/>
          <w:sz w:val="18"/>
          <w:szCs w:val="18"/>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 matters to be brought before</w:t>
      </w:r>
    </w:p>
    <w:p>
      <w:pPr>
        <w:sectPr>
          <w:pgSz w:w="11900" w:h="16838" w:orient="portrait"/>
          <w:cols w:equalWidth="0" w:num="1">
            <w:col w:w="11004"/>
          </w:cols>
          <w:pgMar w:left="436" w:top="274" w:right="459" w:bottom="1440" w:gutter="0" w:footer="0" w:header="0"/>
        </w:sectPr>
      </w:pPr>
    </w:p>
    <w:bookmarkStart w:id="6" w:name="page7"/>
    <w:bookmarkEnd w:id="6"/>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proposed special meeting at the time a request is delivered; and (ii) 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 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EXISTENCE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AMENDMENT</w:t>
      </w:r>
    </w:p>
    <w:p>
      <w:pPr>
        <w:spacing w:after="0" w:line="211"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Amendment of Certificate of Incorporation</w:t>
      </w:r>
      <w:r>
        <w:rPr>
          <w:rFonts w:ascii="Arial" w:cs="Arial" w:eastAsia="Arial" w:hAnsi="Arial"/>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92"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Section 9.2 </w:t>
      </w:r>
      <w:r>
        <w:rPr>
          <w:rFonts w:ascii="Arial" w:cs="Arial" w:eastAsia="Arial" w:hAnsi="Arial"/>
          <w:sz w:val="17"/>
          <w:szCs w:val="17"/>
          <w:u w:val="single" w:color="auto"/>
          <w:color w:val="auto"/>
        </w:rPr>
        <w:t>Amendment of Bylaws</w:t>
      </w:r>
      <w:r>
        <w:rPr>
          <w:rFonts w:ascii="Arial" w:cs="Arial" w:eastAsia="Arial" w:hAnsi="Arial"/>
          <w:sz w:val="17"/>
          <w:szCs w:val="17"/>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LIABILITY OF DIRECTORS</w:t>
      </w:r>
    </w:p>
    <w:p>
      <w:pPr>
        <w:spacing w:after="0" w:line="211" w:lineRule="exact"/>
        <w:rPr>
          <w:sz w:val="20"/>
          <w:szCs w:val="20"/>
          <w:color w:val="auto"/>
        </w:rPr>
      </w:pPr>
    </w:p>
    <w:p>
      <w:pPr>
        <w:ind w:right="60" w:firstLine="440"/>
        <w:spacing w:after="0" w:line="342"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No Personal Liability</w:t>
      </w:r>
      <w:r>
        <w:rPr>
          <w:rFonts w:ascii="Arial" w:cs="Arial" w:eastAsia="Arial" w:hAnsi="Arial"/>
          <w:sz w:val="16"/>
          <w:szCs w:val="16"/>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24"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Amendment or Repeal</w:t>
      </w:r>
      <w:r>
        <w:rPr>
          <w:rFonts w:ascii="Arial" w:cs="Arial" w:eastAsia="Arial" w:hAnsi="Arial"/>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FORUM FOR ADJUDICATION OF DISPUTES</w:t>
      </w:r>
    </w:p>
    <w:p>
      <w:pPr>
        <w:spacing w:after="0" w:line="211" w:lineRule="exact"/>
        <w:rPr>
          <w:sz w:val="20"/>
          <w:szCs w:val="20"/>
          <w:color w:val="auto"/>
        </w:rPr>
      </w:pPr>
    </w:p>
    <w:p>
      <w:pPr>
        <w:jc w:val="both"/>
        <w:ind w:right="400" w:firstLine="440"/>
        <w:spacing w:after="0" w:line="263" w:lineRule="auto"/>
        <w:rPr>
          <w:sz w:val="20"/>
          <w:szCs w:val="20"/>
          <w:color w:val="auto"/>
        </w:rPr>
      </w:pPr>
      <w:r>
        <w:rPr>
          <w:rFonts w:ascii="Arial" w:cs="Arial" w:eastAsia="Arial" w:hAnsi="Arial"/>
          <w:sz w:val="18"/>
          <w:szCs w:val="18"/>
          <w:color w:val="auto"/>
        </w:rPr>
        <w:t xml:space="preserve">Section 11.1 </w:t>
      </w:r>
      <w:r>
        <w:rPr>
          <w:rFonts w:ascii="Arial" w:cs="Arial" w:eastAsia="Arial" w:hAnsi="Arial"/>
          <w:sz w:val="18"/>
          <w:szCs w:val="18"/>
          <w:u w:val="single" w:color="auto"/>
          <w:color w:val="auto"/>
        </w:rPr>
        <w:t>Forum</w:t>
      </w:r>
      <w:r>
        <w:rPr>
          <w:rFonts w:ascii="Arial" w:cs="Arial" w:eastAsia="Arial" w:hAnsi="Arial"/>
          <w:sz w:val="18"/>
          <w:szCs w:val="18"/>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w:t>
      </w:r>
    </w:p>
    <w:p>
      <w:pPr>
        <w:sectPr>
          <w:pgSz w:w="11900" w:h="16838" w:orient="portrait"/>
          <w:cols w:equalWidth="0" w:num="1">
            <w:col w:w="11000"/>
          </w:cols>
          <w:pgMar w:left="440" w:top="274" w:right="459" w:bottom="1440" w:gutter="0" w:footer="0" w:header="0"/>
        </w:sectPr>
      </w:pPr>
    </w:p>
    <w:bookmarkStart w:id="7" w:name="page8"/>
    <w:bookmarkEnd w:id="7"/>
    <w:p>
      <w:pPr>
        <w:ind w:right="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95"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 xml:space="preserve">Section 11.2 </w:t>
      </w:r>
      <w:r>
        <w:rPr>
          <w:rFonts w:ascii="Arial" w:cs="Arial" w:eastAsia="Arial" w:hAnsi="Arial"/>
          <w:sz w:val="17"/>
          <w:szCs w:val="17"/>
          <w:u w:val="single" w:color="auto"/>
          <w:color w:val="auto"/>
        </w:rPr>
        <w:t>Enforceability</w:t>
      </w:r>
      <w:r>
        <w:rPr>
          <w:rFonts w:ascii="Arial" w:cs="Arial" w:eastAsia="Arial" w:hAnsi="Arial"/>
          <w:sz w:val="17"/>
          <w:szCs w:val="17"/>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remainder of this page has been intentionally left blank.]</w:t>
      </w:r>
    </w:p>
    <w:p>
      <w:pPr>
        <w:sectPr>
          <w:pgSz w:w="11900" w:h="16838" w:orient="portrait"/>
          <w:cols w:equalWidth="0" w:num="1">
            <w:col w:w="11000"/>
          </w:cols>
          <w:pgMar w:left="440" w:top="274" w:right="459" w:bottom="1440" w:gutter="0" w:footer="0" w:header="0"/>
        </w:sectPr>
      </w:pPr>
    </w:p>
    <w:bookmarkStart w:id="8" w:name="page9"/>
    <w:bookmarkEnd w:id="8"/>
    <w:p>
      <w:pPr>
        <w:ind w:right="40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undersigned duly authorized officer of the Corporation hereby acknowledges that the foregoing Amended and Restated Certificate of Incorporation is his act and deed and that the facts stated herein are true.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March 15, 2023</w:t>
      </w:r>
    </w:p>
    <w:p>
      <w:pPr>
        <w:spacing w:after="0" w:line="252" w:lineRule="exact"/>
        <w:rPr>
          <w:sz w:val="20"/>
          <w:szCs w:val="20"/>
          <w:color w:val="auto"/>
        </w:rPr>
      </w:pPr>
    </w:p>
    <w:tbl>
      <w:tblPr>
        <w:tblLayout w:type="fixed"/>
        <w:tblInd w:w="6620" w:type="dxa"/>
        <w:tblCellMar>
          <w:top w:w="0" w:type="dxa"/>
          <w:left w:w="0" w:type="dxa"/>
          <w:bottom w:w="0" w:type="dxa"/>
          <w:right w:w="0" w:type="dxa"/>
        </w:tblCellMar>
      </w:tblP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Mitchell Gaynor</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Mitchell Gaynor</w:t>
            </w:r>
          </w:p>
        </w:tc>
      </w:t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rPr>
              <w:t>Secretary</w:t>
            </w:r>
          </w:p>
        </w:tc>
      </w:tr>
    </w:tbl>
    <w:p>
      <w:pPr>
        <w:sectPr>
          <w:pgSz w:w="11900" w:h="16838" w:orient="portrait"/>
          <w:cols w:equalWidth="0" w:num="1">
            <w:col w:w="11020"/>
          </w:cols>
          <w:pgMar w:left="440" w:top="274" w:right="439"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60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611630" cy="660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280"/>
        <w:spacing w:after="0" w:line="282" w:lineRule="auto"/>
        <w:rPr>
          <w:sz w:val="20"/>
          <w:szCs w:val="20"/>
          <w:color w:val="auto"/>
        </w:rPr>
      </w:pPr>
      <w:r>
        <w:rPr>
          <w:rFonts w:ascii="Arial" w:cs="Arial" w:eastAsia="Arial" w:hAnsi="Arial"/>
          <w:sz w:val="18"/>
          <w:szCs w:val="18"/>
          <w:b w:val="1"/>
          <w:bCs w:val="1"/>
          <w:color w:val="auto"/>
        </w:rPr>
        <w:t xml:space="preserve">Santa Clara, Calif. (March 15, 2023) </w:t>
      </w:r>
      <w:r>
        <w:rPr>
          <w:rFonts w:ascii="Arial" w:cs="Arial" w:eastAsia="Arial" w:hAnsi="Arial"/>
          <w:sz w:val="18"/>
          <w:szCs w:val="18"/>
          <w:color w:val="auto"/>
        </w:rPr>
        <w:t>— Marvell Technology, Inc. (NASDAQ: MRVL), today announced a quarterly dividend of $0.06 per share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payable on April 26, 2023 to shareholders of record as of April 7, 2023.</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301"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6"/>
          <w:szCs w:val="26"/>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decimal"/>
      <w:start w:val="1"/>
    </w:lvl>
  </w:abstractNum>
  <w:abstractNum w:abstractNumId="2">
    <w:nsid w:val="46E87CCD"/>
    <w:multiLevelType w:val="hybridMultilevel"/>
    <w:lvl w:ilvl="0">
      <w:lvlJc w:val="left"/>
      <w:lvlText w:val="(%1)"/>
      <w:numFmt w:val="lowerLetter"/>
      <w:start w:val="1"/>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Letter"/>
      <w:start w:val="3"/>
    </w:lvl>
  </w:abstractNum>
  <w:abstractNum w:abstractNumId="5">
    <w:nsid w:val="2EB141F2"/>
    <w:multiLevelType w:val="hybridMultilevel"/>
    <w:lvl w:ilvl="0">
      <w:lvlJc w:val="left"/>
      <w:lvlText w:val="(%1)"/>
      <w:numFmt w:val="lowerLetter"/>
      <w:start w:val="2"/>
    </w:lvl>
  </w:abstractNum>
  <w:abstractNum w:abstractNumId="6">
    <w:nsid w:val="41B71EFB"/>
    <w:multiLevelType w:val="hybridMultilevel"/>
    <w:lvl w:ilvl="0">
      <w:lvlJc w:val="left"/>
      <w:lvlText w:val="(%1)"/>
      <w:numFmt w:val="low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2023-03-15T16:07:42Z</dcterms:created>
  <dcterms:modified xsi:type="dcterms:W3CDTF">2023-03-15T16:07:42Z</dcterms:modified>
</cp:coreProperties>
</file>