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before="0" w:after="0"/>
        <w:rPr/>
      </w:pPr>
      <w:bookmarkStart w:id="0" w:name="doc4.xml.htm"/>
      <w:bookmarkStart w:id="1" w:name="ksdoc4"/>
      <w:bookmarkEnd w:id="0"/>
      <w:bookmarkEnd w:id="1"/>
      <w:r>
        <w:rPr/>
        <w:t xml:space="preserve">SEC Form 4 </w:t>
      </w:r>
    </w:p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360"/>
        <w:gridCol w:w="1888"/>
        <w:gridCol w:w="5968"/>
        <w:gridCol w:w="1989"/>
      </w:tblGrid>
      <w:tr>
        <w:trPr/>
        <w:tc>
          <w:tcPr>
            <w:tcW w:w="2248" w:type="dxa"/>
            <w:gridSpan w:val="2"/>
            <w:tcBorders/>
            <w:shd w:fill="auto" w:val="clear"/>
          </w:tcPr>
          <w:p>
            <w:pPr>
              <w:pStyle w:val="TableContents"/>
              <w:spacing w:before="0" w:after="283"/>
              <w:jc w:val="center"/>
              <w:rPr>
                <w:rFonts w:ascii="arial;helvetica;sans-serif" w:hAnsi="arial;helvetica;sans-serif"/>
                <w:b/>
                <w:sz w:val="36"/>
              </w:rPr>
            </w:pPr>
            <w:r>
              <w:rPr>
                <w:rFonts w:ascii="arial;helvetica;sans-serif" w:hAnsi="arial;helvetica;sans-serif"/>
                <w:b/>
                <w:sz w:val="36"/>
              </w:rPr>
              <w:t>FORM 4</w:t>
            </w:r>
          </w:p>
        </w:tc>
        <w:tc>
          <w:tcPr>
            <w:tcW w:w="5968" w:type="dxa"/>
            <w:vMerge w:val="restart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/>
                <w:sz w:val="28"/>
              </w:rPr>
              <w:t>UNITED STATES SECURITIES AND EXCHANGE COMMISSION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Washington, D.C. 20549</w:t>
            </w:r>
            <w:r>
              <w:rPr/>
              <w:br/>
              <w:br/>
            </w:r>
            <w:r>
              <w:rPr>
                <w:rFonts w:ascii="arial;helvetica;sans-serif" w:hAnsi="arial;helvetica;sans-serif"/>
                <w:b/>
                <w:sz w:val="28"/>
              </w:rPr>
              <w:t>STATEMENT OF CHANGES IN BENEFICIAL OWNERSHIP</w:t>
            </w:r>
            <w:r>
              <w:rPr/>
              <w:br/>
              <w:br/>
            </w:r>
            <w:r>
              <w:rPr>
                <w:rFonts w:ascii="arial;helvetica;sans-serif" w:hAnsi="arial;helvetica;sans-serif"/>
                <w:sz w:val="20"/>
              </w:rPr>
              <w:t>Filed pursuant to Section 16(a) of the Securities Exchange Act of 1934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or Section 30(h) of the Investment Company Act of 1940</w:t>
            </w:r>
            <w:r>
              <w:rPr/>
              <w:t xml:space="preserve"> </w:t>
            </w:r>
          </w:p>
        </w:tc>
        <w:tc>
          <w:tcPr>
            <w:tcW w:w="1989" w:type="dxa"/>
            <w:vMerge w:val="restart"/>
            <w:tcBorders/>
            <w:shd w:fill="auto" w:val="clear"/>
          </w:tcPr>
          <w:p>
            <w:pPr>
              <w:pStyle w:val="TableContents"/>
              <w:spacing w:before="0" w:after="0"/>
              <w:jc w:val="center"/>
              <w:rPr/>
            </w:pPr>
            <w:r>
              <w:rPr/>
              <w:t xml:space="preserve">  </w:t>
            </w:r>
          </w:p>
          <w:tbl>
            <w:tblPr>
              <w:tblW w:w="5000" w:type="pct"/>
              <w:jc w:val="center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869"/>
            </w:tblGrid>
            <w:tr>
              <w:trPr/>
              <w:tc>
                <w:tcPr>
                  <w:tcW w:w="1869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0"/>
                    <w:jc w:val="center"/>
                    <w:rPr>
                      <w:rFonts w:ascii="arial;helvetica;sans-serif" w:hAnsi="arial;helvetica;sans-serif"/>
                      <w:b w:val="false"/>
                      <w:sz w:val="24"/>
                    </w:rPr>
                  </w:pPr>
                  <w:r>
                    <w:rPr>
                      <w:rFonts w:ascii="arial;helvetica;sans-serif" w:hAnsi="arial;helvetica;sans-serif"/>
                      <w:b w:val="false"/>
                      <w:sz w:val="24"/>
                    </w:rPr>
                    <w:t>OMB APPROVAL</w:t>
                  </w:r>
                </w:p>
                <w:tbl>
                  <w:tblPr>
                    <w:tblW w:w="5000" w:type="pct"/>
                    <w:jc w:val="left"/>
                    <w:tblInd w:w="0" w:type="dxa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</w:tblPr>
                  <w:tblGrid>
                    <w:gridCol w:w="1145"/>
                    <w:gridCol w:w="668"/>
                  </w:tblGrid>
                  <w:tr>
                    <w:trPr/>
                    <w:tc>
                      <w:tcPr>
                        <w:tcW w:w="1145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OMB Number:</w:t>
                        </w:r>
                      </w:p>
                    </w:tc>
                    <w:tc>
                      <w:tcPr>
                        <w:tcW w:w="668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righ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3235-0287</w:t>
                        </w:r>
                      </w:p>
                    </w:tc>
                  </w:tr>
                  <w:tr>
                    <w:trPr/>
                    <w:tc>
                      <w:tcPr>
                        <w:tcW w:w="1813" w:type="dxa"/>
                        <w:gridSpan w:val="2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Estimated average burden</w:t>
                        </w:r>
                      </w:p>
                    </w:tc>
                  </w:tr>
                  <w:tr>
                    <w:trPr/>
                    <w:tc>
                      <w:tcPr>
                        <w:tcW w:w="1145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hours per response:</w:t>
                        </w:r>
                      </w:p>
                    </w:tc>
                    <w:tc>
                      <w:tcPr>
                        <w:tcW w:w="668" w:type="dxa"/>
                        <w:tcBorders/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jc w:val="righ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0.5</w:t>
                        </w:r>
                      </w:p>
                    </w:tc>
                  </w:tr>
                </w:tbl>
                <w:p>
                  <w:pPr>
                    <w:pStyle w:val="TableContents"/>
                    <w:spacing w:before="0" w:after="283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869" w:type="dxa"/>
                  <w:tcBorders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60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drawing>
                <wp:inline distT="0" distB="0" distL="0" distR="0">
                  <wp:extent cx="152400" cy="152400"/>
                  <wp:effectExtent l="0" t="0" r="0" b="0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Check this box if no longer subject to Section 16. Form 4 or Form 5 obligations may continue. </w:t>
            </w:r>
            <w:r>
              <w:rPr>
                <w:rFonts w:ascii="arial;helvetica;sans-serif" w:hAnsi="arial;helvetica;sans-serif"/>
                <w:i/>
                <w:sz w:val="14"/>
              </w:rPr>
              <w:t>See</w:t>
            </w:r>
            <w:r>
              <w:rPr>
                <w:rFonts w:ascii="arial;helvetica;sans-serif" w:hAnsi="arial;helvetica;sans-serif"/>
                <w:sz w:val="14"/>
              </w:rPr>
              <w:t xml:space="preserve"> Instruction 1(b).</w:t>
            </w:r>
          </w:p>
        </w:tc>
        <w:tc>
          <w:tcPr>
            <w:tcW w:w="596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89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3551"/>
        <w:gridCol w:w="3552"/>
        <w:gridCol w:w="2942"/>
        <w:gridCol w:w="160"/>
      </w:tblGrid>
      <w:tr>
        <w:trPr/>
        <w:tc>
          <w:tcPr>
            <w:tcW w:w="355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1. Name and Address of Reporting Person</w:t>
            </w:r>
            <w:r>
              <w:rPr>
                <w:rFonts w:ascii="arial;helvetica;sans-serif" w:hAnsi="arial;helvetica;sans-serif"/>
                <w:position w:val="7"/>
                <w:sz w:val="16"/>
                <w:sz w:val="20"/>
              </w:rPr>
              <w:t>*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3431"/>
            </w:tblGrid>
            <w:tr>
              <w:trPr/>
              <w:tc>
                <w:tcPr>
                  <w:tcW w:w="34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/>
                  </w:pPr>
                  <w:hyperlink r:id="rId3">
                    <w:r>
                      <w:rPr>
                        <w:rStyle w:val="InternetLink"/>
                      </w:rPr>
                      <w:t>MURPHY MATTHEW J</w:t>
                    </w:r>
                  </w:hyperlink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(Last)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(First)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(Middle)</w:t>
                  </w:r>
                </w:p>
              </w:tc>
            </w:tr>
          </w:tbl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3431"/>
            </w:tblGrid>
            <w:tr>
              <w:trPr/>
              <w:tc>
                <w:tcPr>
                  <w:tcW w:w="34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5488 MARVELL LANE</w:t>
                  </w:r>
                </w:p>
              </w:tc>
            </w:tr>
            <w:tr>
              <w:trPr/>
              <w:tc>
                <w:tcPr>
                  <w:tcW w:w="3431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p>
            <w:pPr>
              <w:pStyle w:val="TableContents"/>
              <w:spacing w:before="0" w:after="0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>(Street)</w:t>
            </w:r>
            <w:r>
              <w:rPr/>
              <w:t xml:space="preserve">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SANTA CLARA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CA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95054</w:t>
                  </w:r>
                </w:p>
              </w:tc>
            </w:tr>
          </w:tbl>
          <w:p>
            <w:pPr>
              <w:pStyle w:val="HorizontalLine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(City)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(State)</w:t>
                  </w:r>
                </w:p>
              </w:tc>
              <w:tc>
                <w:tcPr>
                  <w:tcW w:w="114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(Zip)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5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 xml:space="preserve">2. Issuer Name </w:t>
            </w:r>
            <w:r>
              <w:rPr>
                <w:rFonts w:ascii="arial;helvetica;sans-serif" w:hAnsi="arial;helvetica;sans-serif"/>
                <w:b/>
                <w:sz w:val="20"/>
              </w:rPr>
              <w:t>and</w:t>
            </w:r>
            <w:r>
              <w:rPr>
                <w:rFonts w:ascii="arial;helvetica;sans-serif" w:hAnsi="arial;helvetica;sans-serif"/>
                <w:sz w:val="20"/>
              </w:rPr>
              <w:t xml:space="preserve"> Ticker or Trading Symbol </w:t>
            </w:r>
            <w:r>
              <w:rPr/>
              <w:br/>
            </w:r>
            <w:hyperlink r:id="rId4">
              <w:r>
                <w:rPr>
                  <w:rStyle w:val="InternetLink"/>
                </w:rPr>
                <w:t>Marvell Technology, Inc.</w:t>
              </w:r>
            </w:hyperlink>
            <w:r>
              <w:rPr/>
              <w:t xml:space="preserve"> [ 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MRVL</w:t>
            </w:r>
            <w:r>
              <w:rPr/>
              <w:t xml:space="preserve"> ] </w:t>
            </w:r>
          </w:p>
        </w:tc>
        <w:tc>
          <w:tcPr>
            <w:tcW w:w="2942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 xml:space="preserve">5. Relationship of Reporting Person(s) to Issuer 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(Check all applicable)</w:t>
            </w:r>
            <w:r>
              <w:rPr/>
              <w:t xml:space="preserve">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22"/>
              <w:gridCol w:w="989"/>
              <w:gridCol w:w="422"/>
              <w:gridCol w:w="989"/>
            </w:tblGrid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X</w:t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Director</w:t>
                  </w:r>
                </w:p>
              </w:tc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10% Owner</w:t>
                  </w:r>
                </w:p>
              </w:tc>
            </w:tr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X</w:t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Officer (give title below)</w:t>
                  </w:r>
                </w:p>
              </w:tc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Other (specify below)</w:t>
                  </w:r>
                </w:p>
              </w:tc>
            </w:tr>
            <w:tr>
              <w:trPr/>
              <w:tc>
                <w:tcPr>
                  <w:tcW w:w="2822" w:type="dxa"/>
                  <w:gridSpan w:val="4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CEO and President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0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>3. Date of Earliest Transaction (Month/Day/Year)</w:t>
            </w:r>
            <w:r>
              <w:rPr/>
              <w:br/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  <w:r>
              <w:rPr/>
              <w:t xml:space="preserve"> </w:t>
            </w:r>
          </w:p>
        </w:tc>
        <w:tc>
          <w:tcPr>
            <w:tcW w:w="2942" w:type="dxa"/>
            <w:vMerge w:val="continue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5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4. If Amendment, Date of Original Filed (Month/Day/Year)</w:t>
            </w:r>
          </w:p>
        </w:tc>
        <w:tc>
          <w:tcPr>
            <w:tcW w:w="29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0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6. Individual or Joint/Group Filing (Check Applicable Line) </w:t>
            </w:r>
          </w:p>
          <w:tbl>
            <w:tblPr>
              <w:tblW w:w="5000" w:type="pct"/>
              <w:jc w:val="left"/>
              <w:tblInd w:w="0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22"/>
              <w:gridCol w:w="2400"/>
            </w:tblGrid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highlight w:val="white"/>
                    </w:rPr>
                    <w:t>X</w:t>
                  </w:r>
                </w:p>
              </w:tc>
              <w:tc>
                <w:tcPr>
                  <w:tcW w:w="240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Form filed by One Reporting Person</w:t>
                  </w:r>
                </w:p>
              </w:tc>
            </w:tr>
            <w:tr>
              <w:trPr/>
              <w:tc>
                <w:tcPr>
                  <w:tcW w:w="422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2400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Form filed by More than One Reporting Person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654" w:type="dxa"/>
            <w:gridSpan w:val="3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</w:tcPr>
          <w:tbl>
            <w:tblPr>
              <w:tblW w:w="5000" w:type="pct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34"/>
            </w:tblGrid>
            <w:tr>
              <w:trPr/>
              <w:tc>
                <w:tcPr>
                  <w:tcW w:w="6534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rPr/>
                  </w:pPr>
                  <w:r>
                    <w:rPr/>
                    <w:t>Rule 10b5-1(c) Transaction Indication</w:t>
                  </w:r>
                </w:p>
              </w:tc>
            </w:tr>
          </w:tbl>
          <w:p>
            <w:pPr>
              <w:pStyle w:val="TableContents"/>
              <w:spacing w:before="0" w:after="0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"/>
              <w:gridCol w:w="6355"/>
            </w:tblGrid>
            <w:tr>
              <w:trPr/>
              <w:tc>
                <w:tcPr>
                  <w:tcW w:w="179" w:type="dxa"/>
                  <w:tcBorders/>
                  <w:shd w:fill="auto" w:val="clear"/>
                  <w:vAlign w:val="center"/>
                </w:tcPr>
                <w:tbl>
                  <w:tblPr>
                    <w:tblW w:w="266" w:type="dxa"/>
                    <w:jc w:val="left"/>
                    <w:tblInd w:w="0" w:type="dxa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</w:tblPr>
                  <w:tblGrid>
                    <w:gridCol w:w="266"/>
                  </w:tblGrid>
                  <w:tr>
                    <w:trPr/>
                    <w:tc>
                      <w:tcPr>
                        <w:tcW w:w="2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TableContents"/>
                          <w:spacing w:before="0" w:after="283"/>
                          <w:rPr>
                            <w:color w:val="0000FF"/>
                            <w:highlight w:val="white"/>
                          </w:rPr>
                        </w:pPr>
                        <w:r>
                          <w:rPr>
                            <w:color w:val="0000FF"/>
                            <w:highlight w:val="white"/>
                          </w:rPr>
                          <w:t>  </w:t>
                        </w:r>
                      </w:p>
                    </w:tc>
                  </w:tr>
                </w:tbl>
                <w:p>
                  <w:pPr>
                    <w:pStyle w:val="TableContents"/>
                    <w:spacing w:before="0" w:after="283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6355" w:type="dxa"/>
                  <w:tcBorders/>
                  <w:shd w:fill="auto" w:val="clear"/>
                  <w:vAlign w:val="center"/>
                </w:tcPr>
                <w:p>
                  <w:pPr>
                    <w:pStyle w:val="TableContents"/>
                    <w:spacing w:before="0" w:after="283"/>
                    <w:jc w:val="left"/>
                    <w:rPr>
                      <w:rFonts w:ascii="arial;helvetica;sans-serif" w:hAnsi="arial;helvetica;sans-serif"/>
                      <w:sz w:val="14"/>
                    </w:rPr>
                  </w:pPr>
                  <w:r>
                    <w:rPr>
                      <w:rFonts w:ascii="arial;helvetica;sans-serif" w:hAnsi="arial;helvetica;sans-serif"/>
                      <w:sz w:val="14"/>
                    </w:rPr>
                    <w:t>Check this box to indicate that a transaction was made pursuant to a contract, instruction or written plan that is intended to satisfy the affirmative defense conditions of Rule 10b5-1(c). See Instruction 10.</w:t>
                  </w:r>
                </w:p>
              </w:tc>
            </w:tr>
          </w:tbl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2233"/>
        <w:gridCol w:w="903"/>
        <w:gridCol w:w="773"/>
        <w:gridCol w:w="599"/>
        <w:gridCol w:w="343"/>
        <w:gridCol w:w="1006"/>
        <w:gridCol w:w="440"/>
        <w:gridCol w:w="747"/>
        <w:gridCol w:w="1262"/>
        <w:gridCol w:w="981"/>
        <w:gridCol w:w="918"/>
      </w:tblGrid>
      <w:tr>
        <w:trPr>
          <w:tblHeader w:val="true"/>
        </w:trPr>
        <w:tc>
          <w:tcPr>
            <w:tcW w:w="10205" w:type="dxa"/>
            <w:gridSpan w:val="11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center"/>
              <w:rPr>
                <w:rFonts w:ascii="arial;helvetica;sans-serif" w:hAnsi="arial;helvetica;sans-serif"/>
                <w:b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Table I - Non-Derivative Securities Acquired, Disposed of, or Beneficially Owned</w:t>
            </w:r>
          </w:p>
        </w:tc>
      </w:tr>
      <w:tr>
        <w:trPr>
          <w:tblHeader w:val="true"/>
        </w:trPr>
        <w:tc>
          <w:tcPr>
            <w:tcW w:w="2233" w:type="dxa"/>
            <w:vMerge w:val="restart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1. Title of Security (Instr. 3) </w:t>
            </w:r>
          </w:p>
        </w:tc>
        <w:tc>
          <w:tcPr>
            <w:tcW w:w="903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2. Transaction Date (Month/Day/Year)</w:t>
            </w:r>
          </w:p>
        </w:tc>
        <w:tc>
          <w:tcPr>
            <w:tcW w:w="773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2A. Deemed Execution Date, if any (Month/Day/Year)</w:t>
            </w:r>
          </w:p>
        </w:tc>
        <w:tc>
          <w:tcPr>
            <w:tcW w:w="942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3. Transaction Code (Instr. 8) </w:t>
            </w:r>
          </w:p>
        </w:tc>
        <w:tc>
          <w:tcPr>
            <w:tcW w:w="2193" w:type="dxa"/>
            <w:gridSpan w:val="3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4. Securities Acquired (A) or Disposed Of (D) (Instr. 3, 4 and 5) </w:t>
            </w:r>
          </w:p>
        </w:tc>
        <w:tc>
          <w:tcPr>
            <w:tcW w:w="1262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5. Amount of Securities Beneficially Owned Following Reported Transaction(s) (Instr. 3 and 4) </w:t>
            </w:r>
          </w:p>
        </w:tc>
        <w:tc>
          <w:tcPr>
            <w:tcW w:w="98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6. Ownership Form: Direct (D) or Indirect (I) (Instr. 4) </w:t>
            </w:r>
          </w:p>
        </w:tc>
        <w:tc>
          <w:tcPr>
            <w:tcW w:w="918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7. Nature of Indirect Beneficial Ownership (Instr. 4) </w:t>
            </w:r>
          </w:p>
        </w:tc>
      </w:tr>
      <w:tr>
        <w:trPr>
          <w:tblHeader w:val="true"/>
        </w:trPr>
        <w:tc>
          <w:tcPr>
            <w:tcW w:w="2233" w:type="dxa"/>
            <w:vMerge w:val="continue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3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3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Code</w:t>
            </w:r>
          </w:p>
        </w:tc>
        <w:tc>
          <w:tcPr>
            <w:tcW w:w="34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V</w:t>
            </w:r>
          </w:p>
        </w:tc>
        <w:tc>
          <w:tcPr>
            <w:tcW w:w="10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Amount</w:t>
            </w:r>
          </w:p>
        </w:tc>
        <w:tc>
          <w:tcPr>
            <w:tcW w:w="44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(A) or (D)</w:t>
            </w:r>
          </w:p>
        </w:tc>
        <w:tc>
          <w:tcPr>
            <w:tcW w:w="74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Price</w:t>
            </w:r>
          </w:p>
        </w:tc>
        <w:tc>
          <w:tcPr>
            <w:tcW w:w="1262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8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23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4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14,911</w:t>
            </w:r>
          </w:p>
        </w:tc>
        <w:tc>
          <w:tcPr>
            <w:tcW w:w="44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4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26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736,378</w:t>
            </w:r>
          </w:p>
        </w:tc>
        <w:tc>
          <w:tcPr>
            <w:tcW w:w="9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I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By Trust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</w:tr>
      <w:tr>
        <w:trPr/>
        <w:tc>
          <w:tcPr>
            <w:tcW w:w="223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  <w:r>
              <w:rPr/>
              <w:t xml:space="preserve"> </w:t>
            </w:r>
          </w:p>
        </w:tc>
        <w:tc>
          <w:tcPr>
            <w:tcW w:w="34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6,299</w:t>
            </w:r>
          </w:p>
        </w:tc>
        <w:tc>
          <w:tcPr>
            <w:tcW w:w="44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4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26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730,079</w:t>
            </w:r>
          </w:p>
        </w:tc>
        <w:tc>
          <w:tcPr>
            <w:tcW w:w="9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I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By Trust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</w:tr>
      <w:tr>
        <w:trPr/>
        <w:tc>
          <w:tcPr>
            <w:tcW w:w="223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4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7,517</w:t>
            </w:r>
          </w:p>
        </w:tc>
        <w:tc>
          <w:tcPr>
            <w:tcW w:w="44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4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26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737,596</w:t>
            </w:r>
          </w:p>
        </w:tc>
        <w:tc>
          <w:tcPr>
            <w:tcW w:w="9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I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By Trust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</w:tr>
      <w:tr>
        <w:trPr/>
        <w:tc>
          <w:tcPr>
            <w:tcW w:w="223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  <w:r>
              <w:rPr/>
              <w:t xml:space="preserve"> </w:t>
            </w:r>
          </w:p>
        </w:tc>
        <w:tc>
          <w:tcPr>
            <w:tcW w:w="34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3,250</w:t>
            </w:r>
          </w:p>
        </w:tc>
        <w:tc>
          <w:tcPr>
            <w:tcW w:w="44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4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26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734,346</w:t>
            </w:r>
          </w:p>
        </w:tc>
        <w:tc>
          <w:tcPr>
            <w:tcW w:w="9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I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By Trust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</w:tr>
      <w:tr>
        <w:trPr/>
        <w:tc>
          <w:tcPr>
            <w:tcW w:w="223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4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6,151</w:t>
            </w:r>
          </w:p>
        </w:tc>
        <w:tc>
          <w:tcPr>
            <w:tcW w:w="44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4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26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740,497</w:t>
            </w:r>
          </w:p>
        </w:tc>
        <w:tc>
          <w:tcPr>
            <w:tcW w:w="9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I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By Trust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</w:tr>
      <w:tr>
        <w:trPr/>
        <w:tc>
          <w:tcPr>
            <w:tcW w:w="223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  <w:r>
              <w:rPr/>
              <w:t xml:space="preserve"> </w:t>
            </w:r>
          </w:p>
        </w:tc>
        <w:tc>
          <w:tcPr>
            <w:tcW w:w="34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2,610</w:t>
            </w:r>
          </w:p>
        </w:tc>
        <w:tc>
          <w:tcPr>
            <w:tcW w:w="44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4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26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737,887</w:t>
            </w:r>
          </w:p>
        </w:tc>
        <w:tc>
          <w:tcPr>
            <w:tcW w:w="9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I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By Trust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</w:tr>
      <w:tr>
        <w:trPr/>
        <w:tc>
          <w:tcPr>
            <w:tcW w:w="223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4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437,376</w:t>
            </w:r>
          </w:p>
        </w:tc>
        <w:tc>
          <w:tcPr>
            <w:tcW w:w="44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A</w:t>
            </w:r>
          </w:p>
        </w:tc>
        <w:tc>
          <w:tcPr>
            <w:tcW w:w="74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126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1,175,263</w:t>
            </w:r>
          </w:p>
        </w:tc>
        <w:tc>
          <w:tcPr>
            <w:tcW w:w="98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I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By Trust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</w:tr>
      <w:tr>
        <w:trPr/>
        <w:tc>
          <w:tcPr>
            <w:tcW w:w="223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Common Stock</w:t>
            </w:r>
          </w:p>
        </w:tc>
        <w:tc>
          <w:tcPr>
            <w:tcW w:w="903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04/15/2023</w:t>
            </w:r>
          </w:p>
        </w:tc>
        <w:tc>
          <w:tcPr>
            <w:tcW w:w="773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9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F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(2)</w:t>
            </w:r>
            <w:r>
              <w:rPr/>
              <w:t xml:space="preserve"> </w:t>
            </w:r>
          </w:p>
        </w:tc>
        <w:tc>
          <w:tcPr>
            <w:tcW w:w="343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0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184,738</w:t>
            </w:r>
          </w:p>
        </w:tc>
        <w:tc>
          <w:tcPr>
            <w:tcW w:w="44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D</w:t>
            </w:r>
          </w:p>
        </w:tc>
        <w:tc>
          <w:tcPr>
            <w:tcW w:w="747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40.29</w:t>
            </w:r>
            <w:r>
              <w:rPr/>
              <w:t xml:space="preserve"> </w:t>
            </w:r>
          </w:p>
        </w:tc>
        <w:tc>
          <w:tcPr>
            <w:tcW w:w="126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990,525</w:t>
            </w:r>
          </w:p>
        </w:tc>
        <w:tc>
          <w:tcPr>
            <w:tcW w:w="98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I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By Trust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(1)</w:t>
            </w:r>
            <w:r>
              <w:rPr/>
              <w:t xml:space="preserve"> </w:t>
            </w:r>
          </w:p>
        </w:tc>
      </w:tr>
    </w:tbl>
    <w:tbl>
      <w:tblPr>
        <w:tblW w:w="12959" w:type="dxa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980"/>
        <w:gridCol w:w="861"/>
        <w:gridCol w:w="891"/>
        <w:gridCol w:w="771"/>
        <w:gridCol w:w="591"/>
        <w:gridCol w:w="300"/>
        <w:gridCol w:w="816"/>
        <w:gridCol w:w="816"/>
        <w:gridCol w:w="906"/>
        <w:gridCol w:w="801"/>
        <w:gridCol w:w="891"/>
        <w:gridCol w:w="921"/>
        <w:gridCol w:w="801"/>
        <w:gridCol w:w="936"/>
        <w:gridCol w:w="831"/>
        <w:gridCol w:w="846"/>
      </w:tblGrid>
      <w:tr>
        <w:trPr>
          <w:tblHeader w:val="true"/>
        </w:trPr>
        <w:tc>
          <w:tcPr>
            <w:tcW w:w="12959" w:type="dxa"/>
            <w:gridSpan w:val="16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center"/>
              <w:rPr>
                <w:rFonts w:ascii="arial;helvetica;sans-serif" w:hAnsi="arial;helvetica;sans-serif"/>
                <w:b w:val="false"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Table II - Derivative Securities Acquired, Disposed of, or Beneficially Owned</w:t>
            </w:r>
            <w:r>
              <w:rPr>
                <w:rFonts w:ascii="arial;helvetica;sans-serif" w:hAnsi="arial;helvetica;sans-serif"/>
                <w:b w:val="false"/>
                <w:sz w:val="24"/>
              </w:rPr>
              <w:br/>
            </w:r>
            <w:r>
              <w:rPr>
                <w:rFonts w:ascii="arial;helvetica;sans-serif" w:hAnsi="arial;helvetica;sans-serif"/>
                <w:b/>
                <w:sz w:val="24"/>
              </w:rPr>
              <w:t>(e.g., puts, calls, warrants, options, convertible securities)</w:t>
            </w:r>
            <w:r>
              <w:rPr>
                <w:rFonts w:ascii="arial;helvetica;sans-serif" w:hAnsi="arial;helvetica;sans-serif"/>
                <w:b w:val="false"/>
                <w:sz w:val="24"/>
              </w:rPr>
              <w:t xml:space="preserve"> </w:t>
            </w:r>
          </w:p>
        </w:tc>
      </w:tr>
      <w:tr>
        <w:trPr>
          <w:tblHeader w:val="true"/>
        </w:trPr>
        <w:tc>
          <w:tcPr>
            <w:tcW w:w="980" w:type="dxa"/>
            <w:vMerge w:val="restart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1. Title of Derivative Security (Instr. 3) </w:t>
            </w:r>
          </w:p>
        </w:tc>
        <w:tc>
          <w:tcPr>
            <w:tcW w:w="86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2. Conversion or Exercise Price of Derivative Security </w:t>
            </w:r>
          </w:p>
        </w:tc>
        <w:tc>
          <w:tcPr>
            <w:tcW w:w="89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3. Transaction Date (Month/Day/Year)</w:t>
            </w:r>
          </w:p>
        </w:tc>
        <w:tc>
          <w:tcPr>
            <w:tcW w:w="77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3A. Deemed Execution Date, if any (Month/Day/Year)</w:t>
            </w:r>
          </w:p>
        </w:tc>
        <w:tc>
          <w:tcPr>
            <w:tcW w:w="891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4. Transaction Code (Instr. 8) </w:t>
            </w:r>
          </w:p>
        </w:tc>
        <w:tc>
          <w:tcPr>
            <w:tcW w:w="1632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5. Number of Derivative Securities Acquired (A) or Disposed of (D) (Instr. 3, 4 and 5) </w:t>
            </w:r>
          </w:p>
        </w:tc>
        <w:tc>
          <w:tcPr>
            <w:tcW w:w="1707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6. Date Exercisable and Expiration Date (Month/Day/Year)</w:t>
            </w:r>
          </w:p>
        </w:tc>
        <w:tc>
          <w:tcPr>
            <w:tcW w:w="1812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7. Title and Amount of Securities Underlying Derivative Security (Instr. 3 and 4) </w:t>
            </w:r>
          </w:p>
        </w:tc>
        <w:tc>
          <w:tcPr>
            <w:tcW w:w="80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8. Price of Derivative Security (Instr. 5) </w:t>
            </w:r>
          </w:p>
        </w:tc>
        <w:tc>
          <w:tcPr>
            <w:tcW w:w="93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9. Number of derivative Securities Beneficially Owned Following Reported Transaction(s) (Instr. 4) </w:t>
            </w:r>
          </w:p>
        </w:tc>
        <w:tc>
          <w:tcPr>
            <w:tcW w:w="83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10. Ownership Form: Direct (D) or Indirect (I) (Instr. 4) </w:t>
            </w:r>
          </w:p>
        </w:tc>
        <w:tc>
          <w:tcPr>
            <w:tcW w:w="84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11. Nature of Indirect Beneficial Ownership (Instr. 4) </w:t>
            </w:r>
          </w:p>
        </w:tc>
      </w:tr>
      <w:tr>
        <w:trPr>
          <w:tblHeader w:val="true"/>
        </w:trPr>
        <w:tc>
          <w:tcPr>
            <w:tcW w:w="980" w:type="dxa"/>
            <w:vMerge w:val="continue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6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Code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V</w:t>
            </w:r>
          </w:p>
        </w:tc>
        <w:tc>
          <w:tcPr>
            <w:tcW w:w="81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(A)</w:t>
            </w:r>
          </w:p>
        </w:tc>
        <w:tc>
          <w:tcPr>
            <w:tcW w:w="81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(D)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Date Exercisable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Expiration Date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Title</w:t>
            </w:r>
          </w:p>
        </w:tc>
        <w:tc>
          <w:tcPr>
            <w:tcW w:w="9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bottom"/>
          </w:tcPr>
          <w:p>
            <w:pPr>
              <w:pStyle w:val="TableHeading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Amount or Number of Shares</w:t>
            </w:r>
          </w:p>
        </w:tc>
        <w:tc>
          <w:tcPr>
            <w:tcW w:w="80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6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1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6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1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1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14,911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(4)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(4)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9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14,911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1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1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7,517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(5)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(5)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9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7,517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30,067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1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1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6,151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(6)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(6)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9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6,151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49,205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M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1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1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437,376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(7)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(7)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9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437,376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80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Restricted Stock Units</w:t>
            </w:r>
          </w:p>
        </w:tc>
        <w:tc>
          <w:tcPr>
            <w:tcW w:w="86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(3)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04/15/2023</w:t>
            </w:r>
          </w:p>
        </w:tc>
        <w:tc>
          <w:tcPr>
            <w:tcW w:w="77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A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1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132,459</w:t>
            </w:r>
          </w:p>
        </w:tc>
        <w:tc>
          <w:tcPr>
            <w:tcW w:w="81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(8)</w:t>
            </w:r>
            <w:r>
              <w:rPr/>
              <w:t xml:space="preserve"> 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highlight w:val="white"/>
              </w:rPr>
              <w:t>(8)</w:t>
            </w:r>
            <w:r>
              <w:rPr/>
              <w:t xml:space="preserve"> </w:t>
            </w:r>
          </w:p>
        </w:tc>
        <w:tc>
          <w:tcPr>
            <w:tcW w:w="8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Common Stock</w:t>
            </w:r>
          </w:p>
        </w:tc>
        <w:tc>
          <w:tcPr>
            <w:tcW w:w="92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highlight w:val="whit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</w:rPr>
              <w:t>132,459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14"/>
              </w:rPr>
              <w:t>$</w:t>
            </w:r>
            <w:r>
              <w:rPr>
                <w:rFonts w:ascii="Times;serif" w:hAnsi="Times;serif"/>
                <w:color w:val="0000FF"/>
                <w:sz w:val="20"/>
                <w:highlight w:val="white"/>
              </w:rPr>
              <w:t>0.00</w:t>
            </w:r>
            <w:r>
              <w:rPr/>
              <w:t xml:space="preserve"> </w:t>
            </w:r>
          </w:p>
        </w:tc>
        <w:tc>
          <w:tcPr>
            <w:tcW w:w="93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132,459</w:t>
            </w:r>
          </w:p>
        </w:tc>
        <w:tc>
          <w:tcPr>
            <w:tcW w:w="83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highlight w:val="white"/>
              </w:rPr>
            </w:pPr>
            <w:r>
              <w:rPr>
                <w:rFonts w:ascii="Times;serif" w:hAnsi="Times;serif"/>
                <w:color w:val="0000FF"/>
                <w:sz w:val="20"/>
                <w:highlight w:val="white"/>
              </w:rPr>
              <w:t>D</w:t>
            </w:r>
          </w:p>
        </w:tc>
        <w:tc>
          <w:tcPr>
            <w:tcW w:w="84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205"/>
      </w:tblGrid>
      <w:tr>
        <w:trPr/>
        <w:tc>
          <w:tcPr>
            <w:tcW w:w="10205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0"/>
              </w:rPr>
            </w:pPr>
            <w:r>
              <w:rPr>
                <w:rFonts w:ascii="arial;helvetica;sans-serif" w:hAnsi="arial;helvetica;sans-serif"/>
                <w:b/>
                <w:sz w:val="20"/>
              </w:rPr>
              <w:t>Explanation of Responses: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1. Shares held by Matthew and Laura Murphy as co-trustees of the Matthew and Laura Murphy Family Trust UTD 7/10/2007.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2. Surrender of shares in payment of tax withholding due as a result of the vesting of restricted stock units ("RSUs").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3. Each RSU represents a contingent right to receive one Marvell common share upon vesting.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4. This award fully vested on April 15, 2023.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5. The remaining RSUs will vest on 07/15/2023, 10/15/2023, 01/15/2024 and 04/15/2024.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6. The remaining RSUs will vest on 07/15/2023, 10/15/2023, 01/15/2024, 04/15/2024, 07/15/2024, 10/15/2024, 01/15/2025 and 04/15/2025.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7. This award is fully vested. Reflects the number of shares earned in respect of performance based RSUs granted on 04/15/2020. The achievement levels of the relative TSR performance metrics applicable to the award and the number of shares earned based on such results were certified on 04/14/2023.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8. The RSUs will vest in equal quarterly installments over three years, and were granted as part of the annual grant process.</w:t>
            </w:r>
          </w:p>
        </w:tc>
      </w:tr>
      <w:tr>
        <w:trPr/>
        <w:tc>
          <w:tcPr>
            <w:tcW w:w="10205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Remarks: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123"/>
        <w:gridCol w:w="2041"/>
        <w:gridCol w:w="2041"/>
      </w:tblGrid>
      <w:tr>
        <w:trPr/>
        <w:tc>
          <w:tcPr>
            <w:tcW w:w="6123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  <w:t>/s/ Matthew J. Murphy by Blair Walters as attorney-in-fact</w:t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</w:pPr>
            <w:r>
              <w:rPr>
                <w:rFonts w:ascii="Times;serif" w:hAnsi="Times;serif"/>
                <w:color w:val="0000FF"/>
                <w:sz w:val="24"/>
                <w:highlight w:val="white"/>
                <w:u w:val="single"/>
              </w:rPr>
              <w:t>04/18/2023</w:t>
            </w:r>
          </w:p>
        </w:tc>
      </w:tr>
      <w:tr>
        <w:trPr/>
        <w:tc>
          <w:tcPr>
            <w:tcW w:w="6123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** Signature of Reporting Person</w:t>
            </w:r>
          </w:p>
        </w:tc>
        <w:tc>
          <w:tcPr>
            <w:tcW w:w="2041" w:type="dxa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Date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Reminder: Report on a separate line for each class of securities beneficially owned directly or indirectly.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* If the form is filed by more than one reporting person,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Instruction 4 (b)(v).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** Intentional misstatements or omissions of facts constitute Federal Criminal Violations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18 U.S.C. 1001 and 15 U.S.C. 78ff(a).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Note: File three copies of this Form, one of which must be manually signed. If space is insufficient,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Instruction 6 for procedure.</w:t>
            </w:r>
          </w:p>
        </w:tc>
      </w:tr>
      <w:tr>
        <w:trPr/>
        <w:tc>
          <w:tcPr>
            <w:tcW w:w="10205" w:type="dxa"/>
            <w:gridSpan w:val="3"/>
            <w:tcBorders/>
            <w:shd w:fill="auto" w:val="clear"/>
            <w:vAlign w:val="center"/>
          </w:tcPr>
          <w:p>
            <w:pPr>
              <w:pStyle w:val="TableContents"/>
              <w:spacing w:before="0" w:after="283"/>
              <w:jc w:val="left"/>
              <w:rPr>
                <w:rFonts w:ascii="arial;helvetica;sans-serif" w:hAnsi="arial;helvetica;sans-serif"/>
                <w:b/>
                <w:sz w:val="20"/>
              </w:rPr>
            </w:pPr>
            <w:r>
              <w:rPr>
                <w:rFonts w:ascii="arial;helvetica;sans-serif" w:hAnsi="arial;helvetica;sans-serif"/>
                <w:b/>
                <w:sz w:val="20"/>
              </w:rPr>
              <w:t>Persons who respond to the collection of information contained in this form are not required to respond unless the form displays a currently valid OMB Number.</w:t>
            </w:r>
          </w:p>
        </w:tc>
      </w:tr>
    </w:tbl>
    <w:p>
      <w:pPr>
        <w:pStyle w:val="TextBody"/>
        <w:spacing w:before="0" w:after="283"/>
        <w:rPr/>
      </w:pPr>
      <w:r>
        <w:rP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 Unicode MS"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arial">
    <w:altName w:val="helvetica"/>
    <w:charset w:val="00"/>
    <w:family w:val="auto"/>
    <w:pitch w:val="default"/>
  </w:font>
  <w:font w:name="Times">
    <w:altName w:val="Times New Roman"/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1134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WenQuanYi Zen Hei Sharp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Liberation Sans Unicode MS" w:hAnsi="Liberation Sans Unicode MS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Liberation Sans" w:hAnsi="Liberation Sans"/>
      <w:sz w:val="28"/>
      <w:szCs w:val="28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List">
    <w:name w:val="List"/>
    <w:basedOn w:val="TextBody"/>
    <w:pPr/>
    <w:rPr>
      <w:rFonts w:cs="DejaVu Sans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https://cdn.kscope.io/insider-checkbox.png" TargetMode="External"/><Relationship Id="rId3" Type="http://schemas.openxmlformats.org/officeDocument/2006/relationships/hyperlink" Target="http://www.sec.gov/cgi-bin/browse-edgar?action=getcompany&amp;CIK=0001381430" TargetMode="External"/><Relationship Id="rId4" Type="http://schemas.openxmlformats.org/officeDocument/2006/relationships/hyperlink" Target="http://www.sec.gov/cgi-bin/browse-edgar?action=getcompany&amp;CIK=0001835632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LibreOffice/6.2.2.2$Linux_X86_64 LibreOffice_project/2b840030fec2aae0fd2658d8d4f9548af4e3518d</Application>
  <Pages>1</Pages>
  <Words>879</Words>
  <CharactersWithSpaces>5394</CharactersWithSpaces>
  <Paragraphs>229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