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0"/>
          <w:szCs w:val="20"/>
          <w:color w:val="auto"/>
        </w:rPr>
        <w:t>SEC Form 4</w:t>
      </w:r>
    </w:p>
    <w:p>
      <w:pPr>
        <w:spacing w:after="0" w:line="49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22" w:lineRule="exact"/>
        <w:rPr>
          <w:sz w:val="24"/>
          <w:szCs w:val="24"/>
          <w:color w:val="auto"/>
        </w:rPr>
      </w:pPr>
    </w:p>
    <w:p>
      <w:pPr>
        <w:ind w:left="360"/>
        <w:spacing w:after="0" w:line="255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1"/>
          <w:szCs w:val="11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1"/>
          <w:szCs w:val="11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1"/>
          <w:szCs w:val="11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33020</wp:posOffset>
            </wp:positionH>
            <wp:positionV relativeFrom="paragraph">
              <wp:posOffset>-236220</wp:posOffset>
            </wp:positionV>
            <wp:extent cx="128905" cy="12890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05" cy="128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8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47"/>
        </w:trPr>
        <w:tc>
          <w:tcPr>
            <w:tcW w:w="6260" w:type="dxa"/>
            <w:vAlign w:val="bottom"/>
          </w:tcPr>
          <w:p>
            <w:pPr>
              <w:jc w:val="center"/>
              <w:ind w:right="21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0"/>
                <w:szCs w:val="20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"/>
        </w:trPr>
        <w:tc>
          <w:tcPr>
            <w:tcW w:w="6260" w:type="dxa"/>
            <w:vAlign w:val="bottom"/>
            <w:vMerge w:val="restart"/>
          </w:tcPr>
          <w:p>
            <w:pPr>
              <w:jc w:val="center"/>
              <w:ind w:right="238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7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62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2"/>
        </w:trPr>
        <w:tc>
          <w:tcPr>
            <w:tcW w:w="62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260" w:type="dxa"/>
            <w:vAlign w:val="bottom"/>
            <w:vMerge w:val="restart"/>
          </w:tcPr>
          <w:p>
            <w:pPr>
              <w:jc w:val="center"/>
              <w:ind w:right="218"/>
              <w:spacing w:after="0" w:line="18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0"/>
                <w:szCs w:val="20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62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OMB Number: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jc w:val="right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6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8"/>
        </w:trPr>
        <w:tc>
          <w:tcPr>
            <w:tcW w:w="6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8"/>
        </w:trPr>
        <w:tc>
          <w:tcPr>
            <w:tcW w:w="6260" w:type="dxa"/>
            <w:vAlign w:val="bottom"/>
            <w:vMerge w:val="restart"/>
          </w:tcPr>
          <w:p>
            <w:pPr>
              <w:jc w:val="center"/>
              <w:ind w:right="21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7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hours per response: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62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26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5243195</wp:posOffset>
            </wp:positionH>
            <wp:positionV relativeFrom="paragraph">
              <wp:posOffset>-616585</wp:posOffset>
            </wp:positionV>
            <wp:extent cx="57785" cy="62992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" cy="629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3961765</wp:posOffset>
            </wp:positionH>
            <wp:positionV relativeFrom="paragraph">
              <wp:posOffset>-616585</wp:posOffset>
            </wp:positionV>
            <wp:extent cx="57785" cy="62992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" cy="629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-1661795</wp:posOffset>
            </wp:positionH>
            <wp:positionV relativeFrom="paragraph">
              <wp:posOffset>20955</wp:posOffset>
            </wp:positionV>
            <wp:extent cx="6995795" cy="941641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5795" cy="941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20" w:space="380"/>
            <w:col w:w="8480"/>
          </w:cols>
          <w:pgMar w:left="460" w:top="216" w:right="359" w:bottom="0" w:gutter="0" w:footer="0" w:header="0"/>
        </w:sectPr>
      </w:pP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Times New Roman" w:cs="Times New Roman" w:eastAsia="Times New Roman" w:hAnsi="Times New Roman"/>
          <w:sz w:val="20"/>
          <w:szCs w:val="20"/>
          <w:u w:val="single" w:color="auto"/>
          <w:color w:val="0000EE"/>
        </w:rPr>
      </w:pPr>
      <w:hyperlink r:id="rId12">
        <w:r>
          <w:rPr>
            <w:rFonts w:ascii="Times New Roman" w:cs="Times New Roman" w:eastAsia="Times New Roman" w:hAnsi="Times New Roman"/>
            <w:sz w:val="20"/>
            <w:szCs w:val="20"/>
            <w:u w:val="single" w:color="auto"/>
            <w:color w:val="0000EE"/>
          </w:rPr>
          <w:t>Koopmans Chris</w:t>
        </w:r>
      </w:hyperlink>
    </w:p>
    <w:p>
      <w:pPr>
        <w:spacing w:after="0" w:line="294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7"/>
        </w:trPr>
        <w:tc>
          <w:tcPr>
            <w:tcW w:w="8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24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8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3"/>
              </w:rPr>
              <w:t>(Middle)</w:t>
            </w:r>
          </w:p>
        </w:tc>
      </w:tr>
      <w:tr>
        <w:trPr>
          <w:trHeight w:val="264"/>
        </w:trPr>
        <w:tc>
          <w:tcPr>
            <w:tcW w:w="20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5488 MARVELL LANE</w:t>
            </w: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472"/>
        </w:trPr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26"/>
        </w:trPr>
        <w:tc>
          <w:tcPr>
            <w:tcW w:w="20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SANTA CLARA CA</w:t>
            </w:r>
          </w:p>
        </w:tc>
        <w:tc>
          <w:tcPr>
            <w:tcW w:w="8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95054</w:t>
            </w:r>
          </w:p>
        </w:tc>
      </w:tr>
      <w:tr>
        <w:trPr>
          <w:trHeight w:val="460"/>
        </w:trPr>
        <w:tc>
          <w:tcPr>
            <w:tcW w:w="8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4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8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6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1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5.</w:t>
            </w:r>
          </w:p>
        </w:tc>
        <w:tc>
          <w:tcPr>
            <w:tcW w:w="31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9"/>
        </w:trPr>
        <w:tc>
          <w:tcPr>
            <w:tcW w:w="3840" w:type="dxa"/>
            <w:vAlign w:val="bottom"/>
            <w:gridSpan w:val="4"/>
          </w:tcPr>
          <w:p>
            <w:pPr>
              <w:ind w:left="80"/>
              <w:spacing w:after="0" w:line="139" w:lineRule="exact"/>
              <w:rPr>
                <w:rFonts w:ascii="Times New Roman" w:cs="Times New Roman" w:eastAsia="Times New Roman" w:hAnsi="Times New Roman"/>
                <w:sz w:val="16"/>
                <w:szCs w:val="16"/>
                <w:color w:val="0000EE"/>
              </w:rPr>
            </w:pPr>
            <w:hyperlink r:id="rId13">
              <w:r>
                <w:rPr>
                  <w:rFonts w:ascii="Times New Roman" w:cs="Times New Roman" w:eastAsia="Times New Roman" w:hAnsi="Times New Roman"/>
                  <w:sz w:val="16"/>
                  <w:szCs w:val="16"/>
                  <w:color w:val="0000EE"/>
                </w:rPr>
                <w:t xml:space="preserve">Marvell Technology, Inc. </w:t>
              </w:r>
            </w:hyperlink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00"/>
              </w:rPr>
              <w:t>[</w:t>
            </w: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EE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MRVL</w:t>
            </w: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EE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00"/>
              </w:rPr>
              <w:t>]</w:t>
            </w:r>
          </w:p>
        </w:tc>
        <w:tc>
          <w:tcPr>
            <w:tcW w:w="18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9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46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2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9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X</w:t>
            </w:r>
          </w:p>
        </w:tc>
        <w:tc>
          <w:tcPr>
            <w:tcW w:w="13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46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64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ind w:left="100"/>
              <w:spacing w:after="0" w:line="11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460" w:type="dxa"/>
            <w:vAlign w:val="bottom"/>
          </w:tcPr>
          <w:p>
            <w:pPr>
              <w:ind w:left="340"/>
              <w:spacing w:after="0" w:line="11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21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04/15/2023</w:t>
            </w:r>
          </w:p>
        </w:tc>
        <w:tc>
          <w:tcPr>
            <w:tcW w:w="1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0" w:type="dxa"/>
            <w:vAlign w:val="bottom"/>
            <w:gridSpan w:val="2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EVP, Chief Operations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5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1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6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1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6.</w:t>
            </w:r>
          </w:p>
        </w:tc>
        <w:tc>
          <w:tcPr>
            <w:tcW w:w="31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39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100"/>
        <w:spacing w:after="0" w:line="238" w:lineRule="auto"/>
        <w:tabs>
          <w:tab w:leader="none" w:pos="442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6"/>
          <w:szCs w:val="16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88" w:lineRule="exact"/>
        <w:rPr>
          <w:sz w:val="24"/>
          <w:szCs w:val="24"/>
          <w:color w:val="auto"/>
        </w:rPr>
      </w:pPr>
    </w:p>
    <w:p>
      <w:pPr>
        <w:ind w:left="4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2" w:lineRule="exact"/>
        <w:rPr>
          <w:sz w:val="24"/>
          <w:szCs w:val="24"/>
          <w:color w:val="auto"/>
        </w:rPr>
      </w:pPr>
    </w:p>
    <w:p>
      <w:pPr>
        <w:ind w:left="4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130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Rule 10b5-1(c) Transaction Indication</w:t>
      </w:r>
    </w:p>
    <w:p>
      <w:pPr>
        <w:spacing w:after="0" w:line="216" w:lineRule="exact"/>
        <w:rPr>
          <w:sz w:val="24"/>
          <w:szCs w:val="24"/>
          <w:color w:val="auto"/>
        </w:rPr>
      </w:pPr>
    </w:p>
    <w:p>
      <w:pPr>
        <w:ind w:left="320" w:right="400"/>
        <w:spacing w:after="0" w:line="284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1"/>
          <w:szCs w:val="11"/>
          <w:color w:val="auto"/>
        </w:rPr>
        <w:t>Check this box to indicate that a transaction was made pursuant to a contract, instruction or written plan that is intended to satisfy the affirmative defense conditions of Rule 10b5-1(c). See Instruction 10.</w:t>
      </w:r>
    </w:p>
    <w:p>
      <w:pPr>
        <w:spacing w:after="0" w:line="16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120" w:space="720"/>
            <w:col w:w="7240"/>
          </w:cols>
          <w:pgMar w:left="460" w:top="216" w:right="359" w:bottom="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2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20" w:type="dxa"/>
            <w:vAlign w:val="bottom"/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3.</w:t>
            </w:r>
          </w:p>
        </w:tc>
        <w:tc>
          <w:tcPr>
            <w:tcW w:w="1920" w:type="dxa"/>
            <w:vAlign w:val="bottom"/>
            <w:gridSpan w:val="4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920" w:type="dxa"/>
            <w:vAlign w:val="bottom"/>
            <w:gridSpan w:val="4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jc w:val="center"/>
              <w:ind w:left="6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5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if any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8)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Reported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  <w:gridSpan w:val="4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Code  V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Amount</w:t>
            </w:r>
          </w:p>
        </w:tc>
        <w:tc>
          <w:tcPr>
            <w:tcW w:w="66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(A) or</w:t>
            </w:r>
          </w:p>
        </w:tc>
        <w:tc>
          <w:tcPr>
            <w:tcW w:w="56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Price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(D)</w:t>
            </w:r>
          </w:p>
        </w:tc>
        <w:tc>
          <w:tcPr>
            <w:tcW w:w="5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0.00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4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Common Stock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jc w:val="center"/>
              <w:ind w:left="66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04/15/2023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center"/>
              <w:ind w:right="26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86"/>
              </w:rPr>
              <w:t>M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ind w:left="8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2,320</w:t>
            </w:r>
          </w:p>
        </w:tc>
        <w:tc>
          <w:tcPr>
            <w:tcW w:w="660" w:type="dxa"/>
            <w:vAlign w:val="bottom"/>
          </w:tcPr>
          <w:p>
            <w:pPr>
              <w:jc w:val="center"/>
              <w:ind w:left="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A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jc w:val="right"/>
              <w:ind w:right="3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115,978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I</w:t>
            </w:r>
          </w:p>
        </w:tc>
        <w:tc>
          <w:tcPr>
            <w:tcW w:w="84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Trust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3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40.29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4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Common Stock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jc w:val="center"/>
              <w:ind w:left="66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04/15/2023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center"/>
              <w:ind w:right="263"/>
              <w:spacing w:after="0" w:line="20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3"/>
                <w:szCs w:val="23"/>
                <w:color w:val="0000FF"/>
                <w:w w:val="88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0"/>
                <w:szCs w:val="10"/>
                <w:color w:val="008000"/>
                <w:w w:val="88"/>
              </w:rPr>
              <w:t>(2)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ind w:left="8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1,151</w:t>
            </w:r>
          </w:p>
        </w:tc>
        <w:tc>
          <w:tcPr>
            <w:tcW w:w="660" w:type="dxa"/>
            <w:vAlign w:val="bottom"/>
          </w:tcPr>
          <w:p>
            <w:pPr>
              <w:jc w:val="center"/>
              <w:ind w:left="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D</w:t>
            </w:r>
          </w:p>
        </w:tc>
        <w:tc>
          <w:tcPr>
            <w:tcW w:w="5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jc w:val="right"/>
              <w:ind w:right="3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114,827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I</w:t>
            </w:r>
          </w:p>
        </w:tc>
        <w:tc>
          <w:tcPr>
            <w:tcW w:w="84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Trust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3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0.00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4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Common Stock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jc w:val="center"/>
              <w:ind w:left="66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04/15/2023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center"/>
              <w:ind w:right="26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86"/>
              </w:rPr>
              <w:t>M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ind w:left="8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1,384</w:t>
            </w:r>
          </w:p>
        </w:tc>
        <w:tc>
          <w:tcPr>
            <w:tcW w:w="660" w:type="dxa"/>
            <w:vAlign w:val="bottom"/>
          </w:tcPr>
          <w:p>
            <w:pPr>
              <w:jc w:val="center"/>
              <w:ind w:left="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A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jc w:val="right"/>
              <w:ind w:right="3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116,211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I</w:t>
            </w:r>
          </w:p>
        </w:tc>
        <w:tc>
          <w:tcPr>
            <w:tcW w:w="84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Trust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3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40.29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4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Common Stock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jc w:val="center"/>
              <w:ind w:left="66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04/15/2023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center"/>
              <w:ind w:right="263"/>
              <w:spacing w:after="0" w:line="20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3"/>
                <w:szCs w:val="23"/>
                <w:color w:val="0000FF"/>
                <w:w w:val="88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0"/>
                <w:szCs w:val="10"/>
                <w:color w:val="008000"/>
                <w:w w:val="88"/>
              </w:rPr>
              <w:t>(2)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ind w:left="8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687</w:t>
            </w:r>
          </w:p>
        </w:tc>
        <w:tc>
          <w:tcPr>
            <w:tcW w:w="660" w:type="dxa"/>
            <w:vAlign w:val="bottom"/>
          </w:tcPr>
          <w:p>
            <w:pPr>
              <w:jc w:val="center"/>
              <w:ind w:left="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D</w:t>
            </w:r>
          </w:p>
        </w:tc>
        <w:tc>
          <w:tcPr>
            <w:tcW w:w="5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jc w:val="right"/>
              <w:ind w:right="3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115,524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I</w:t>
            </w:r>
          </w:p>
        </w:tc>
        <w:tc>
          <w:tcPr>
            <w:tcW w:w="84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Trust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3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0.00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4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Common Stock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jc w:val="center"/>
              <w:ind w:left="66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04/15/2023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center"/>
              <w:ind w:right="26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86"/>
              </w:rPr>
              <w:t>M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ind w:left="8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2,187</w:t>
            </w:r>
          </w:p>
        </w:tc>
        <w:tc>
          <w:tcPr>
            <w:tcW w:w="660" w:type="dxa"/>
            <w:vAlign w:val="bottom"/>
          </w:tcPr>
          <w:p>
            <w:pPr>
              <w:jc w:val="center"/>
              <w:ind w:left="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A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jc w:val="right"/>
              <w:ind w:right="3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117,711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I</w:t>
            </w:r>
          </w:p>
        </w:tc>
        <w:tc>
          <w:tcPr>
            <w:tcW w:w="84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Trust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3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40.29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4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Common Stock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jc w:val="center"/>
              <w:ind w:left="66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04/15/2023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center"/>
              <w:ind w:right="263"/>
              <w:spacing w:after="0" w:line="20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3"/>
                <w:szCs w:val="23"/>
                <w:color w:val="0000FF"/>
                <w:w w:val="88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0"/>
                <w:szCs w:val="10"/>
                <w:color w:val="008000"/>
                <w:w w:val="88"/>
              </w:rPr>
              <w:t>(2)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ind w:left="8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1,085</w:t>
            </w:r>
          </w:p>
        </w:tc>
        <w:tc>
          <w:tcPr>
            <w:tcW w:w="660" w:type="dxa"/>
            <w:vAlign w:val="bottom"/>
          </w:tcPr>
          <w:p>
            <w:pPr>
              <w:jc w:val="center"/>
              <w:ind w:left="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D</w:t>
            </w:r>
          </w:p>
        </w:tc>
        <w:tc>
          <w:tcPr>
            <w:tcW w:w="5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jc w:val="right"/>
              <w:ind w:right="3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116,626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I</w:t>
            </w:r>
          </w:p>
        </w:tc>
        <w:tc>
          <w:tcPr>
            <w:tcW w:w="84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Trust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3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0.00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4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Common Stock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jc w:val="center"/>
              <w:ind w:left="66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04/15/2023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center"/>
              <w:ind w:right="26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86"/>
              </w:rPr>
              <w:t>M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ind w:left="8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1,367</w:t>
            </w:r>
          </w:p>
        </w:tc>
        <w:tc>
          <w:tcPr>
            <w:tcW w:w="660" w:type="dxa"/>
            <w:vAlign w:val="bottom"/>
          </w:tcPr>
          <w:p>
            <w:pPr>
              <w:jc w:val="center"/>
              <w:ind w:left="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A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jc w:val="right"/>
              <w:ind w:right="3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117,993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I</w:t>
            </w:r>
          </w:p>
        </w:tc>
        <w:tc>
          <w:tcPr>
            <w:tcW w:w="84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Trust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3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40.29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4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Common Stock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jc w:val="center"/>
              <w:ind w:left="66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04/15/2023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center"/>
              <w:ind w:right="263"/>
              <w:spacing w:after="0" w:line="20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3"/>
                <w:szCs w:val="23"/>
                <w:color w:val="0000FF"/>
                <w:w w:val="88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0"/>
                <w:szCs w:val="10"/>
                <w:color w:val="008000"/>
                <w:w w:val="88"/>
              </w:rPr>
              <w:t>(2)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ind w:left="8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678</w:t>
            </w:r>
          </w:p>
        </w:tc>
        <w:tc>
          <w:tcPr>
            <w:tcW w:w="660" w:type="dxa"/>
            <w:vAlign w:val="bottom"/>
          </w:tcPr>
          <w:p>
            <w:pPr>
              <w:jc w:val="center"/>
              <w:ind w:left="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D</w:t>
            </w:r>
          </w:p>
        </w:tc>
        <w:tc>
          <w:tcPr>
            <w:tcW w:w="5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jc w:val="right"/>
              <w:ind w:right="3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117,315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I</w:t>
            </w:r>
          </w:p>
        </w:tc>
        <w:tc>
          <w:tcPr>
            <w:tcW w:w="84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Trust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3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0.00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4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Common Stock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jc w:val="center"/>
              <w:ind w:left="66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04/15/2023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center"/>
              <w:ind w:right="26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86"/>
              </w:rPr>
              <w:t>M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ind w:left="8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55,668</w:t>
            </w:r>
          </w:p>
        </w:tc>
        <w:tc>
          <w:tcPr>
            <w:tcW w:w="660" w:type="dxa"/>
            <w:vAlign w:val="bottom"/>
          </w:tcPr>
          <w:p>
            <w:pPr>
              <w:jc w:val="center"/>
              <w:ind w:left="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A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jc w:val="right"/>
              <w:ind w:right="3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172,983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I</w:t>
            </w:r>
          </w:p>
        </w:tc>
        <w:tc>
          <w:tcPr>
            <w:tcW w:w="84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Trust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3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40.29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4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Common Stock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jc w:val="center"/>
              <w:ind w:left="66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04/15/2023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center"/>
              <w:ind w:right="263"/>
              <w:spacing w:after="0" w:line="20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3"/>
                <w:szCs w:val="23"/>
                <w:color w:val="0000FF"/>
                <w:w w:val="88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0"/>
                <w:szCs w:val="10"/>
                <w:color w:val="008000"/>
                <w:w w:val="88"/>
              </w:rPr>
              <w:t>(2)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ind w:left="8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27,601</w:t>
            </w:r>
          </w:p>
        </w:tc>
        <w:tc>
          <w:tcPr>
            <w:tcW w:w="660" w:type="dxa"/>
            <w:vAlign w:val="bottom"/>
          </w:tcPr>
          <w:p>
            <w:pPr>
              <w:jc w:val="center"/>
              <w:ind w:left="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D</w:t>
            </w:r>
          </w:p>
        </w:tc>
        <w:tc>
          <w:tcPr>
            <w:tcW w:w="5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jc w:val="right"/>
              <w:ind w:right="3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145,382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I</w:t>
            </w:r>
          </w:p>
        </w:tc>
        <w:tc>
          <w:tcPr>
            <w:tcW w:w="84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Trust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3"/>
        </w:trPr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40" w:type="dxa"/>
            <w:vAlign w:val="bottom"/>
            <w:tcBorders>
              <w:top w:val="single" w:sz="8" w:color="2C2C2C"/>
            </w:tcBorders>
            <w:gridSpan w:val="11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5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540" w:type="dxa"/>
            <w:vAlign w:val="bottom"/>
            <w:gridSpan w:val="9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2.</w:t>
            </w:r>
          </w:p>
        </w:tc>
        <w:tc>
          <w:tcPr>
            <w:tcW w:w="10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4.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5. Number of</w:t>
            </w:r>
          </w:p>
        </w:tc>
        <w:tc>
          <w:tcPr>
            <w:tcW w:w="14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4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Date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4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220" w:type="dxa"/>
            <w:vAlign w:val="bottom"/>
            <w:gridSpan w:val="3"/>
          </w:tcPr>
          <w:p>
            <w:pPr>
              <w:jc w:val="center"/>
              <w:ind w:righ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6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if any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Security</w:t>
            </w: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  <w:w w:val="98"/>
              </w:rPr>
              <w:t>Securities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4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8)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Acquired (A) or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4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Disposed of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4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(D) (Instr. 3, 4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6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and 5)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Reported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Amount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Number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of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Code  V</w:t>
            </w:r>
          </w:p>
        </w:tc>
        <w:tc>
          <w:tcPr>
            <w:tcW w:w="52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(A)</w:t>
            </w:r>
          </w:p>
        </w:tc>
        <w:tc>
          <w:tcPr>
            <w:tcW w:w="540" w:type="dxa"/>
            <w:vAlign w:val="bottom"/>
          </w:tcPr>
          <w:p>
            <w:pPr>
              <w:jc w:val="right"/>
              <w:ind w:righ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(D)</w:t>
            </w: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Date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Title</w:t>
            </w: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Shares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2,320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  <w:vMerge w:val="restart"/>
          </w:tcPr>
          <w:p>
            <w:pPr>
              <w:jc w:val="right"/>
              <w:ind w:right="181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04/15/2023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center"/>
              <w:ind w:right="282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jc w:val="right"/>
              <w:ind w:right="8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2,320</w:t>
            </w: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jc w:val="right"/>
              <w:ind w:right="62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32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7007225</wp:posOffset>
            </wp:positionH>
            <wp:positionV relativeFrom="paragraph">
              <wp:posOffset>-1817370</wp:posOffset>
            </wp:positionV>
            <wp:extent cx="28575" cy="189801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" cy="189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080"/>
          </w:cols>
          <w:pgMar w:left="460" w:top="216" w:right="359" w:bottom="0" w:gutter="0" w:footer="0" w:header="0"/>
          <w:type w:val="continuous"/>
        </w:sectPr>
      </w:pPr>
    </w:p>
    <w:bookmarkStart w:id="1" w:name="page2"/>
    <w:bookmarkEnd w:id="1"/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b w:val="1"/>
          <w:bCs w:val="1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280670</wp:posOffset>
            </wp:positionH>
            <wp:positionV relativeFrom="page">
              <wp:posOffset>88900</wp:posOffset>
            </wp:positionV>
            <wp:extent cx="7047230" cy="320357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7230" cy="3203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t>Table II - Derivative Securities Acquired, Disposed of, or Beneficially Owned</w:t>
      </w:r>
    </w:p>
    <w:p>
      <w:pPr>
        <w:spacing w:after="0" w:line="22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8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27"/>
        </w:trPr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2.</w:t>
            </w:r>
          </w:p>
        </w:tc>
        <w:tc>
          <w:tcPr>
            <w:tcW w:w="10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4.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5. Number of</w:t>
            </w:r>
          </w:p>
        </w:tc>
        <w:tc>
          <w:tcPr>
            <w:tcW w:w="14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68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10.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Date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4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68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if any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Form: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8)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Acquired (A) or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Disposed of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Owned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(D) (Instr. 3, 4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and 5)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9"/>
        </w:trPr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Amount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or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Number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of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5"/>
        </w:trPr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Code  V</w:t>
            </w:r>
          </w:p>
        </w:tc>
        <w:tc>
          <w:tcPr>
            <w:tcW w:w="5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(A)</w:t>
            </w:r>
          </w:p>
        </w:tc>
        <w:tc>
          <w:tcPr>
            <w:tcW w:w="4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(D)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Title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Shares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7"/>
        </w:trPr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jc w:val="right"/>
              <w:ind w:right="26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(5)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1,384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  <w:vMerge w:val="restart"/>
          </w:tcPr>
          <w:p>
            <w:pPr>
              <w:jc w:val="center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7"/>
              </w:rPr>
              <w:t>04/15/2023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14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  <w:vMerge w:val="restart"/>
          </w:tcPr>
          <w:p>
            <w:pPr>
              <w:jc w:val="center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5"/>
              </w:rPr>
              <w:t>1,384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920" w:type="dxa"/>
            <w:vAlign w:val="bottom"/>
            <w:vMerge w:val="restart"/>
          </w:tcPr>
          <w:p>
            <w:pPr>
              <w:jc w:val="center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5"/>
              </w:rPr>
              <w:t>5,536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32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7"/>
        </w:trPr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jc w:val="right"/>
              <w:ind w:right="26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(6)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2,187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  <w:vMerge w:val="restart"/>
          </w:tcPr>
          <w:p>
            <w:pPr>
              <w:jc w:val="center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7"/>
              </w:rPr>
              <w:t>04/15/2023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14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  <w:vMerge w:val="restart"/>
          </w:tcPr>
          <w:p>
            <w:pPr>
              <w:jc w:val="center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5"/>
              </w:rPr>
              <w:t>2,187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920" w:type="dxa"/>
            <w:vAlign w:val="bottom"/>
            <w:vMerge w:val="restart"/>
          </w:tcPr>
          <w:p>
            <w:pPr>
              <w:jc w:val="center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17,496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32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7"/>
        </w:trPr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jc w:val="right"/>
              <w:ind w:right="26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(7)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(7)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1,367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  <w:vMerge w:val="restart"/>
          </w:tcPr>
          <w:p>
            <w:pPr>
              <w:jc w:val="center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7"/>
              </w:rPr>
              <w:t>04/15/2023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14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  <w:vMerge w:val="restart"/>
          </w:tcPr>
          <w:p>
            <w:pPr>
              <w:jc w:val="center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5"/>
              </w:rPr>
              <w:t>1,367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920" w:type="dxa"/>
            <w:vAlign w:val="bottom"/>
            <w:vMerge w:val="restart"/>
          </w:tcPr>
          <w:p>
            <w:pPr>
              <w:jc w:val="center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10,935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32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7"/>
        </w:trPr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jc w:val="right"/>
              <w:ind w:right="26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(8)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(8)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55,668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68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jc w:val="center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7"/>
              </w:rPr>
              <w:t>04/15/2023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1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jc w:val="center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55,668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spacing w:after="0" w:line="1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920" w:type="dxa"/>
            <w:vAlign w:val="bottom"/>
          </w:tcPr>
          <w:p>
            <w:pPr>
              <w:jc w:val="center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1"/>
              </w:rPr>
              <w:t>0</w:t>
            </w:r>
          </w:p>
        </w:tc>
        <w:tc>
          <w:tcPr>
            <w:tcW w:w="720" w:type="dxa"/>
            <w:vAlign w:val="bottom"/>
          </w:tcPr>
          <w:p>
            <w:pPr>
              <w:ind w:left="3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0"/>
        </w:trPr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16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7"/>
        </w:trPr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jc w:val="right"/>
              <w:ind w:right="26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(9)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(9)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53,965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68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jc w:val="center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7"/>
              </w:rPr>
              <w:t>04/15/2023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1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A</w:t>
            </w:r>
          </w:p>
        </w:tc>
        <w:tc>
          <w:tcPr>
            <w:tcW w:w="500" w:type="dxa"/>
            <w:vAlign w:val="bottom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53,965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spacing w:after="0" w:line="1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920" w:type="dxa"/>
            <w:vAlign w:val="bottom"/>
          </w:tcPr>
          <w:p>
            <w:pPr>
              <w:jc w:val="center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53,965</w:t>
            </w:r>
          </w:p>
        </w:tc>
        <w:tc>
          <w:tcPr>
            <w:tcW w:w="720" w:type="dxa"/>
            <w:vAlign w:val="bottom"/>
          </w:tcPr>
          <w:p>
            <w:pPr>
              <w:ind w:left="3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0"/>
        </w:trPr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16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89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41" w:lineRule="exact"/>
        <w:rPr>
          <w:sz w:val="20"/>
          <w:szCs w:val="20"/>
          <w:color w:val="auto"/>
        </w:rPr>
      </w:pPr>
    </w:p>
    <w:p>
      <w:pPr>
        <w:ind w:left="140" w:hanging="120"/>
        <w:spacing w:after="0"/>
        <w:tabs>
          <w:tab w:leader="none" w:pos="14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Shares held by the Christopher R. Koopmans and Heather J. Koopmans Family Trust.</w:t>
      </w:r>
    </w:p>
    <w:p>
      <w:pPr>
        <w:spacing w:after="0" w:line="40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40" w:hanging="120"/>
        <w:spacing w:after="0"/>
        <w:tabs>
          <w:tab w:leader="none" w:pos="14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0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40" w:hanging="120"/>
        <w:spacing w:after="0"/>
        <w:tabs>
          <w:tab w:leader="none" w:pos="14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Each RSU represents a contingent right to receive one Marvell common share upon vesting.</w:t>
      </w:r>
    </w:p>
    <w:p>
      <w:pPr>
        <w:spacing w:after="0" w:line="40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40" w:hanging="120"/>
        <w:spacing w:after="0"/>
        <w:tabs>
          <w:tab w:leader="none" w:pos="14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This award fully vested on April 15, 2023.</w:t>
      </w:r>
    </w:p>
    <w:p>
      <w:pPr>
        <w:spacing w:after="0" w:line="40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40" w:hanging="120"/>
        <w:spacing w:after="0"/>
        <w:tabs>
          <w:tab w:leader="none" w:pos="14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will vest on 07/15/2023, 10/15/2023, 01/15/2024 and 04/15/2024.</w:t>
      </w:r>
    </w:p>
    <w:p>
      <w:pPr>
        <w:spacing w:after="0" w:line="40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40" w:hanging="120"/>
        <w:spacing w:after="0"/>
        <w:tabs>
          <w:tab w:leader="none" w:pos="14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will vest on 07/15/2023, 10/15/2023, 01/15/2024, 04/15/2024, 07/15/2024, 10/15/2024, 01/15/2025 and 04/15/2025.</w:t>
      </w:r>
    </w:p>
    <w:p>
      <w:pPr>
        <w:spacing w:after="0" w:line="40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40" w:hanging="120"/>
        <w:spacing w:after="0"/>
        <w:tabs>
          <w:tab w:leader="none" w:pos="14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will vest on 07/15/2023, 10/15/2023, 01/15/2024, 04/15/2024, 07/15/2024, 10/15/2024, 01/15/2025 and 04/15/2025.</w:t>
      </w:r>
    </w:p>
    <w:p>
      <w:pPr>
        <w:spacing w:after="0" w:line="40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20" w:right="260"/>
        <w:spacing w:after="0" w:line="249" w:lineRule="auto"/>
        <w:tabs>
          <w:tab w:leader="none" w:pos="147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This award is fully vested. Reflects the number of shares earned in respect of performance based RSUs granted on 04/15/2020. The achievement levels of the relative TSR performance metrics applicable to the award and the number of shares earned based on such results were certified on 04/14/2023.</w:t>
      </w:r>
    </w:p>
    <w:p>
      <w:pPr>
        <w:spacing w:after="0" w:line="19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40" w:hanging="120"/>
        <w:spacing w:after="0"/>
        <w:tabs>
          <w:tab w:leader="none" w:pos="14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RSUs will vest in equal quarterly installments over three years, and were granted as part of the annual grant process.</w:t>
      </w:r>
    </w:p>
    <w:p>
      <w:pPr>
        <w:spacing w:after="0" w:line="41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b w:val="1"/>
          <w:bCs w:val="1"/>
          <w:color w:val="auto"/>
        </w:rPr>
        <w:t>Remarks:</w:t>
      </w:r>
    </w:p>
    <w:p>
      <w:pPr>
        <w:spacing w:after="0" w:line="127" w:lineRule="exact"/>
        <w:rPr>
          <w:sz w:val="20"/>
          <w:szCs w:val="20"/>
          <w:color w:val="auto"/>
        </w:rPr>
      </w:pPr>
    </w:p>
    <w:tbl>
      <w:tblPr>
        <w:tblLayout w:type="fixed"/>
        <w:tblInd w:w="65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19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/s/ Christopher Koopmans by</w:t>
            </w:r>
          </w:p>
        </w:tc>
        <w:tc>
          <w:tcPr>
            <w:tcW w:w="260" w:type="dxa"/>
            <w:vAlign w:val="bottom"/>
            <w:gridSpan w:val="2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  <w:w w:val="98"/>
              </w:rPr>
              <w:t>04/18/2023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7"/>
        </w:trPr>
        <w:tc>
          <w:tcPr>
            <w:tcW w:w="21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Blair Walters as attorney-in-fact</w:t>
            </w:r>
          </w:p>
        </w:tc>
        <w:tc>
          <w:tcPr>
            <w:tcW w:w="80" w:type="dxa"/>
            <w:vAlign w:val="bottom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7"/>
        </w:trPr>
        <w:tc>
          <w:tcPr>
            <w:tcW w:w="2120" w:type="dxa"/>
            <w:vAlign w:val="bottom"/>
            <w:tcBorders>
              <w:bottom w:val="single" w:sz="8" w:color="auto"/>
            </w:tcBorders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2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4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41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1" w:lineRule="exact"/>
        <w:rPr>
          <w:sz w:val="20"/>
          <w:szCs w:val="20"/>
          <w:color w:val="auto"/>
        </w:rPr>
      </w:pPr>
    </w:p>
    <w:p>
      <w:pPr>
        <w:jc w:val="both"/>
        <w:ind w:left="20" w:right="3700"/>
        <w:spacing w:after="0" w:line="331" w:lineRule="auto"/>
        <w:tabs>
          <w:tab w:leader="none" w:pos="154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2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40"/>
      </w:cols>
      <w:pgMar w:left="480" w:top="190" w:right="37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2" Type="http://schemas.openxmlformats.org/officeDocument/2006/relationships/hyperlink" Target="http://www.sec.gov/cgi-bin/browse-edgar?action=getcompany&amp;CIK=0001676204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2023-04-18T16:42:02Z</dcterms:created>
  <dcterms:modified xsi:type="dcterms:W3CDTF">2023-04-18T16:42:02Z</dcterms:modified>
</cp:coreProperties>
</file>