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SEC Form 4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3" w:lineRule="exact"/>
        <w:rPr>
          <w:sz w:val="24"/>
          <w:szCs w:val="24"/>
          <w:color w:val="auto"/>
        </w:rPr>
      </w:pPr>
    </w:p>
    <w:p>
      <w:pPr>
        <w:ind w:left="360"/>
        <w:spacing w:after="0" w:line="251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1"/>
          <w:szCs w:val="11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1"/>
          <w:szCs w:val="11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31750</wp:posOffset>
            </wp:positionH>
            <wp:positionV relativeFrom="paragraph">
              <wp:posOffset>-232410</wp:posOffset>
            </wp:positionV>
            <wp:extent cx="127000" cy="1270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44"/>
        </w:trPr>
        <w:tc>
          <w:tcPr>
            <w:tcW w:w="6220" w:type="dxa"/>
            <w:vAlign w:val="bottom"/>
          </w:tcPr>
          <w:p>
            <w:pPr>
              <w:jc w:val="center"/>
              <w:ind w:right="2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6220" w:type="dxa"/>
            <w:vAlign w:val="bottom"/>
            <w:vMerge w:val="restart"/>
          </w:tcPr>
          <w:p>
            <w:pPr>
              <w:jc w:val="center"/>
              <w:ind w:right="259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5"/>
              </w:rPr>
              <w:t>Washington, D.C. 20549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62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6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20" w:type="dxa"/>
            <w:vAlign w:val="bottom"/>
            <w:vMerge w:val="restart"/>
          </w:tcPr>
          <w:p>
            <w:pPr>
              <w:jc w:val="center"/>
              <w:ind w:right="279"/>
              <w:spacing w:after="0" w:line="18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62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OMB Number: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2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  <w:w w:val="98"/>
              </w:rPr>
              <w:t>3235-0287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5"/>
        </w:trPr>
        <w:tc>
          <w:tcPr>
            <w:tcW w:w="6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Estimated average burden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5"/>
        </w:trPr>
        <w:tc>
          <w:tcPr>
            <w:tcW w:w="6220" w:type="dxa"/>
            <w:vAlign w:val="bottom"/>
            <w:vMerge w:val="restart"/>
          </w:tcPr>
          <w:p>
            <w:pPr>
              <w:jc w:val="center"/>
              <w:ind w:right="2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hours per response:</w:t>
            </w:r>
          </w:p>
        </w:tc>
        <w:tc>
          <w:tcPr>
            <w:tcW w:w="620" w:type="dxa"/>
            <w:vAlign w:val="bottom"/>
          </w:tcPr>
          <w:p>
            <w:pPr>
              <w:jc w:val="right"/>
              <w:ind w:right="2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0.5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62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5219700</wp:posOffset>
            </wp:positionH>
            <wp:positionV relativeFrom="paragraph">
              <wp:posOffset>-608330</wp:posOffset>
            </wp:positionV>
            <wp:extent cx="57150" cy="62166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3931920</wp:posOffset>
            </wp:positionH>
            <wp:positionV relativeFrom="paragraph">
              <wp:posOffset>-608330</wp:posOffset>
            </wp:positionV>
            <wp:extent cx="57150" cy="62166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-1688465</wp:posOffset>
            </wp:positionH>
            <wp:positionV relativeFrom="paragraph">
              <wp:posOffset>19685</wp:posOffset>
            </wp:positionV>
            <wp:extent cx="6997700" cy="79438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0" cy="794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00" w:space="440"/>
            <w:col w:w="8440"/>
          </w:cols>
          <w:pgMar w:left="460" w:top="214" w:right="359" w:bottom="0" w:gutter="0" w:footer="0" w:header="0"/>
        </w:sectPr>
      </w:pPr>
    </w:p>
    <w:p>
      <w:pPr>
        <w:spacing w:after="0" w:line="1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0"/>
          <w:szCs w:val="20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0"/>
          <w:szCs w:val="20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Hussain Muhammad Raghib</w:t>
        </w:r>
      </w:hyperlink>
    </w:p>
    <w:p>
      <w:pPr>
        <w:spacing w:after="0" w:line="28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5"/>
        </w:trPr>
        <w:tc>
          <w:tcPr>
            <w:tcW w:w="8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8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3"/>
              </w:rPr>
              <w:t>(Middle)</w:t>
            </w:r>
          </w:p>
        </w:tc>
      </w:tr>
      <w:tr>
        <w:trPr>
          <w:trHeight w:val="258"/>
        </w:trPr>
        <w:tc>
          <w:tcPr>
            <w:tcW w:w="20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5488 MARVELL LANE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468"/>
        </w:trPr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21"/>
        </w:trPr>
        <w:tc>
          <w:tcPr>
            <w:tcW w:w="20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SANTA CLARA  CA</w:t>
            </w:r>
          </w:p>
        </w:tc>
        <w:tc>
          <w:tcPr>
            <w:tcW w:w="8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95054</w:t>
            </w:r>
          </w:p>
        </w:tc>
      </w:tr>
      <w:tr>
        <w:trPr>
          <w:trHeight w:val="455"/>
        </w:trPr>
        <w:tc>
          <w:tcPr>
            <w:tcW w:w="8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8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5"/>
        </w:trPr>
        <w:tc>
          <w:tcPr>
            <w:tcW w:w="3840" w:type="dxa"/>
            <w:vAlign w:val="bottom"/>
            <w:gridSpan w:val="4"/>
          </w:tcPr>
          <w:p>
            <w:pPr>
              <w:ind w:left="60"/>
              <w:spacing w:after="0" w:line="201" w:lineRule="exact"/>
              <w:rPr>
                <w:rFonts w:ascii="Times New Roman" w:cs="Times New Roman" w:eastAsia="Times New Roman" w:hAnsi="Times New Roman"/>
                <w:sz w:val="20"/>
                <w:szCs w:val="20"/>
                <w:color w:val="0000EE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20"/>
                  <w:szCs w:val="20"/>
                  <w:color w:val="0000EE"/>
                </w:rPr>
                <w:t xml:space="preserve">Marvell Technology, Inc. </w:t>
              </w:r>
            </w:hyperlink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00"/>
              </w:rPr>
              <w:t>[</w:t>
            </w: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EE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MRVL</w:t>
            </w: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EE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00"/>
              </w:rPr>
              <w:t>]</w:t>
            </w:r>
          </w:p>
        </w:tc>
        <w:tc>
          <w:tcPr>
            <w:tcW w:w="18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60" w:type="dxa"/>
            <w:vAlign w:val="bottom"/>
          </w:tcPr>
          <w:p>
            <w:pPr>
              <w:ind w:left="32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X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ind w:left="3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 w:line="11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60" w:type="dxa"/>
            <w:vAlign w:val="bottom"/>
          </w:tcPr>
          <w:p>
            <w:pPr>
              <w:ind w:left="320"/>
              <w:spacing w:after="0" w:line="11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20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President, Products &amp; Tech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9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100"/>
        <w:spacing w:after="0" w:line="233" w:lineRule="auto"/>
        <w:tabs>
          <w:tab w:leader="none" w:pos="442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6" w:lineRule="exact"/>
        <w:rPr>
          <w:sz w:val="24"/>
          <w:szCs w:val="24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26" w:lineRule="exact"/>
        <w:rPr>
          <w:sz w:val="24"/>
          <w:szCs w:val="24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Rule 10b5-1(c) Transaction Indication</w:t>
      </w:r>
    </w:p>
    <w:p>
      <w:pPr>
        <w:spacing w:after="0" w:line="210" w:lineRule="exact"/>
        <w:rPr>
          <w:sz w:val="24"/>
          <w:szCs w:val="24"/>
          <w:color w:val="auto"/>
        </w:rPr>
      </w:pPr>
    </w:p>
    <w:p>
      <w:pPr>
        <w:ind w:left="320" w:right="300"/>
        <w:spacing w:after="0" w:line="27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6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120" w:space="720"/>
            <w:col w:w="7240"/>
          </w:cols>
          <w:pgMar w:left="460" w:top="214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3"/>
          </w:tcPr>
          <w:p>
            <w:pPr>
              <w:jc w:val="center"/>
              <w:ind w:left="5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88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  <w:w w:val="92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80" w:type="dxa"/>
            <w:vAlign w:val="bottom"/>
            <w:gridSpan w:val="4"/>
          </w:tcPr>
          <w:p>
            <w:pPr>
              <w:ind w:left="8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</w:tcPr>
          <w:p>
            <w:pPr>
              <w:jc w:val="center"/>
              <w:ind w:left="749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ind w:left="20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</w:t>
            </w: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</w:tcPr>
          <w:p>
            <w:pPr>
              <w:jc w:val="center"/>
              <w:ind w:left="7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4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6,959</w:t>
            </w:r>
          </w:p>
        </w:tc>
        <w:tc>
          <w:tcPr>
            <w:tcW w:w="6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  <w:w w:val="99"/>
              </w:rPr>
              <w:t>764,301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3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left="7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5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8000"/>
                <w:w w:val="95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3,451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40.29</w:t>
            </w: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  <w:w w:val="99"/>
              </w:rPr>
              <w:t>760,850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3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</w:tcPr>
          <w:p>
            <w:pPr>
              <w:jc w:val="center"/>
              <w:ind w:left="7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4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3,306</w:t>
            </w:r>
          </w:p>
        </w:tc>
        <w:tc>
          <w:tcPr>
            <w:tcW w:w="6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  <w:w w:val="99"/>
              </w:rPr>
              <w:t>764,156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3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left="7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5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8000"/>
                <w:w w:val="95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1,640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40.29</w:t>
            </w: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  <w:w w:val="99"/>
              </w:rPr>
              <w:t>762,516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3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</w:tcPr>
          <w:p>
            <w:pPr>
              <w:jc w:val="center"/>
              <w:ind w:left="7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4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3,171</w:t>
            </w:r>
          </w:p>
        </w:tc>
        <w:tc>
          <w:tcPr>
            <w:tcW w:w="6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  <w:w w:val="99"/>
              </w:rPr>
              <w:t>765,687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3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left="7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5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8000"/>
                <w:w w:val="95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1,573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40.29</w:t>
            </w: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  <w:w w:val="99"/>
              </w:rPr>
              <w:t>764,114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3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</w:tcPr>
          <w:p>
            <w:pPr>
              <w:jc w:val="center"/>
              <w:ind w:left="7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4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167,000</w:t>
            </w:r>
          </w:p>
        </w:tc>
        <w:tc>
          <w:tcPr>
            <w:tcW w:w="6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  <w:w w:val="99"/>
              </w:rPr>
              <w:t>931,114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3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left="7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5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8000"/>
                <w:w w:val="95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82,799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40.29</w:t>
            </w: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  <w:w w:val="99"/>
              </w:rPr>
              <w:t>848,315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3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  <w:w w:val="99"/>
              </w:rPr>
              <w:t>88,081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333"/>
              <w:spacing w:after="0" w:line="20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3"/>
                <w:szCs w:val="23"/>
                <w:color w:val="0000FF"/>
                <w:vertAlign w:val="subscript"/>
              </w:rPr>
              <w:t>I</w:t>
            </w:r>
            <w:r>
              <w:rPr>
                <w:rFonts w:ascii="Times New Roman" w:cs="Times New Roman" w:eastAsia="Times New Roman" w:hAnsi="Times New Roman"/>
                <w:sz w:val="9"/>
                <w:szCs w:val="9"/>
                <w:color w:val="008000"/>
              </w:rPr>
              <w:t>(2)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Trusts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520" w:type="dxa"/>
            <w:vAlign w:val="bottom"/>
            <w:tcBorders>
              <w:bottom w:val="single" w:sz="8" w:color="2C2C2C"/>
            </w:tcBorders>
            <w:gridSpan w:val="8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8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640" w:type="dxa"/>
            <w:vAlign w:val="bottom"/>
            <w:gridSpan w:val="10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60" w:type="dxa"/>
            <w:vAlign w:val="bottom"/>
            <w:gridSpan w:val="2"/>
          </w:tcPr>
          <w:p>
            <w:pPr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35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8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40" w:type="dxa"/>
            <w:vAlign w:val="bottom"/>
          </w:tcPr>
          <w:p>
            <w:pPr>
              <w:jc w:val="center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60" w:type="dxa"/>
            <w:vAlign w:val="bottom"/>
            <w:gridSpan w:val="2"/>
          </w:tcPr>
          <w:p>
            <w:pPr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00" w:type="dxa"/>
            <w:vAlign w:val="bottom"/>
          </w:tcPr>
          <w:p>
            <w:pPr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Acquired (A) or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640" w:type="dxa"/>
            <w:vAlign w:val="bottom"/>
          </w:tcPr>
          <w:p>
            <w:pPr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 (D)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3, 4 and 5)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8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Number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</w:t>
            </w:r>
          </w:p>
        </w:tc>
        <w:tc>
          <w:tcPr>
            <w:tcW w:w="6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8000"/>
              </w:rPr>
              <w:t>(3)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30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8000"/>
              </w:rPr>
              <w:t>(4)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8000"/>
              </w:rPr>
              <w:t>(4)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6,959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center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04/15/2023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381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6,959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left="221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1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340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8000"/>
              </w:rPr>
              <w:t>(3)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30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8000"/>
              </w:rPr>
              <w:t>(5)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8000"/>
              </w:rPr>
              <w:t>(5)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3,306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center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04/15/2023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381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3,306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13,223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40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8000"/>
              </w:rPr>
              <w:t>(3)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30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8000"/>
              </w:rPr>
              <w:t>(6)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8000"/>
              </w:rPr>
              <w:t>(6)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3,171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center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04/15/2023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381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3,171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25,368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40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8000"/>
              </w:rPr>
              <w:t>(3)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30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8000"/>
              </w:rPr>
              <w:t>(7)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8000"/>
              </w:rPr>
              <w:t>(7)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167,000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jc w:val="center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04/15/2023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381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167,000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5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</w:tcPr>
          <w:p>
            <w:pPr>
              <w:jc w:val="center"/>
              <w:ind w:left="221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1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3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100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8000"/>
              </w:rPr>
              <w:t>(3)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30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8000"/>
              </w:rPr>
              <w:t>(8)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8000"/>
              </w:rPr>
              <w:t>(8)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63,777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center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04/15/2023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381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A</w:t>
            </w:r>
          </w:p>
        </w:tc>
        <w:tc>
          <w:tcPr>
            <w:tcW w:w="460" w:type="dxa"/>
            <w:vAlign w:val="bottom"/>
            <w:vMerge w:val="restart"/>
          </w:tcPr>
          <w:p>
            <w:pPr>
              <w:ind w:left="60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63,777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63,777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40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7007225</wp:posOffset>
            </wp:positionH>
            <wp:positionV relativeFrom="paragraph">
              <wp:posOffset>-3001010</wp:posOffset>
            </wp:positionV>
            <wp:extent cx="28575" cy="30067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300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160" w:hanging="122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38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2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Held in trusts of which the Reporting Person is the trustee, for the benefit of members of his immediate family.</w:t>
      </w:r>
    </w:p>
    <w:p>
      <w:pPr>
        <w:spacing w:after="0" w:line="38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2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common share upon vesting.</w:t>
      </w:r>
    </w:p>
    <w:p>
      <w:pPr>
        <w:spacing w:after="0" w:line="38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2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award fully vested on April 15, 2023.</w:t>
      </w:r>
    </w:p>
    <w:p>
      <w:pPr>
        <w:spacing w:after="0" w:line="38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2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07/15/2023, 10/15/2023, 01/15/2024 and 04/15/2024.</w:t>
      </w:r>
    </w:p>
    <w:p>
      <w:pPr>
        <w:spacing w:after="0" w:line="38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2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07/15/2023, 10/15/2023, 01/15/2024, 04/15/2024, 07/15/2024, 10/15/2024, 01/15/2025 and 04/15/2025.</w:t>
      </w:r>
    </w:p>
    <w:p>
      <w:pPr>
        <w:spacing w:after="0" w:line="38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40" w:right="440" w:hanging="2"/>
        <w:spacing w:after="0" w:line="243" w:lineRule="auto"/>
        <w:tabs>
          <w:tab w:leader="none" w:pos="165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award is fully vested. Reflects the number of shares earned in respect of performance based RSUs granted on 04/15/2020. The achievement levels of the relative TSR performance metrics applicable to the award and the number of shares earned based on such results were certified on 04/14/2023.</w:t>
      </w:r>
    </w:p>
    <w:p>
      <w:pPr>
        <w:spacing w:after="0" w:line="22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2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RSUs will vest in equal quarterly installments over three years, and were granted as part of the annual grant process.</w:t>
      </w:r>
    </w:p>
    <w:p>
      <w:pPr>
        <w:sectPr>
          <w:pgSz w:w="11900" w:h="16838" w:orient="portrait"/>
          <w:cols w:equalWidth="0" w:num="1">
            <w:col w:w="11080"/>
          </w:cols>
          <w:pgMar w:left="460" w:top="214" w:right="359" w:bottom="0" w:gutter="0" w:footer="0" w:header="0"/>
          <w:type w:val="continuous"/>
        </w:sectPr>
      </w:pP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b w:val="1"/>
          <w:bCs w:val="1"/>
          <w:color w:val="auto"/>
        </w:rPr>
        <w:t>Remarks:</w:t>
      </w:r>
    </w:p>
    <w:p>
      <w:pPr>
        <w:sectPr>
          <w:pgSz w:w="11900" w:h="16838" w:orient="portrait"/>
          <w:cols w:equalWidth="0" w:num="1">
            <w:col w:w="11080"/>
          </w:cols>
          <w:pgMar w:left="460" w:top="214" w:right="359" w:bottom="0" w:gutter="0" w:footer="0" w:header="0"/>
          <w:type w:val="continuous"/>
        </w:sectPr>
      </w:pPr>
    </w:p>
    <w:bookmarkStart w:id="1" w:name="page2"/>
    <w:bookmarkEnd w:id="1"/>
    <w:p>
      <w:pPr>
        <w:ind w:left="6562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/s/ Muhammad Raghib Hussain,  04/18/2023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4165600</wp:posOffset>
            </wp:positionH>
            <wp:positionV relativeFrom="paragraph">
              <wp:posOffset>-4445</wp:posOffset>
            </wp:positionV>
            <wp:extent cx="187007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0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" w:lineRule="exact"/>
        <w:rPr>
          <w:sz w:val="20"/>
          <w:szCs w:val="20"/>
          <w:color w:val="auto"/>
        </w:rPr>
      </w:pPr>
    </w:p>
    <w:p>
      <w:pPr>
        <w:ind w:left="6562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by Blair Walters as attorney-in-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4165600</wp:posOffset>
            </wp:positionH>
            <wp:positionV relativeFrom="paragraph">
              <wp:posOffset>-11430</wp:posOffset>
            </wp:positionV>
            <wp:extent cx="130048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04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562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4165600</wp:posOffset>
            </wp:positionH>
            <wp:positionV relativeFrom="paragraph">
              <wp:posOffset>-11430</wp:posOffset>
            </wp:positionV>
            <wp:extent cx="15494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6562"/>
        <w:spacing w:after="0"/>
        <w:tabs>
          <w:tab w:leader="none" w:pos="8742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1"/>
          <w:szCs w:val="11"/>
          <w:color w:val="auto"/>
        </w:rPr>
        <w:t>Date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2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2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jc w:val="both"/>
        <w:ind w:left="2" w:right="2739" w:hanging="2"/>
        <w:spacing w:after="0" w:line="356" w:lineRule="auto"/>
        <w:tabs>
          <w:tab w:leader="none" w:pos="134" w:val="left"/>
        </w:tabs>
        <w:numPr>
          <w:ilvl w:val="0"/>
          <w:numId w:val="2"/>
        </w:numPr>
        <w:rPr>
          <w:rFonts w:ascii="Arial" w:cs="Arial" w:eastAsia="Arial" w:hAnsi="Arial"/>
          <w:sz w:val="11"/>
          <w:szCs w:val="11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1"/>
          <w:szCs w:val="11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1"/>
          <w:szCs w:val="11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1"/>
          <w:szCs w:val="11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1"/>
          <w:szCs w:val="11"/>
          <w:color w:val="auto"/>
        </w:rPr>
        <w:t xml:space="preserve"> Instruction 6 for procedure.</w:t>
      </w:r>
    </w:p>
    <w:p>
      <w:pPr>
        <w:ind w:left="2"/>
        <w:spacing w:after="0"/>
        <w:rPr>
          <w:rFonts w:ascii="Arial" w:cs="Arial" w:eastAsia="Arial" w:hAnsi="Arial"/>
          <w:sz w:val="11"/>
          <w:szCs w:val="11"/>
          <w:color w:val="auto"/>
        </w:rPr>
      </w:pPr>
      <w:r>
        <w:rPr>
          <w:rFonts w:ascii="Arial" w:cs="Arial" w:eastAsia="Arial" w:hAnsi="Arial"/>
          <w:sz w:val="11"/>
          <w:szCs w:val="11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9961"/>
      </w:cols>
      <w:pgMar w:left="498" w:top="127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68069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2023-04-18T17:15:55Z</dcterms:created>
  <dcterms:modified xsi:type="dcterms:W3CDTF">2023-04-18T17:15:55Z</dcterms:modified>
</cp:coreProperties>
</file>