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3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color w:val="auto"/>
        </w:rPr>
        <w:t>SEC Form 4</w:t>
      </w:r>
    </w:p>
    <w:p>
      <w:pPr>
        <w:spacing w:after="0" w:line="49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2" w:lineRule="exact"/>
        <w:rPr>
          <w:sz w:val="24"/>
          <w:szCs w:val="24"/>
          <w:color w:val="auto"/>
        </w:rPr>
      </w:pPr>
    </w:p>
    <w:p>
      <w:pPr>
        <w:ind w:left="360"/>
        <w:spacing w:after="0" w:line="25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1"/>
          <w:szCs w:val="11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1"/>
          <w:szCs w:val="11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33020</wp:posOffset>
            </wp:positionH>
            <wp:positionV relativeFrom="paragraph">
              <wp:posOffset>-236220</wp:posOffset>
            </wp:positionV>
            <wp:extent cx="128905" cy="128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" cy="128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9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47"/>
        </w:trPr>
        <w:tc>
          <w:tcPr>
            <w:tcW w:w="6260" w:type="dxa"/>
            <w:vAlign w:val="bottom"/>
          </w:tcPr>
          <w:p>
            <w:pPr>
              <w:jc w:val="center"/>
              <w:ind w:right="2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"/>
        </w:trPr>
        <w:tc>
          <w:tcPr>
            <w:tcW w:w="6260" w:type="dxa"/>
            <w:vAlign w:val="bottom"/>
            <w:vMerge w:val="restart"/>
          </w:tcPr>
          <w:p>
            <w:pPr>
              <w:jc w:val="center"/>
              <w:ind w:right="238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7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2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2"/>
        </w:trPr>
        <w:tc>
          <w:tcPr>
            <w:tcW w:w="6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60" w:type="dxa"/>
            <w:vAlign w:val="bottom"/>
            <w:vMerge w:val="restart"/>
          </w:tcPr>
          <w:p>
            <w:pPr>
              <w:jc w:val="center"/>
              <w:ind w:right="218"/>
              <w:spacing w:after="0" w:line="18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62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6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6260" w:type="dxa"/>
            <w:vAlign w:val="bottom"/>
            <w:vMerge w:val="restart"/>
          </w:tcPr>
          <w:p>
            <w:pPr>
              <w:jc w:val="center"/>
              <w:ind w:right="2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7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62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5243195</wp:posOffset>
            </wp:positionH>
            <wp:positionV relativeFrom="paragraph">
              <wp:posOffset>-616585</wp:posOffset>
            </wp:positionV>
            <wp:extent cx="57785" cy="6299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29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3961765</wp:posOffset>
            </wp:positionH>
            <wp:positionV relativeFrom="paragraph">
              <wp:posOffset>-616585</wp:posOffset>
            </wp:positionV>
            <wp:extent cx="57785" cy="6299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29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-1661795</wp:posOffset>
            </wp:positionH>
            <wp:positionV relativeFrom="paragraph">
              <wp:posOffset>20955</wp:posOffset>
            </wp:positionV>
            <wp:extent cx="6995795" cy="77450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5795" cy="7745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4" w:lineRule="exact"/>
        <w:rPr>
          <w:sz w:val="24"/>
          <w:szCs w:val="24"/>
          <w:color w:val="auto"/>
        </w:rPr>
      </w:pPr>
    </w:p>
    <w:p>
      <w:pPr>
        <w:sectPr>
          <w:pgSz w:w="11900" w:h="16873" w:orient="portrait"/>
          <w:cols w:equalWidth="0" w:num="2">
            <w:col w:w="2220" w:space="380"/>
            <w:col w:w="8480"/>
          </w:cols>
          <w:pgMar w:left="460" w:top="216" w:right="359" w:bottom="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0"/>
          <w:szCs w:val="20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GAYNOR MITCHELL</w:t>
        </w:r>
      </w:hyperlink>
    </w:p>
    <w:p>
      <w:pPr>
        <w:spacing w:after="0" w:line="294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7"/>
        </w:trPr>
        <w:tc>
          <w:tcPr>
            <w:tcW w:w="8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4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8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3"/>
              </w:rPr>
              <w:t>(Middle)</w:t>
            </w:r>
          </w:p>
        </w:tc>
      </w:tr>
      <w:tr>
        <w:trPr>
          <w:trHeight w:val="264"/>
        </w:trPr>
        <w:tc>
          <w:tcPr>
            <w:tcW w:w="20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5488 MARVELL LANE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472"/>
        </w:trPr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26"/>
        </w:trPr>
        <w:tc>
          <w:tcPr>
            <w:tcW w:w="20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SANTA CLARA CA</w:t>
            </w:r>
          </w:p>
        </w:tc>
        <w:tc>
          <w:tcPr>
            <w:tcW w:w="8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95054</w:t>
            </w:r>
          </w:p>
        </w:tc>
      </w:tr>
      <w:tr>
        <w:trPr>
          <w:trHeight w:val="460"/>
        </w:trPr>
        <w:tc>
          <w:tcPr>
            <w:tcW w:w="8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4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8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3840" w:type="dxa"/>
            <w:vAlign w:val="bottom"/>
            <w:gridSpan w:val="4"/>
          </w:tcPr>
          <w:p>
            <w:pPr>
              <w:ind w:left="80"/>
              <w:spacing w:after="0" w:line="139" w:lineRule="exact"/>
              <w:rPr>
                <w:rFonts w:ascii="Times New Roman" w:cs="Times New Roman" w:eastAsia="Times New Roman" w:hAnsi="Times New Roman"/>
                <w:sz w:val="16"/>
                <w:szCs w:val="16"/>
                <w:color w:val="0000EE"/>
              </w:rPr>
            </w:pPr>
            <w:hyperlink r:id="rId13">
              <w:r>
                <w:rPr>
                  <w:rFonts w:ascii="Times New Roman" w:cs="Times New Roman" w:eastAsia="Times New Roman" w:hAnsi="Times New Roman"/>
                  <w:sz w:val="16"/>
                  <w:szCs w:val="16"/>
                  <w:color w:val="0000EE"/>
                </w:rPr>
                <w:t xml:space="preserve">Marvell Technology, Inc. </w:t>
              </w:r>
            </w:hyperlink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00"/>
              </w:rPr>
              <w:t>[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MRVL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00"/>
              </w:rPr>
              <w:t>]</w:t>
            </w:r>
          </w:p>
        </w:tc>
        <w:tc>
          <w:tcPr>
            <w:tcW w:w="1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9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X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64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100"/>
              <w:spacing w:after="0" w:line="11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60" w:type="dxa"/>
            <w:vAlign w:val="bottom"/>
          </w:tcPr>
          <w:p>
            <w:pPr>
              <w:ind w:left="340"/>
              <w:spacing w:after="0" w:line="11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1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1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EVP, Chief Admin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9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100"/>
        <w:spacing w:after="0" w:line="238" w:lineRule="auto"/>
        <w:tabs>
          <w:tab w:leader="none" w:pos="442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8" w:lineRule="exact"/>
        <w:rPr>
          <w:sz w:val="24"/>
          <w:szCs w:val="24"/>
          <w:color w:val="auto"/>
        </w:rPr>
      </w:pP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Rule 10b5-1(c) Transaction Indication</w:t>
      </w:r>
    </w:p>
    <w:p>
      <w:pPr>
        <w:spacing w:after="0" w:line="216" w:lineRule="exact"/>
        <w:rPr>
          <w:sz w:val="24"/>
          <w:szCs w:val="24"/>
          <w:color w:val="auto"/>
        </w:rPr>
      </w:pPr>
    </w:p>
    <w:p>
      <w:pPr>
        <w:ind w:left="320" w:right="400"/>
        <w:spacing w:after="0" w:line="28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>Check this box to indicate that a transaction was made pursuant to a contract, instruction or written plan that is intended to satisfy the affirmative defense conditions of Rule 10b5-1(c). See Instruction 10.</w:t>
      </w:r>
    </w:p>
    <w:p>
      <w:pPr>
        <w:spacing w:after="0" w:line="169" w:lineRule="exact"/>
        <w:rPr>
          <w:sz w:val="24"/>
          <w:szCs w:val="24"/>
          <w:color w:val="auto"/>
        </w:rPr>
      </w:pPr>
    </w:p>
    <w:p>
      <w:pPr>
        <w:sectPr>
          <w:pgSz w:w="11900" w:h="16873" w:orient="portrait"/>
          <w:cols w:equalWidth="0" w:num="2">
            <w:col w:w="3120" w:space="720"/>
            <w:col w:w="7240"/>
          </w:cols>
          <w:pgMar w:left="460" w:top="216" w:right="35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2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4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 or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6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2,817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right"/>
              <w:ind w:right="3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111,790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81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81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1,397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40.29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110,393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6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1,615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right"/>
              <w:ind w:right="3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112,008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81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81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801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40.29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111,207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6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1,258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right"/>
              <w:ind w:right="3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112,465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81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81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624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40.29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111,841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6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67,596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right"/>
              <w:ind w:right="3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179,437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04/15/2023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81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81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33,515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40.29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145,922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4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540" w:type="dxa"/>
            <w:vAlign w:val="bottom"/>
            <w:gridSpan w:val="9"/>
          </w:tcPr>
          <w:p>
            <w:pPr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20" w:type="dxa"/>
            <w:vAlign w:val="bottom"/>
            <w:gridSpan w:val="3"/>
          </w:tcPr>
          <w:p>
            <w:pPr>
              <w:jc w:val="center"/>
              <w:ind w:righ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  <w:w w:val="98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Acquired (A) or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Disposed of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 (Instr. 3, 4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and 5)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V</w:t>
            </w: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</w:t>
            </w:r>
          </w:p>
        </w:tc>
        <w:tc>
          <w:tcPr>
            <w:tcW w:w="5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(3)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67,596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04/15/2023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67,596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3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ind w:left="201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1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3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2,817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04/15/2023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28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2,817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ind w:left="201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1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32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1,615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04/15/2023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28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1,615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ind w:left="181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6,458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32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(6)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1,258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04/15/2023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28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1,258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center"/>
              <w:ind w:right="3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10,060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32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(7)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22,568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04/15/2023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4"/>
              </w:rPr>
              <w:t>A</w:t>
            </w: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22,568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3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jc w:val="center"/>
              <w:ind w:right="3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22,568</w:t>
            </w:r>
          </w:p>
        </w:tc>
        <w:tc>
          <w:tcPr>
            <w:tcW w:w="62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3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7007225</wp:posOffset>
            </wp:positionH>
            <wp:positionV relativeFrom="paragraph">
              <wp:posOffset>-3202940</wp:posOffset>
            </wp:positionV>
            <wp:extent cx="28575" cy="32086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320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restricted stock unit represents a contingent right to receive one Marvell Technology, Inc. common share upon vesting.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40" w:right="460"/>
        <w:spacing w:after="0" w:line="249" w:lineRule="auto"/>
        <w:tabs>
          <w:tab w:leader="none" w:pos="167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This grant is fully vested. Reflects the number of shares earned in respect of performance based restricted stock units granted on 04/15/2020. The achievement levels of the relative TSR performance metrics applicable to the award and the number of shares earned based on such results were certified on 04/14/2023.</w:t>
      </w:r>
    </w:p>
    <w:p>
      <w:pPr>
        <w:spacing w:after="0" w:line="19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This award fully vested on April 15, 2023.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07/15/2023, 10/15/2023, 01/15/2024 and 04/15/2024.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07/15/2023, 10/15/2023, 01/15/2024, 04/15/2024, 07/15/2024, 10/15/2024, 01/15/2025 and 04/15/2025.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RSUs will vest quarterly over three years in equal installments.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b w:val="1"/>
          <w:bCs w:val="1"/>
          <w:color w:val="auto"/>
        </w:rPr>
        <w:t>Remarks:</w:t>
      </w:r>
    </w:p>
    <w:p>
      <w:pPr>
        <w:spacing w:after="0" w:line="127" w:lineRule="exact"/>
        <w:rPr>
          <w:sz w:val="24"/>
          <w:szCs w:val="24"/>
          <w:color w:val="auto"/>
        </w:rPr>
      </w:pPr>
    </w:p>
    <w:tbl>
      <w:tblPr>
        <w:tblLayout w:type="fixed"/>
        <w:tblInd w:w="66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16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Mitchell Gaynor by Blair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04/18/2023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18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Walters as Attorney-in-Fact</w:t>
            </w:r>
          </w:p>
        </w:tc>
        <w:tc>
          <w:tcPr>
            <w:tcW w:w="1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1820" w:type="dxa"/>
            <w:vAlign w:val="bottom"/>
            <w:tcBorders>
              <w:bottom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64" w:lineRule="exact"/>
        <w:rPr>
          <w:sz w:val="24"/>
          <w:szCs w:val="24"/>
          <w:color w:val="auto"/>
        </w:rPr>
      </w:pPr>
    </w:p>
    <w:p>
      <w:pPr>
        <w:sectPr>
          <w:pgSz w:w="11900" w:h="16873" w:orient="portrait"/>
          <w:cols w:equalWidth="0" w:num="1">
            <w:col w:w="11080"/>
          </w:cols>
          <w:pgMar w:left="460" w:top="216" w:right="359" w:bottom="0" w:gutter="0" w:footer="0" w:header="0"/>
          <w:type w:val="continuous"/>
        </w:sect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ectPr>
          <w:pgSz w:w="11900" w:h="16873" w:orient="portrait"/>
          <w:cols w:equalWidth="0" w:num="1">
            <w:col w:w="11080"/>
          </w:cols>
          <w:pgMar w:left="460" w:top="216" w:right="35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1" w:lineRule="exact"/>
        <w:rPr>
          <w:sz w:val="20"/>
          <w:szCs w:val="20"/>
          <w:color w:val="auto"/>
        </w:rPr>
      </w:pPr>
    </w:p>
    <w:p>
      <w:pPr>
        <w:jc w:val="both"/>
        <w:ind w:right="2639"/>
        <w:spacing w:after="0" w:line="331" w:lineRule="auto"/>
        <w:tabs>
          <w:tab w:leader="none" w:pos="134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9960"/>
      </w:cols>
      <w:pgMar w:left="500" w:top="1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93486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2023-04-18T20:04:38Z</dcterms:created>
  <dcterms:modified xsi:type="dcterms:W3CDTF">2023-04-18T20:04:38Z</dcterms:modified>
</cp:coreProperties>
</file>