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24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SEC Form 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3"/>
                <w:szCs w:val="23"/>
                <w:b w:val="1"/>
                <w:bCs w:val="1"/>
                <w:color w:val="auto"/>
              </w:rPr>
              <w:t>FORM 4</w:t>
            </w:r>
          </w:p>
        </w:tc>
        <w:tc>
          <w:tcPr>
            <w:tcW w:w="6440" w:type="dxa"/>
            <w:vAlign w:val="bottom"/>
            <w:gridSpan w:val="6"/>
          </w:tcPr>
          <w:p>
            <w:pPr>
              <w:jc w:val="center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restart"/>
          </w:tcPr>
          <w:p>
            <w:pPr>
              <w:jc w:val="center"/>
              <w:ind w:right="4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Check this box if no longer subject to</w:t>
            </w: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180" w:type="dxa"/>
            <w:vAlign w:val="bottom"/>
            <w:gridSpan w:val="5"/>
            <w:vMerge w:val="restart"/>
          </w:tcPr>
          <w:p>
            <w:pPr>
              <w:jc w:val="center"/>
              <w:ind w:right="310"/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1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Section 16. Form 4 or Form 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 xml:space="preserve">obligations may continue. </w:t>
            </w:r>
            <w:r>
              <w:rPr>
                <w:rFonts w:ascii="Arial" w:cs="Arial" w:eastAsia="Arial" w:hAnsi="Arial"/>
                <w:sz w:val="12"/>
                <w:szCs w:val="12"/>
                <w:i w:val="1"/>
                <w:iCs w:val="1"/>
                <w:color w:val="auto"/>
              </w:rPr>
              <w:t>See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restart"/>
          </w:tcPr>
          <w:p>
            <w:pPr>
              <w:jc w:val="center"/>
              <w:ind w:left="7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ind w:left="240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auto"/>
              </w:rPr>
              <w:t>Instruction 1(b).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or Section 30(h) of the Investment Company Act of 1940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60" w:type="dxa"/>
            <w:vAlign w:val="bottom"/>
            <w:gridSpan w:val="4"/>
          </w:tcPr>
          <w:p>
            <w:pPr>
              <w:ind w:left="60"/>
              <w:spacing w:after="0" w:line="2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8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Andrews Sara C</w:t>
              </w:r>
            </w:hyperlink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spacing w:after="0" w:line="105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9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[</w:t>
            </w:r>
            <w:r>
              <w:rPr>
                <w:rFonts w:ascii="Arial" w:cs="Arial" w:eastAsia="Arial" w:hAnsi="Arial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]</w:t>
            </w:r>
          </w:p>
        </w:tc>
        <w:tc>
          <w:tcPr>
            <w:tcW w:w="2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2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Director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9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-1137285</wp:posOffset>
            </wp:positionV>
            <wp:extent cx="6992620" cy="60407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04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</w:sectPr>
      </w:pPr>
    </w:p>
    <w:p>
      <w:pPr>
        <w:spacing w:after="0" w:line="252" w:lineRule="exact"/>
        <w:rPr>
          <w:sz w:val="20"/>
          <w:szCs w:val="20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0"/>
        </w:trPr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" w:lineRule="exact"/>
        <w:rPr>
          <w:sz w:val="20"/>
          <w:szCs w:val="20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2"/>
        </w:trPr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</w:tr>
      <w:tr>
        <w:trPr>
          <w:trHeight w:val="215"/>
        </w:trPr>
        <w:tc>
          <w:tcPr>
            <w:tcW w:w="36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20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</w:tr>
      <w:tr>
        <w:trPr>
          <w:trHeight w:val="104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</w:tr>
      <w:tr>
        <w:trPr>
          <w:trHeight w:val="195"/>
        </w:trPr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8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31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7" w:lineRule="exact"/>
        <w:rPr>
          <w:sz w:val="20"/>
          <w:szCs w:val="20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4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ind w:left="4160" w:right="580"/>
        <w:spacing w:after="0" w:line="24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0"/>
          <w:szCs w:val="20"/>
          <w:color w:val="auto"/>
        </w:r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0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1900" w:type="dxa"/>
            <w:vAlign w:val="bottom"/>
            <w:gridSpan w:val="4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4,320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5,218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4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11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4,320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95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4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10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4,570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95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4,570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4,570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-2221230</wp:posOffset>
            </wp:positionV>
            <wp:extent cx="29210" cy="22263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226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Technology, Inc.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16, 2023.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meeting of Marvell stockholders or the one year anniversary of the RSU grant.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9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Sara Andrews by Blair Walters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4184650</wp:posOffset>
            </wp:positionH>
            <wp:positionV relativeFrom="paragraph">
              <wp:posOffset>3175</wp:posOffset>
            </wp:positionV>
            <wp:extent cx="1327785" cy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4184650</wp:posOffset>
            </wp:positionH>
            <wp:positionV relativeFrom="paragraph">
              <wp:posOffset>-14605</wp:posOffset>
            </wp:positionV>
            <wp:extent cx="833755" cy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06/20/2023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3175</wp:posOffset>
            </wp:positionV>
            <wp:extent cx="49022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680" w:space="100"/>
            <w:col w:w="230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jc w:val="both"/>
        <w:ind w:left="40" w:right="3520" w:firstLine="3"/>
        <w:spacing w:after="0" w:line="312" w:lineRule="auto"/>
        <w:tabs>
          <w:tab w:leader="none" w:pos="178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8" Type="http://schemas.openxmlformats.org/officeDocument/2006/relationships/hyperlink" Target="http://www.sec.gov/cgi-bin/browse-edgar?action=getcompany&amp;CIK=0001737066" TargetMode="External"/><Relationship Id="rId9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2023-06-21T01:42:55Z</dcterms:created>
  <dcterms:modified xsi:type="dcterms:W3CDTF">2023-06-21T01:42:55Z</dcterms:modified>
</cp:coreProperties>
</file>