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6"/>
        </w:trPr>
        <w:tc>
          <w:tcPr>
            <w:tcW w:w="24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>SEC Form 4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300" w:type="dxa"/>
            <w:vAlign w:val="bottom"/>
            <w:gridSpan w:val="2"/>
          </w:tcPr>
          <w:p>
            <w:pPr>
              <w:ind w:left="6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3"/>
                <w:szCs w:val="23"/>
                <w:b w:val="1"/>
                <w:bCs w:val="1"/>
                <w:color w:val="auto"/>
              </w:rPr>
              <w:t>FORM 4</w:t>
            </w:r>
          </w:p>
        </w:tc>
        <w:tc>
          <w:tcPr>
            <w:tcW w:w="6440" w:type="dxa"/>
            <w:vAlign w:val="bottom"/>
            <w:gridSpan w:val="6"/>
          </w:tcPr>
          <w:p>
            <w:pPr>
              <w:jc w:val="center"/>
              <w:ind w:right="3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" w:type="dxa"/>
            <w:vAlign w:val="bottom"/>
            <w:vMerge w:val="restart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760" w:type="dxa"/>
            <w:vAlign w:val="bottom"/>
            <w:gridSpan w:val="2"/>
            <w:vMerge w:val="restart"/>
          </w:tcPr>
          <w:p>
            <w:pPr>
              <w:jc w:val="center"/>
              <w:ind w:right="4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300" w:type="dxa"/>
            <w:vAlign w:val="bottom"/>
            <w:gridSpan w:val="2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Check this box if no longer subject to</w:t>
            </w:r>
          </w:p>
        </w:tc>
        <w:tc>
          <w:tcPr>
            <w:tcW w:w="2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180" w:type="dxa"/>
            <w:vAlign w:val="bottom"/>
            <w:gridSpan w:val="5"/>
            <w:vMerge w:val="restart"/>
          </w:tcPr>
          <w:p>
            <w:pPr>
              <w:jc w:val="center"/>
              <w:ind w:right="310"/>
              <w:spacing w:after="0" w:line="19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3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18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jc w:val="right"/>
              <w:ind w:righ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4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300" w:type="dxa"/>
            <w:vAlign w:val="bottom"/>
            <w:gridSpan w:val="2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Section 16. Form 4 or Form 5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300" w:type="dxa"/>
            <w:vAlign w:val="bottom"/>
            <w:gridSpan w:val="2"/>
          </w:tcPr>
          <w:p>
            <w:pPr>
              <w:ind w:left="2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 xml:space="preserve">obligations may continue. </w:t>
            </w:r>
            <w:r>
              <w:rPr>
                <w:rFonts w:ascii="Arial" w:cs="Arial" w:eastAsia="Arial" w:hAnsi="Arial"/>
                <w:sz w:val="12"/>
                <w:szCs w:val="12"/>
                <w:i w:val="1"/>
                <w:iCs w:val="1"/>
                <w:color w:val="auto"/>
              </w:rPr>
              <w:t>See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0" w:type="dxa"/>
            <w:vAlign w:val="bottom"/>
            <w:gridSpan w:val="4"/>
            <w:vMerge w:val="restart"/>
          </w:tcPr>
          <w:p>
            <w:pPr>
              <w:jc w:val="center"/>
              <w:ind w:left="73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1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5"/>
        </w:trPr>
        <w:tc>
          <w:tcPr>
            <w:tcW w:w="20" w:type="dxa"/>
            <w:vAlign w:val="bottom"/>
            <w:vMerge w:val="restart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vMerge w:val="restart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300" w:type="dxa"/>
            <w:vAlign w:val="bottom"/>
            <w:gridSpan w:val="2"/>
            <w:vMerge w:val="restart"/>
          </w:tcPr>
          <w:p>
            <w:pPr>
              <w:ind w:left="240"/>
              <w:spacing w:after="0" w:line="9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auto"/>
              </w:rPr>
              <w:t>Instruction 1(b).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300" w:type="dxa"/>
            <w:vAlign w:val="bottom"/>
            <w:gridSpan w:val="2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000" w:type="dxa"/>
            <w:vAlign w:val="bottom"/>
            <w:gridSpan w:val="4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760" w:type="dxa"/>
            <w:vAlign w:val="bottom"/>
            <w:gridSpan w:val="2"/>
          </w:tcPr>
          <w:p>
            <w:pPr>
              <w:jc w:val="center"/>
              <w:ind w:righ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or Section 30(h) of the Investment Company Act of 1940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4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660" w:type="dxa"/>
            <w:vAlign w:val="bottom"/>
            <w:gridSpan w:val="4"/>
          </w:tcPr>
          <w:p>
            <w:pPr>
              <w:ind w:left="60"/>
              <w:spacing w:after="0" w:line="20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1. Name and Address of Reporting Person</w:t>
            </w:r>
            <w:r>
              <w:rPr>
                <w:rFonts w:ascii="Arial" w:cs="Arial" w:eastAsia="Arial" w:hAnsi="Arial"/>
                <w:sz w:val="21"/>
                <w:szCs w:val="21"/>
                <w:color w:val="auto"/>
                <w:vertAlign w:val="superscript"/>
              </w:rPr>
              <w:t>*</w:t>
            </w: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7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2. 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24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300" w:type="dxa"/>
            <w:vAlign w:val="bottom"/>
            <w:gridSpan w:val="2"/>
            <w:vMerge w:val="restart"/>
          </w:tcPr>
          <w:p>
            <w:pPr>
              <w:spacing w:after="0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8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Buss Brad W</w:t>
              </w:r>
            </w:hyperlink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760" w:type="dxa"/>
            <w:vAlign w:val="bottom"/>
            <w:gridSpan w:val="2"/>
          </w:tcPr>
          <w:p>
            <w:pPr>
              <w:spacing w:after="0" w:line="105" w:lineRule="exact"/>
              <w:rPr>
                <w:rFonts w:ascii="Arial" w:cs="Arial" w:eastAsia="Arial" w:hAnsi="Arial"/>
                <w:sz w:val="12"/>
                <w:szCs w:val="12"/>
                <w:color w:val="0000EE"/>
              </w:rPr>
            </w:pPr>
            <w:hyperlink r:id="rId9">
              <w:r>
                <w:rPr>
                  <w:rFonts w:ascii="Arial" w:cs="Arial" w:eastAsia="Arial" w:hAnsi="Arial"/>
                  <w:sz w:val="12"/>
                  <w:szCs w:val="12"/>
                  <w:color w:val="0000EE"/>
                </w:rPr>
                <w:t xml:space="preserve">Marvell Technology, Inc. </w:t>
              </w:r>
            </w:hyperlink>
            <w:r>
              <w:rPr>
                <w:rFonts w:ascii="Arial" w:cs="Arial" w:eastAsia="Arial" w:hAnsi="Arial"/>
                <w:sz w:val="12"/>
                <w:szCs w:val="12"/>
                <w:color w:val="000000"/>
              </w:rPr>
              <w:t>[</w:t>
            </w:r>
            <w:r>
              <w:rPr>
                <w:rFonts w:ascii="Arial" w:cs="Arial" w:eastAsia="Arial" w:hAnsi="Arial"/>
                <w:sz w:val="12"/>
                <w:szCs w:val="12"/>
                <w:color w:val="0000EE"/>
              </w:rPr>
              <w:t xml:space="preserve"> </w:t>
            </w:r>
            <w:r>
              <w:rPr>
                <w:rFonts w:ascii="Arial" w:cs="Arial" w:eastAsia="Arial" w:hAnsi="Arial"/>
                <w:sz w:val="10"/>
                <w:szCs w:val="10"/>
                <w:color w:val="0000FF"/>
              </w:rPr>
              <w:t>MRVL</w:t>
            </w:r>
            <w:r>
              <w:rPr>
                <w:rFonts w:ascii="Arial" w:cs="Arial" w:eastAsia="Arial" w:hAnsi="Arial"/>
                <w:sz w:val="12"/>
                <w:szCs w:val="12"/>
                <w:color w:val="0000EE"/>
              </w:rPr>
              <w:t xml:space="preserve"> </w:t>
            </w:r>
            <w:r>
              <w:rPr>
                <w:rFonts w:ascii="Arial" w:cs="Arial" w:eastAsia="Arial" w:hAnsi="Arial"/>
                <w:sz w:val="12"/>
                <w:szCs w:val="12"/>
                <w:color w:val="000000"/>
              </w:rPr>
              <w:t>]</w:t>
            </w:r>
          </w:p>
        </w:tc>
        <w:tc>
          <w:tcPr>
            <w:tcW w:w="246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3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300" w:type="dxa"/>
            <w:vAlign w:val="bottom"/>
            <w:gridSpan w:val="2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100" w:type="dxa"/>
            <w:vAlign w:val="bottom"/>
            <w:tcBorders>
              <w:bottom w:val="single" w:sz="8" w:color="0000EE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80" w:type="dxa"/>
            <w:vAlign w:val="bottom"/>
            <w:vMerge w:val="restart"/>
          </w:tcPr>
          <w:p>
            <w:pPr>
              <w:ind w:left="26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 xml:space="preserve">X   </w:t>
            </w:r>
            <w:r>
              <w:rPr>
                <w:rFonts w:ascii="Arial" w:cs="Arial" w:eastAsia="Arial" w:hAnsi="Arial"/>
                <w:sz w:val="12"/>
                <w:szCs w:val="12"/>
                <w:color w:val="000000"/>
              </w:rPr>
              <w:t>Director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92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3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top w:val="single" w:sz="8" w:color="0000EE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-9525</wp:posOffset>
            </wp:positionH>
            <wp:positionV relativeFrom="paragraph">
              <wp:posOffset>-1137285</wp:posOffset>
            </wp:positionV>
            <wp:extent cx="6992620" cy="604075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2620" cy="60407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080"/>
          </w:cols>
          <w:pgMar w:left="460" w:top="222" w:right="359" w:bottom="1440" w:gutter="0" w:footer="0" w:header="0"/>
        </w:sectPr>
      </w:pPr>
    </w:p>
    <w:p>
      <w:pPr>
        <w:spacing w:after="0" w:line="252" w:lineRule="exact"/>
        <w:rPr>
          <w:sz w:val="20"/>
          <w:szCs w:val="20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2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58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0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60"/>
        </w:trPr>
        <w:tc>
          <w:tcPr>
            <w:tcW w:w="8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58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58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3" w:lineRule="exact"/>
        <w:rPr>
          <w:sz w:val="20"/>
          <w:szCs w:val="20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2"/>
        </w:trPr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4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2040" w:type="dxa"/>
            <w:vAlign w:val="bottom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44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</w:tr>
      <w:tr>
        <w:trPr>
          <w:trHeight w:val="215"/>
        </w:trPr>
        <w:tc>
          <w:tcPr>
            <w:tcW w:w="364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06/16/2023</w:t>
            </w:r>
          </w:p>
        </w:tc>
        <w:tc>
          <w:tcPr>
            <w:tcW w:w="2040" w:type="dxa"/>
            <w:vAlign w:val="bottom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44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</w:tr>
      <w:tr>
        <w:trPr>
          <w:trHeight w:val="104"/>
        </w:trPr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</w:tr>
      <w:tr>
        <w:trPr>
          <w:trHeight w:val="195"/>
        </w:trPr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4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3480" w:type="dxa"/>
            <w:vAlign w:val="bottom"/>
            <w:gridSpan w:val="2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</w:tr>
    </w:tbl>
    <w:p>
      <w:pPr>
        <w:ind w:left="39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100"/>
        <w:spacing w:after="0" w:line="231" w:lineRule="auto"/>
        <w:tabs>
          <w:tab w:leader="none" w:pos="442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97" w:lineRule="exact"/>
        <w:rPr>
          <w:sz w:val="20"/>
          <w:szCs w:val="20"/>
          <w:color w:val="auto"/>
        </w:rPr>
      </w:pPr>
    </w:p>
    <w:p>
      <w:pPr>
        <w:ind w:left="44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spacing w:after="0" w:line="2" w:lineRule="exact"/>
        <w:rPr>
          <w:sz w:val="20"/>
          <w:szCs w:val="20"/>
          <w:color w:val="auto"/>
        </w:rPr>
      </w:pPr>
    </w:p>
    <w:p>
      <w:pPr>
        <w:ind w:left="44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144" w:lineRule="exact"/>
        <w:rPr>
          <w:sz w:val="20"/>
          <w:szCs w:val="20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Rule 10b5-1(c) Transaction Indication</w:t>
      </w:r>
    </w:p>
    <w:p>
      <w:pPr>
        <w:spacing w:after="0" w:line="212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760" w:space="80"/>
            <w:col w:w="7240"/>
          </w:cols>
          <w:pgMar w:left="460" w:top="222" w:right="359" w:bottom="1440" w:gutter="0" w:footer="0" w:header="0"/>
          <w:type w:val="continuous"/>
        </w:sectPr>
      </w:pPr>
    </w:p>
    <w:p>
      <w:pPr>
        <w:ind w:left="4160" w:right="580"/>
        <w:spacing w:after="0" w:line="244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>Check this box to indicate that a transaction was made pursuant to a contract, instruction or written plan that is intended to satisfy the affirmative defense conditions of Rule 10b5-1(c). See Instruction 10.</w:t>
      </w:r>
    </w:p>
    <w:p>
      <w:pPr>
        <w:spacing w:after="0" w:line="194" w:lineRule="exact"/>
        <w:rPr>
          <w:sz w:val="20"/>
          <w:szCs w:val="20"/>
          <w:color w:val="auto"/>
        </w:r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5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60" w:type="dxa"/>
            <w:vAlign w:val="bottom"/>
            <w:gridSpan w:val="2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0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900" w:type="dxa"/>
            <w:vAlign w:val="bottom"/>
            <w:gridSpan w:val="4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ind w:left="70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0" w:type="dxa"/>
            <w:vAlign w:val="bottom"/>
            <w:gridSpan w:val="3"/>
          </w:tcPr>
          <w:p>
            <w:pPr>
              <w:ind w:left="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Transaction</w:t>
            </w:r>
          </w:p>
        </w:tc>
        <w:tc>
          <w:tcPr>
            <w:tcW w:w="1900" w:type="dxa"/>
            <w:vAlign w:val="bottom"/>
            <w:gridSpan w:val="4"/>
          </w:tcPr>
          <w:p>
            <w:pPr>
              <w:ind w:left="1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Disposed Of (D) (Instr. 3, 4 and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60" w:type="dxa"/>
            <w:vAlign w:val="bottom"/>
            <w:gridSpan w:val="2"/>
          </w:tcPr>
          <w:p>
            <w:pPr>
              <w:ind w:left="7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5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Code (Instr.</w:t>
            </w: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1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 V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ind w:left="2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60" w:type="dxa"/>
            <w:vAlign w:val="bottom"/>
            <w:gridSpan w:val="2"/>
            <w:vMerge w:val="restart"/>
          </w:tcPr>
          <w:p>
            <w:pPr>
              <w:jc w:val="right"/>
              <w:ind w:righ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7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60" w:type="dxa"/>
            <w:vAlign w:val="bottom"/>
            <w:gridSpan w:val="2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06/16/2023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0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4"/>
              </w:rPr>
              <w:t>4,320</w:t>
            </w:r>
          </w:p>
        </w:tc>
        <w:tc>
          <w:tcPr>
            <w:tcW w:w="64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60" w:type="dxa"/>
            <w:vAlign w:val="bottom"/>
            <w:gridSpan w:val="2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89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0.00</w:t>
            </w:r>
          </w:p>
        </w:tc>
        <w:tc>
          <w:tcPr>
            <w:tcW w:w="1300" w:type="dxa"/>
            <w:vAlign w:val="bottom"/>
            <w:gridSpan w:val="3"/>
          </w:tcPr>
          <w:p>
            <w:pPr>
              <w:ind w:lef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79,543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900" w:type="dxa"/>
            <w:vAlign w:val="bottom"/>
            <w:tcBorders>
              <w:bottom w:val="single" w:sz="8" w:color="2C2C2C"/>
            </w:tcBorders>
            <w:gridSpan w:val="7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58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7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40" w:type="dxa"/>
            <w:vAlign w:val="bottom"/>
            <w:tcBorders>
              <w:top w:val="single" w:sz="8" w:color="2C2C2C"/>
            </w:tcBorders>
            <w:gridSpan w:val="14"/>
          </w:tcPr>
          <w:p>
            <w:pPr>
              <w:ind w:left="10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40" w:type="dxa"/>
            <w:vAlign w:val="bottom"/>
            <w:gridSpan w:val="11"/>
          </w:tcPr>
          <w:p>
            <w:pPr>
              <w:jc w:val="right"/>
              <w:ind w:righ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 of</w:t>
            </w:r>
          </w:p>
        </w:tc>
        <w:tc>
          <w:tcPr>
            <w:tcW w:w="148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48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Ownership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48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 (A)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Disposed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  <w:vMerge w:val="restart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</w:t>
            </w:r>
          </w:p>
        </w:tc>
        <w:tc>
          <w:tcPr>
            <w:tcW w:w="4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00" w:type="dxa"/>
            <w:vAlign w:val="bottom"/>
            <w:vMerge w:val="restart"/>
          </w:tcPr>
          <w:p>
            <w:pPr>
              <w:jc w:val="right"/>
              <w:ind w:right="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4,320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1100" w:type="dxa"/>
            <w:vAlign w:val="bottom"/>
          </w:tcPr>
          <w:p>
            <w:pPr>
              <w:jc w:val="right"/>
              <w:ind w:right="195"/>
              <w:spacing w:after="0" w:line="13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06/16/2023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200"/>
              <w:spacing w:after="0" w:line="13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ind w:left="60"/>
              <w:spacing w:after="0" w:line="13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4,320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00" w:type="dxa"/>
            <w:vAlign w:val="bottom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140"/>
              <w:spacing w:after="0" w:line="13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jc w:val="right"/>
              <w:ind w:right="100"/>
              <w:spacing w:after="0" w:line="13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320"/>
              <w:spacing w:after="0" w:line="13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2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00" w:type="dxa"/>
            <w:vAlign w:val="bottom"/>
            <w:vMerge w:val="restart"/>
          </w:tcPr>
          <w:p>
            <w:pPr>
              <w:jc w:val="right"/>
              <w:ind w:right="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4,570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1100" w:type="dxa"/>
            <w:vAlign w:val="bottom"/>
          </w:tcPr>
          <w:p>
            <w:pPr>
              <w:jc w:val="right"/>
              <w:ind w:right="195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06/16/2023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20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ind w:left="8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4,570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700" w:type="dxa"/>
            <w:vAlign w:val="bottom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14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jc w:val="right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4,570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32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20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7006590</wp:posOffset>
            </wp:positionH>
            <wp:positionV relativeFrom="paragraph">
              <wp:posOffset>-2221230</wp:posOffset>
            </wp:positionV>
            <wp:extent cx="29210" cy="222631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" cy="2226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080"/>
          </w:cols>
          <w:pgMar w:left="460" w:top="222" w:right="359" w:bottom="1440" w:gutter="0" w:footer="0" w:header="0"/>
          <w:type w:val="continuous"/>
        </w:sectPr>
      </w:pPr>
    </w:p>
    <w:p>
      <w:pPr>
        <w:spacing w:after="0" w:line="22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4" w:lineRule="exact"/>
        <w:rPr>
          <w:sz w:val="20"/>
          <w:szCs w:val="20"/>
          <w:color w:val="auto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Restricted Stock Unit (RSU) represents a contingent right to receive one Marvell Technology, Inc. ("Marvell") common share upon vesting.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These RSUs vested as to 100% of the shares on June 16, 2023.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Vests 100% of shares on the earlier of the next annual meeting of Marvell stockholders or the one year anniversary of the RSU grant.</w:t>
      </w:r>
    </w:p>
    <w:p>
      <w:pPr>
        <w:spacing w:after="0" w:line="38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9" w:lineRule="exact"/>
        <w:rPr>
          <w:sz w:val="20"/>
          <w:szCs w:val="20"/>
          <w:color w:val="auto"/>
        </w:rPr>
      </w:pPr>
    </w:p>
    <w:p>
      <w:pPr>
        <w:ind w:left="65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Brad Buss by Blair Walters as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4184650</wp:posOffset>
            </wp:positionH>
            <wp:positionV relativeFrom="paragraph">
              <wp:posOffset>3175</wp:posOffset>
            </wp:positionV>
            <wp:extent cx="1289050" cy="825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05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2" w:lineRule="exact"/>
        <w:rPr>
          <w:sz w:val="20"/>
          <w:szCs w:val="20"/>
          <w:color w:val="auto"/>
        </w:rPr>
      </w:pPr>
    </w:p>
    <w:p>
      <w:pPr>
        <w:ind w:left="65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Attorney-in-Fact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4184650</wp:posOffset>
            </wp:positionH>
            <wp:positionV relativeFrom="paragraph">
              <wp:posOffset>-14605</wp:posOffset>
            </wp:positionV>
            <wp:extent cx="723265" cy="825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9" w:lineRule="exact"/>
        <w:rPr>
          <w:sz w:val="20"/>
          <w:szCs w:val="20"/>
          <w:color w:val="auto"/>
        </w:rPr>
      </w:pPr>
    </w:p>
    <w:p>
      <w:pPr>
        <w:ind w:left="65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22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06/20/2023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5715</wp:posOffset>
            </wp:positionH>
            <wp:positionV relativeFrom="paragraph">
              <wp:posOffset>3175</wp:posOffset>
            </wp:positionV>
            <wp:extent cx="490220" cy="825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22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72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46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8620" w:space="160"/>
            <w:col w:w="2300"/>
          </w:cols>
          <w:pgMar w:left="460" w:top="222" w:right="35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40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6" w:lineRule="exact"/>
        <w:rPr>
          <w:sz w:val="20"/>
          <w:szCs w:val="20"/>
          <w:color w:val="auto"/>
        </w:rPr>
      </w:pPr>
    </w:p>
    <w:p>
      <w:pPr>
        <w:jc w:val="both"/>
        <w:ind w:left="40" w:right="3520" w:firstLine="3"/>
        <w:spacing w:after="0" w:line="312" w:lineRule="auto"/>
        <w:tabs>
          <w:tab w:leader="none" w:pos="178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22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10" Type="http://schemas.openxmlformats.org/officeDocument/2006/relationships/image" Target="media/image1.png"/><Relationship Id="rId11" Type="http://schemas.openxmlformats.org/officeDocument/2006/relationships/image" Target="media/image2.png"/><Relationship Id="rId12" Type="http://schemas.openxmlformats.org/officeDocument/2006/relationships/image" Target="media/image3.png"/><Relationship Id="rId13" Type="http://schemas.openxmlformats.org/officeDocument/2006/relationships/image" Target="media/image4.png"/><Relationship Id="rId14" Type="http://schemas.openxmlformats.org/officeDocument/2006/relationships/image" Target="media/image5.png"/><Relationship Id="rId8" Type="http://schemas.openxmlformats.org/officeDocument/2006/relationships/hyperlink" Target="http://www.sec.gov/cgi-bin/browse-edgar?action=getcompany&amp;CIK=0001336664" TargetMode="External"/><Relationship Id="rId9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2023-06-21T09:50:03Z</dcterms:created>
  <dcterms:modified xsi:type="dcterms:W3CDTF">2023-06-21T09:50:03Z</dcterms:modified>
</cp:coreProperties>
</file>