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24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SEC Form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3"/>
                <w:szCs w:val="23"/>
                <w:b w:val="1"/>
                <w:bCs w:val="1"/>
                <w:color w:val="auto"/>
              </w:rPr>
              <w:t>FORM 4</w:t>
            </w:r>
          </w:p>
        </w:tc>
        <w:tc>
          <w:tcPr>
            <w:tcW w:w="6440" w:type="dxa"/>
            <w:vAlign w:val="bottom"/>
            <w:gridSpan w:val="6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restart"/>
          </w:tcPr>
          <w:p>
            <w:pPr>
              <w:jc w:val="center"/>
              <w:ind w:right="4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Check this box if no longer subject to</w:t>
            </w: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restart"/>
          </w:tcPr>
          <w:p>
            <w:pPr>
              <w:jc w:val="center"/>
              <w:ind w:right="310"/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Section 16. Form 4 or Form 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 xml:space="preserve">obligations may continue. </w:t>
            </w:r>
            <w:r>
              <w:rPr>
                <w:rFonts w:ascii="Arial" w:cs="Arial" w:eastAsia="Arial" w:hAnsi="Arial"/>
                <w:sz w:val="12"/>
                <w:szCs w:val="12"/>
                <w:i w:val="1"/>
                <w:iCs w:val="1"/>
                <w:color w:val="auto"/>
              </w:rPr>
              <w:t>See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restart"/>
          </w:tcPr>
          <w:p>
            <w:pPr>
              <w:jc w:val="center"/>
              <w:ind w:left="7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auto"/>
              </w:rPr>
              <w:t>Instruction 1(b).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or Section 30(h) of the Investment Company Act of 1940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60" w:type="dxa"/>
            <w:vAlign w:val="bottom"/>
            <w:gridSpan w:val="4"/>
          </w:tcPr>
          <w:p>
            <w:pPr>
              <w:ind w:left="60"/>
              <w:spacing w:after="0" w:line="2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8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Tamer Ford</w:t>
              </w:r>
            </w:hyperlink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 w:line="105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9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[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]</w:t>
            </w:r>
          </w:p>
        </w:tc>
        <w:tc>
          <w:tcPr>
            <w:tcW w:w="2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2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Director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9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-1137285</wp:posOffset>
            </wp:positionV>
            <wp:extent cx="6992620" cy="63881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38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</w:sectPr>
      </w:pPr>
    </w:p>
    <w:p>
      <w:pPr>
        <w:spacing w:after="0" w:line="252" w:lineRule="exact"/>
        <w:rPr>
          <w:sz w:val="20"/>
          <w:szCs w:val="20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0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" w:lineRule="exact"/>
        <w:rPr>
          <w:sz w:val="20"/>
          <w:szCs w:val="20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2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</w:tr>
      <w:tr>
        <w:trPr>
          <w:trHeight w:val="215"/>
        </w:trPr>
        <w:tc>
          <w:tcPr>
            <w:tcW w:w="36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</w:tr>
      <w:tr>
        <w:trPr>
          <w:trHeight w:val="104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</w:tr>
      <w:tr>
        <w:trPr>
          <w:trHeight w:val="195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8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31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4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ind w:left="4160" w:right="5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4,320</w:t>
            </w:r>
          </w:p>
        </w:tc>
        <w:tc>
          <w:tcPr>
            <w:tcW w:w="6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130,403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443,193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40" w:type="dxa"/>
            <w:vAlign w:val="bottom"/>
            <w:gridSpan w:val="14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1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4,320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4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1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4,570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-2221230</wp:posOffset>
            </wp:positionV>
            <wp:extent cx="29210" cy="22263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226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are held in the Fouad and Roula Tamer Revocable Trust dated 04/01/2004.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16, 2023.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meeting of Marvell stockholders or the one year anniversary of the RSU grant.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58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Ford Tamer by Blair Walters as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06/21/2023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4184650</wp:posOffset>
            </wp:positionH>
            <wp:positionV relativeFrom="paragraph">
              <wp:posOffset>-27305</wp:posOffset>
            </wp:positionV>
            <wp:extent cx="1344930" cy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4184650</wp:posOffset>
            </wp:positionH>
            <wp:positionV relativeFrom="paragraph">
              <wp:posOffset>-19685</wp:posOffset>
            </wp:positionV>
            <wp:extent cx="723265" cy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5581015</wp:posOffset>
            </wp:positionH>
            <wp:positionV relativeFrom="paragraph">
              <wp:posOffset>-85725</wp:posOffset>
            </wp:positionV>
            <wp:extent cx="49022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8" Type="http://schemas.openxmlformats.org/officeDocument/2006/relationships/hyperlink" Target="http://www.sec.gov/cgi-bin/browse-edgar?action=getcompany&amp;CIK=0001541375" TargetMode="External"/><Relationship Id="rId9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2023-06-21T17:29:18Z</dcterms:created>
  <dcterms:modified xsi:type="dcterms:W3CDTF">2023-06-21T17:29:18Z</dcterms:modified>
</cp:coreProperties>
</file>