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24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SEC Form 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ind w:left="6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3"/>
                <w:szCs w:val="23"/>
                <w:b w:val="1"/>
                <w:bCs w:val="1"/>
                <w:color w:val="auto"/>
              </w:rPr>
              <w:t>FORM 4</w:t>
            </w:r>
          </w:p>
        </w:tc>
        <w:tc>
          <w:tcPr>
            <w:tcW w:w="6440" w:type="dxa"/>
            <w:vAlign w:val="bottom"/>
            <w:gridSpan w:val="6"/>
          </w:tcPr>
          <w:p>
            <w:pPr>
              <w:jc w:val="center"/>
              <w:ind w:righ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  <w:vMerge w:val="restart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restart"/>
          </w:tcPr>
          <w:p>
            <w:pPr>
              <w:jc w:val="center"/>
              <w:ind w:right="4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Check this box if no longer subject to</w:t>
            </w: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180" w:type="dxa"/>
            <w:vAlign w:val="bottom"/>
            <w:gridSpan w:val="5"/>
            <w:vMerge w:val="restart"/>
          </w:tcPr>
          <w:p>
            <w:pPr>
              <w:jc w:val="center"/>
              <w:ind w:right="310"/>
              <w:spacing w:after="0" w:line="19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1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Section 16. Form 4 or Form 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 xml:space="preserve">obligations may continue. </w:t>
            </w:r>
            <w:r>
              <w:rPr>
                <w:rFonts w:ascii="Arial" w:cs="Arial" w:eastAsia="Arial" w:hAnsi="Arial"/>
                <w:sz w:val="12"/>
                <w:szCs w:val="12"/>
                <w:i w:val="1"/>
                <w:iCs w:val="1"/>
                <w:color w:val="auto"/>
              </w:rPr>
              <w:t>See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0" w:type="dxa"/>
            <w:vAlign w:val="bottom"/>
            <w:gridSpan w:val="4"/>
            <w:vMerge w:val="restart"/>
          </w:tcPr>
          <w:p>
            <w:pPr>
              <w:jc w:val="center"/>
              <w:ind w:left="7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  <w:vMerge w:val="restart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restart"/>
          </w:tcPr>
          <w:p>
            <w:pPr>
              <w:ind w:left="240"/>
              <w:spacing w:after="0" w:line="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auto"/>
              </w:rPr>
              <w:t>Instruction 1(b).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000" w:type="dxa"/>
            <w:vAlign w:val="bottom"/>
            <w:gridSpan w:val="4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</w:tcPr>
          <w:p>
            <w:pPr>
              <w:jc w:val="center"/>
              <w:ind w:righ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or Section 30(h) of the Investment Company Act of 1940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60" w:type="dxa"/>
            <w:vAlign w:val="bottom"/>
            <w:gridSpan w:val="4"/>
          </w:tcPr>
          <w:p>
            <w:pPr>
              <w:ind w:left="60"/>
              <w:spacing w:after="0" w:line="2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vertAlign w:val="superscript"/>
              </w:rPr>
              <w:t>*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8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Brown Tudor</w:t>
              </w:r>
            </w:hyperlink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</w:tcPr>
          <w:p>
            <w:pPr>
              <w:spacing w:after="0" w:line="105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9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[</w:t>
            </w:r>
            <w:r>
              <w:rPr>
                <w:rFonts w:ascii="Arial" w:cs="Arial" w:eastAsia="Arial" w:hAnsi="Arial"/>
                <w:sz w:val="12"/>
                <w:szCs w:val="12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2"/>
                <w:szCs w:val="12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]</w:t>
            </w:r>
          </w:p>
        </w:tc>
        <w:tc>
          <w:tcPr>
            <w:tcW w:w="2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100" w:type="dxa"/>
            <w:vAlign w:val="bottom"/>
            <w:tcBorders>
              <w:bottom w:val="single" w:sz="8" w:color="0000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2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Director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9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-1137285</wp:posOffset>
            </wp:positionV>
            <wp:extent cx="6992620" cy="62560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256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</w:sectPr>
      </w:pPr>
    </w:p>
    <w:p>
      <w:pPr>
        <w:spacing w:after="0" w:line="252" w:lineRule="exact"/>
        <w:rPr>
          <w:sz w:val="20"/>
          <w:szCs w:val="20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0"/>
        </w:trPr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3" w:lineRule="exact"/>
        <w:rPr>
          <w:sz w:val="20"/>
          <w:szCs w:val="20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2"/>
        </w:trPr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4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4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</w:tr>
      <w:tr>
        <w:trPr>
          <w:trHeight w:val="215"/>
        </w:trPr>
        <w:tc>
          <w:tcPr>
            <w:tcW w:w="36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06/16/2023</w:t>
            </w:r>
          </w:p>
        </w:tc>
        <w:tc>
          <w:tcPr>
            <w:tcW w:w="204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</w:tr>
      <w:tr>
        <w:trPr>
          <w:trHeight w:val="104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</w:tr>
      <w:tr>
        <w:trPr>
          <w:trHeight w:val="195"/>
        </w:trPr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4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8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</w:tr>
    </w:tbl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00"/>
        <w:spacing w:after="0" w:line="231" w:lineRule="auto"/>
        <w:tabs>
          <w:tab w:leader="none" w:pos="44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7" w:lineRule="exact"/>
        <w:rPr>
          <w:sz w:val="20"/>
          <w:szCs w:val="20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44" w:lineRule="exact"/>
        <w:rPr>
          <w:sz w:val="20"/>
          <w:szCs w:val="20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760" w:space="8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ind w:left="4160" w:right="580"/>
        <w:spacing w:after="0" w:line="24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94" w:lineRule="exact"/>
        <w:rPr>
          <w:sz w:val="20"/>
          <w:szCs w:val="20"/>
          <w:color w:val="auto"/>
        </w:r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5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0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6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3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1900" w:type="dxa"/>
            <w:vAlign w:val="bottom"/>
            <w:gridSpan w:val="4"/>
          </w:tcPr>
          <w:p>
            <w:pPr>
              <w:ind w:left="1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6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3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06/16/2023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1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4,320</w:t>
            </w:r>
          </w:p>
        </w:tc>
        <w:tc>
          <w:tcPr>
            <w:tcW w:w="6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34,564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06/16/2023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(1)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22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61.12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34,542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4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40" w:type="dxa"/>
            <w:vAlign w:val="bottom"/>
            <w:gridSpan w:val="11"/>
          </w:tcPr>
          <w:p>
            <w:pPr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4,320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00" w:type="dxa"/>
            <w:vAlign w:val="bottom"/>
          </w:tcPr>
          <w:p>
            <w:pPr>
              <w:jc w:val="right"/>
              <w:ind w:right="195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06/16/2023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4,320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ind w:right="10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56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4,570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00" w:type="dxa"/>
            <w:vAlign w:val="bottom"/>
          </w:tcPr>
          <w:p>
            <w:pPr>
              <w:jc w:val="right"/>
              <w:ind w:right="195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06/16/2023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4,570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4,570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56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-2221230</wp:posOffset>
            </wp:positionV>
            <wp:extent cx="29210" cy="22263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226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1. Surrender of shares in payment of tax withholding due as a result of the vesting of restricted stock units ("RSUs").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2. Each RSU represents a contingent right to receive one Marvell Technology, Inc. ("Marvell") common share upon vesting.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3. These RSUs vested as to 100% of the shares on June 16, 2023.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4. Vests 100% of shares on the earlier of the next annual meeting of Marvell stockholders or the one year anniversary of the RSU grant.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35"/>
        </w:trPr>
        <w:tc>
          <w:tcPr>
            <w:tcW w:w="8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7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Tudor Brown by Blair Walters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06/21/2023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 w:line="18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as Attorney-in-Fact.</w:t>
            </w:r>
          </w:p>
        </w:tc>
        <w:tc>
          <w:tcPr>
            <w:tcW w:w="78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5"/>
        </w:trPr>
        <w:tc>
          <w:tcPr>
            <w:tcW w:w="8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5"/>
        </w:trPr>
        <w:tc>
          <w:tcPr>
            <w:tcW w:w="87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both"/>
        <w:ind w:left="40" w:right="3520" w:firstLine="3"/>
        <w:spacing w:after="0" w:line="312" w:lineRule="auto"/>
        <w:tabs>
          <w:tab w:leader="none" w:pos="178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8" Type="http://schemas.openxmlformats.org/officeDocument/2006/relationships/hyperlink" Target="http://www.sec.gov/cgi-bin/browse-edgar?action=getcompany&amp;CIK=0001577816" TargetMode="External"/><Relationship Id="rId9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2023-06-21T18:11:16Z</dcterms:created>
  <dcterms:modified xsi:type="dcterms:W3CDTF">2023-06-21T18:11:16Z</dcterms:modified>
</cp:coreProperties>
</file>