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24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SEC Form 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</w:tcPr>
          <w:p>
            <w:pPr>
              <w:ind w:left="6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3"/>
                <w:szCs w:val="23"/>
                <w:b w:val="1"/>
                <w:bCs w:val="1"/>
                <w:color w:val="auto"/>
              </w:rPr>
              <w:t>FORM 4</w:t>
            </w:r>
          </w:p>
        </w:tc>
        <w:tc>
          <w:tcPr>
            <w:tcW w:w="6440" w:type="dxa"/>
            <w:vAlign w:val="bottom"/>
            <w:gridSpan w:val="6"/>
          </w:tcPr>
          <w:p>
            <w:pPr>
              <w:jc w:val="center"/>
              <w:ind w:right="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  <w:vMerge w:val="restart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vMerge w:val="restart"/>
          </w:tcPr>
          <w:p>
            <w:pPr>
              <w:jc w:val="center"/>
              <w:ind w:right="4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Check this box if no longer subject to</w:t>
            </w:r>
          </w:p>
        </w:tc>
        <w:tc>
          <w:tcPr>
            <w:tcW w:w="2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180" w:type="dxa"/>
            <w:vAlign w:val="bottom"/>
            <w:gridSpan w:val="5"/>
            <w:vMerge w:val="restart"/>
          </w:tcPr>
          <w:p>
            <w:pPr>
              <w:jc w:val="center"/>
              <w:ind w:right="310"/>
              <w:spacing w:after="0" w:line="19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18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Section 16. Form 4 or Form 5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</w:tcPr>
          <w:p>
            <w:pPr>
              <w:ind w:left="2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 xml:space="preserve">obligations may continue. </w:t>
            </w:r>
            <w:r>
              <w:rPr>
                <w:rFonts w:ascii="Arial" w:cs="Arial" w:eastAsia="Arial" w:hAnsi="Arial"/>
                <w:sz w:val="12"/>
                <w:szCs w:val="12"/>
                <w:i w:val="1"/>
                <w:iCs w:val="1"/>
                <w:color w:val="auto"/>
              </w:rPr>
              <w:t>See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0" w:type="dxa"/>
            <w:vAlign w:val="bottom"/>
            <w:gridSpan w:val="4"/>
            <w:vMerge w:val="restart"/>
          </w:tcPr>
          <w:p>
            <w:pPr>
              <w:jc w:val="center"/>
              <w:ind w:left="73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1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  <w:vMerge w:val="restart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vMerge w:val="restart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restart"/>
          </w:tcPr>
          <w:p>
            <w:pPr>
              <w:ind w:left="240"/>
              <w:spacing w:after="0" w:line="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auto"/>
              </w:rPr>
              <w:t>Instruction 1(b).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000" w:type="dxa"/>
            <w:vAlign w:val="bottom"/>
            <w:gridSpan w:val="4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</w:tcPr>
          <w:p>
            <w:pPr>
              <w:jc w:val="center"/>
              <w:ind w:righ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or Section 30(h) of the Investment Company Act of 1940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60" w:type="dxa"/>
            <w:vAlign w:val="bottom"/>
            <w:gridSpan w:val="4"/>
          </w:tcPr>
          <w:p>
            <w:pPr>
              <w:ind w:left="60"/>
              <w:spacing w:after="0" w:line="20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  <w:vertAlign w:val="superscript"/>
              </w:rPr>
              <w:t>*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24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8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Knight Marachel</w:t>
              </w:r>
            </w:hyperlink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</w:tcPr>
          <w:p>
            <w:pPr>
              <w:spacing w:after="0" w:line="105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9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 xml:space="preserve">Marvell Technology, Inc. </w:t>
              </w:r>
            </w:hyperlink>
            <w:r>
              <w:rPr>
                <w:rFonts w:ascii="Arial" w:cs="Arial" w:eastAsia="Arial" w:hAnsi="Arial"/>
                <w:sz w:val="12"/>
                <w:szCs w:val="12"/>
                <w:color w:val="000000"/>
              </w:rPr>
              <w:t>[</w:t>
            </w:r>
            <w:r>
              <w:rPr>
                <w:rFonts w:ascii="Arial" w:cs="Arial" w:eastAsia="Arial" w:hAnsi="Arial"/>
                <w:sz w:val="12"/>
                <w:szCs w:val="12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2"/>
                <w:szCs w:val="12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2"/>
                <w:szCs w:val="12"/>
                <w:color w:val="000000"/>
              </w:rPr>
              <w:t>]</w:t>
            </w:r>
          </w:p>
        </w:tc>
        <w:tc>
          <w:tcPr>
            <w:tcW w:w="246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100" w:type="dxa"/>
            <w:vAlign w:val="bottom"/>
            <w:tcBorders>
              <w:bottom w:val="single" w:sz="8" w:color="0000EE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80" w:type="dxa"/>
            <w:vAlign w:val="bottom"/>
            <w:vMerge w:val="restart"/>
          </w:tcPr>
          <w:p>
            <w:pPr>
              <w:ind w:left="2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2"/>
                <w:szCs w:val="12"/>
                <w:color w:val="000000"/>
              </w:rPr>
              <w:t>Director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92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-9525</wp:posOffset>
            </wp:positionH>
            <wp:positionV relativeFrom="paragraph">
              <wp:posOffset>-1137285</wp:posOffset>
            </wp:positionV>
            <wp:extent cx="6992620" cy="617347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6173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1440" w:gutter="0" w:footer="0" w:header="0"/>
        </w:sectPr>
      </w:pPr>
    </w:p>
    <w:p>
      <w:pPr>
        <w:spacing w:after="0" w:line="252" w:lineRule="exact"/>
        <w:rPr>
          <w:sz w:val="20"/>
          <w:szCs w:val="20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60"/>
        </w:trPr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3" w:lineRule="exact"/>
        <w:rPr>
          <w:sz w:val="20"/>
          <w:szCs w:val="20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2"/>
        </w:trPr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4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40" w:type="dxa"/>
            <w:vAlign w:val="bottom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</w:tr>
      <w:tr>
        <w:trPr>
          <w:trHeight w:val="215"/>
        </w:trPr>
        <w:tc>
          <w:tcPr>
            <w:tcW w:w="36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06/16/2023</w:t>
            </w:r>
          </w:p>
        </w:tc>
        <w:tc>
          <w:tcPr>
            <w:tcW w:w="2040" w:type="dxa"/>
            <w:vAlign w:val="bottom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</w:tr>
      <w:tr>
        <w:trPr>
          <w:trHeight w:val="104"/>
        </w:trPr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</w:tr>
      <w:tr>
        <w:trPr>
          <w:trHeight w:val="195"/>
        </w:trPr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4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80" w:type="dxa"/>
            <w:vAlign w:val="bottom"/>
            <w:gridSpan w:val="2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</w:tr>
    </w:tbl>
    <w:p>
      <w:pPr>
        <w:ind w:left="39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100"/>
        <w:spacing w:after="0" w:line="231" w:lineRule="auto"/>
        <w:tabs>
          <w:tab w:leader="none" w:pos="44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97" w:lineRule="exact"/>
        <w:rPr>
          <w:sz w:val="20"/>
          <w:szCs w:val="20"/>
          <w:color w:val="auto"/>
        </w:rPr>
      </w:pPr>
    </w:p>
    <w:p>
      <w:pPr>
        <w:ind w:left="4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left="4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144" w:lineRule="exact"/>
        <w:rPr>
          <w:sz w:val="20"/>
          <w:szCs w:val="20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Rule 10b5-1(c) Transaction Indication</w:t>
      </w:r>
    </w:p>
    <w:p>
      <w:pPr>
        <w:spacing w:after="0" w:line="21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760" w:space="80"/>
            <w:col w:w="7240"/>
          </w:cols>
          <w:pgMar w:left="460" w:top="222" w:right="359" w:bottom="1440" w:gutter="0" w:footer="0" w:header="0"/>
          <w:type w:val="continuous"/>
        </w:sectPr>
      </w:pPr>
    </w:p>
    <w:p>
      <w:pPr>
        <w:ind w:left="4160" w:right="580"/>
        <w:spacing w:after="0" w:line="24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Check this box to indicate that a transaction was made pursuant to a contract, instruction or written plan that is intended to satisfy the affirmative defense conditions of Rule 10b5-1(c). See Instruction 10.</w:t>
      </w:r>
    </w:p>
    <w:p>
      <w:pPr>
        <w:spacing w:after="0" w:line="194" w:lineRule="exact"/>
        <w:rPr>
          <w:sz w:val="20"/>
          <w:szCs w:val="20"/>
          <w:color w:val="auto"/>
        </w:r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5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6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00" w:type="dxa"/>
            <w:vAlign w:val="bottom"/>
            <w:gridSpan w:val="4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7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Transaction</w:t>
            </w:r>
          </w:p>
        </w:tc>
        <w:tc>
          <w:tcPr>
            <w:tcW w:w="1900" w:type="dxa"/>
            <w:vAlign w:val="bottom"/>
            <w:gridSpan w:val="4"/>
          </w:tcPr>
          <w:p>
            <w:pPr>
              <w:ind w:left="1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60" w:type="dxa"/>
            <w:vAlign w:val="bottom"/>
            <w:gridSpan w:val="2"/>
          </w:tcPr>
          <w:p>
            <w:pPr>
              <w:ind w:left="7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760" w:type="dxa"/>
            <w:vAlign w:val="bottom"/>
            <w:gridSpan w:val="2"/>
            <w:vMerge w:val="restart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06/16/2023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4,320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0.00</w:t>
            </w:r>
          </w:p>
        </w:tc>
        <w:tc>
          <w:tcPr>
            <w:tcW w:w="1300" w:type="dxa"/>
            <w:vAlign w:val="bottom"/>
            <w:gridSpan w:val="3"/>
            <w:vMerge w:val="restart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15,105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40" w:type="dxa"/>
            <w:vAlign w:val="bottom"/>
            <w:gridSpan w:val="14"/>
          </w:tcPr>
          <w:p>
            <w:pPr>
              <w:ind w:left="10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40" w:type="dxa"/>
            <w:vAlign w:val="bottom"/>
            <w:gridSpan w:val="11"/>
          </w:tcPr>
          <w:p>
            <w:pPr>
              <w:jc w:val="right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4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8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4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jc w:val="right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4,320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00" w:type="dxa"/>
            <w:vAlign w:val="bottom"/>
          </w:tcPr>
          <w:p>
            <w:pPr>
              <w:jc w:val="right"/>
              <w:ind w:right="195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06/16/2023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20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ind w:left="6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4,320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0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14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right"/>
              <w:ind w:right="10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2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jc w:val="right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4,570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00" w:type="dxa"/>
            <w:vAlign w:val="bottom"/>
          </w:tcPr>
          <w:p>
            <w:pPr>
              <w:jc w:val="right"/>
              <w:ind w:right="195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06/16/2023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20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ind w:left="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4,570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0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1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right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4,570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-2221230</wp:posOffset>
            </wp:positionV>
            <wp:extent cx="29210" cy="22263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226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1440" w:gutter="0" w:footer="0" w:header="0"/>
          <w:type w:val="continuous"/>
        </w:sectPr>
      </w:pPr>
    </w:p>
    <w:p>
      <w:pPr>
        <w:spacing w:after="0" w:line="22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4" w:lineRule="exact"/>
        <w:rPr>
          <w:sz w:val="20"/>
          <w:szCs w:val="20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Shares held in the Marachel L. Knight Revocable Living Trust, DTD March 8, 2016, of which the Reporting person is the sole beneficiary and sole trustee.</w:t>
      </w:r>
    </w:p>
    <w:p>
      <w:pPr>
        <w:spacing w:after="0" w:line="57" w:lineRule="exact"/>
        <w:rPr>
          <w:rFonts w:ascii="Arial" w:cs="Arial" w:eastAsia="Arial" w:hAnsi="Arial"/>
          <w:sz w:val="12"/>
          <w:szCs w:val="12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("RSU") represents a contingent right to receive one Marvell Technology, Inc.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RSUs vested as to 100% of the shares on June 16, 2023.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Vests 100% of shares on the earlier of the next annual meeting of Marvell stockholders or the one year anniversary of the RSU grant.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9" w:lineRule="exact"/>
        <w:rPr>
          <w:sz w:val="20"/>
          <w:szCs w:val="20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Marachel Knight by Blair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4184650</wp:posOffset>
            </wp:positionH>
            <wp:positionV relativeFrom="paragraph">
              <wp:posOffset>-10795</wp:posOffset>
            </wp:positionV>
            <wp:extent cx="1108075" cy="82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07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Walters as 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4184650</wp:posOffset>
            </wp:positionH>
            <wp:positionV relativeFrom="paragraph">
              <wp:posOffset>0</wp:posOffset>
            </wp:positionV>
            <wp:extent cx="1186180" cy="825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18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2" w:lineRule="exact"/>
        <w:rPr>
          <w:sz w:val="20"/>
          <w:szCs w:val="20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06/21/2023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5715</wp:posOffset>
            </wp:positionH>
            <wp:positionV relativeFrom="paragraph">
              <wp:posOffset>3175</wp:posOffset>
            </wp:positionV>
            <wp:extent cx="490220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480" w:space="300"/>
            <w:col w:w="2300"/>
          </w:cols>
          <w:pgMar w:left="460" w:top="222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0"/>
          <w:szCs w:val="20"/>
          <w:color w:val="auto"/>
        </w:rPr>
      </w:pPr>
    </w:p>
    <w:p>
      <w:pPr>
        <w:jc w:val="both"/>
        <w:ind w:left="40" w:right="3520" w:firstLine="3"/>
        <w:spacing w:after="0" w:line="312" w:lineRule="auto"/>
        <w:tabs>
          <w:tab w:leader="none" w:pos="178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image" Target="media/image4.png"/><Relationship Id="rId14" Type="http://schemas.openxmlformats.org/officeDocument/2006/relationships/image" Target="media/image5.png"/><Relationship Id="rId8" Type="http://schemas.openxmlformats.org/officeDocument/2006/relationships/hyperlink" Target="http://www.sec.gov/cgi-bin/browse-edgar?action=getcompany&amp;CIK=0001819836" TargetMode="External"/><Relationship Id="rId9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2023-06-21T19:01:18Z</dcterms:created>
  <dcterms:modified xsi:type="dcterms:W3CDTF">2023-06-21T19:01:18Z</dcterms:modified>
</cp:coreProperties>
</file>