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2" w:lineRule="exact"/>
        <w:rPr>
          <w:sz w:val="24"/>
          <w:szCs w:val="24"/>
          <w:color w:val="auto"/>
        </w:rPr>
      </w:pPr>
    </w:p>
    <w:p>
      <w:pPr>
        <w:ind w:left="36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-233680</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7"/>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00" w:type="dxa"/>
            <w:vAlign w:val="bottom"/>
            <w:vMerge w:val="restart"/>
          </w:tcPr>
          <w:p>
            <w:pPr>
              <w:jc w:val="center"/>
              <w:ind w:right="176"/>
              <w:spacing w:after="0" w:line="141"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63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1"/>
        </w:trPr>
        <w:tc>
          <w:tcPr>
            <w:tcW w:w="63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20955</wp:posOffset>
            </wp:positionV>
            <wp:extent cx="7046595" cy="49276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6595" cy="492760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60" w:space="300"/>
            <w:col w:w="8520"/>
          </w:cols>
          <w:pgMar w:left="460" w:top="221"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Hussain Muhammad Raghib</w:t>
        </w:r>
      </w:hyperlink>
    </w:p>
    <w:p>
      <w:pPr>
        <w:spacing w:after="0" w:line="295" w:lineRule="exact"/>
        <w:rPr>
          <w:sz w:val="24"/>
          <w:szCs w:val="24"/>
          <w:color w:val="auto"/>
        </w:rPr>
      </w:pPr>
    </w:p>
    <w:tbl>
      <w:tblPr>
        <w:tblLayout w:type="fixed"/>
        <w:tblInd w:w="80" w:type="dxa"/>
        <w:tblCellMar>
          <w:top w:w="0" w:type="dxa"/>
          <w:left w:w="0" w:type="dxa"/>
          <w:bottom w:w="0" w:type="dxa"/>
          <w:right w:w="0" w:type="dxa"/>
        </w:tblCellMar>
      </w:tblPr>
      <w:tr>
        <w:trPr>
          <w:trHeight w:val="163"/>
        </w:trPr>
        <w:tc>
          <w:tcPr>
            <w:tcW w:w="20" w:type="dxa"/>
            <w:vAlign w:val="bottom"/>
          </w:tcPr>
          <w:p>
            <w:pPr>
              <w:spacing w:after="0"/>
              <w:rPr>
                <w:sz w:val="14"/>
                <w:szCs w:val="1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0"/>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1"/>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7"/>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1"/>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60" w:type="dxa"/>
            <w:vAlign w:val="bottom"/>
            <w:tcBorders>
              <w:bottom w:val="single" w:sz="8" w:color="9A9A9A"/>
            </w:tcBorders>
          </w:tcPr>
          <w:p>
            <w:pPr>
              <w:spacing w:after="0"/>
              <w:rPr>
                <w:sz w:val="12"/>
                <w:szCs w:val="12"/>
                <w:color w:val="auto"/>
              </w:rPr>
            </w:pPr>
          </w:p>
        </w:tc>
        <w:tc>
          <w:tcPr>
            <w:tcW w:w="156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64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1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137"/>
        </w:trPr>
        <w:tc>
          <w:tcPr>
            <w:tcW w:w="3820" w:type="dxa"/>
            <w:vAlign w:val="bottom"/>
            <w:gridSpan w:val="4"/>
          </w:tcPr>
          <w:p>
            <w:pPr>
              <w:ind w:left="60"/>
              <w:spacing w:after="0" w:line="138"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Inc. </w:t>
              </w:r>
            </w:hyperlink>
            <w:r>
              <w:rPr>
                <w:rFonts w:ascii="Arial" w:cs="Arial" w:eastAsia="Arial" w:hAnsi="Arial"/>
                <w:sz w:val="15"/>
                <w:szCs w:val="15"/>
                <w:color w:val="000000"/>
              </w:rPr>
              <w:t>[</w:t>
            </w:r>
            <w:r>
              <w:rPr>
                <w:rFonts w:ascii="Arial" w:cs="Arial" w:eastAsia="Arial" w:hAnsi="Arial"/>
                <w:sz w:val="15"/>
                <w:szCs w:val="15"/>
                <w:color w:val="0000EE"/>
              </w:rPr>
              <w:t xml:space="preserve"> </w:t>
            </w:r>
            <w:r>
              <w:rPr>
                <w:rFonts w:ascii="Arial" w:cs="Arial" w:eastAsia="Arial" w:hAnsi="Arial"/>
                <w:sz w:val="12"/>
                <w:szCs w:val="12"/>
                <w:color w:val="0000FF"/>
              </w:rPr>
              <w:t>MRVL</w:t>
            </w:r>
            <w:r>
              <w:rPr>
                <w:rFonts w:ascii="Arial" w:cs="Arial" w:eastAsia="Arial" w:hAnsi="Arial"/>
                <w:sz w:val="15"/>
                <w:szCs w:val="15"/>
                <w:color w:val="0000EE"/>
              </w:rPr>
              <w:t xml:space="preserve"> </w:t>
            </w:r>
            <w:r>
              <w:rPr>
                <w:rFonts w:ascii="Arial" w:cs="Arial" w:eastAsia="Arial" w:hAnsi="Arial"/>
                <w:sz w:val="15"/>
                <w:szCs w:val="15"/>
                <w:color w:val="000000"/>
              </w:rPr>
              <w:t>]</w:t>
            </w:r>
          </w:p>
        </w:tc>
        <w:tc>
          <w:tcPr>
            <w:tcW w:w="1840" w:type="dxa"/>
            <w:vAlign w:val="bottom"/>
            <w:gridSpan w:val="3"/>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1960" w:type="dxa"/>
            <w:vAlign w:val="bottom"/>
          </w:tcPr>
          <w:p>
            <w:pPr>
              <w:spacing w:after="0"/>
              <w:rPr>
                <w:sz w:val="3"/>
                <w:szCs w:val="3"/>
                <w:color w:val="auto"/>
              </w:rPr>
            </w:pPr>
          </w:p>
        </w:tc>
        <w:tc>
          <w:tcPr>
            <w:tcW w:w="1680" w:type="dxa"/>
            <w:vAlign w:val="bottom"/>
          </w:tcPr>
          <w:p>
            <w:pPr>
              <w:spacing w:after="0"/>
              <w:rPr>
                <w:sz w:val="3"/>
                <w:szCs w:val="3"/>
                <w:color w:val="auto"/>
              </w:rPr>
            </w:pPr>
          </w:p>
        </w:tc>
        <w:tc>
          <w:tcPr>
            <w:tcW w:w="1840" w:type="dxa"/>
            <w:vAlign w:val="bottom"/>
            <w:gridSpan w:val="3"/>
            <w:vMerge w:val="continue"/>
          </w:tcPr>
          <w:p>
            <w:pPr>
              <w:spacing w:after="0"/>
              <w:rPr>
                <w:sz w:val="3"/>
                <w:szCs w:val="3"/>
                <w:color w:val="auto"/>
              </w:rPr>
            </w:pPr>
          </w:p>
        </w:tc>
        <w:tc>
          <w:tcPr>
            <w:tcW w:w="14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1960" w:type="dxa"/>
            <w:vAlign w:val="bottom"/>
            <w:tcBorders>
              <w:bottom w:val="single" w:sz="8" w:color="0000EE"/>
            </w:tcBorders>
          </w:tcPr>
          <w:p>
            <w:pPr>
              <w:spacing w:after="0"/>
              <w:rPr>
                <w:sz w:val="3"/>
                <w:szCs w:val="3"/>
                <w:color w:val="auto"/>
              </w:rPr>
            </w:pPr>
          </w:p>
        </w:tc>
        <w:tc>
          <w:tcPr>
            <w:tcW w:w="1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21"/>
        </w:trPr>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960" w:type="dxa"/>
            <w:vAlign w:val="bottom"/>
          </w:tcPr>
          <w:p>
            <w:pPr>
              <w:spacing w:after="0"/>
              <w:rPr>
                <w:sz w:val="10"/>
                <w:szCs w:val="10"/>
                <w:color w:val="auto"/>
              </w:rPr>
            </w:pPr>
          </w:p>
        </w:tc>
        <w:tc>
          <w:tcPr>
            <w:tcW w:w="1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360" w:type="dxa"/>
            <w:vAlign w:val="bottom"/>
            <w:vMerge w:val="continue"/>
          </w:tcPr>
          <w:p>
            <w:pPr>
              <w:spacing w:after="0"/>
              <w:rPr>
                <w:sz w:val="10"/>
                <w:szCs w:val="10"/>
                <w:color w:val="auto"/>
              </w:rPr>
            </w:pPr>
          </w:p>
        </w:tc>
        <w:tc>
          <w:tcPr>
            <w:tcW w:w="14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71"/>
        </w:trPr>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1960" w:type="dxa"/>
            <w:vAlign w:val="bottom"/>
            <w:tcBorders>
              <w:bottom w:val="single" w:sz="8" w:color="2C2C2C"/>
            </w:tcBorders>
          </w:tcPr>
          <w:p>
            <w:pPr>
              <w:spacing w:after="0"/>
              <w:rPr>
                <w:sz w:val="6"/>
                <w:szCs w:val="6"/>
                <w:color w:val="auto"/>
              </w:rPr>
            </w:pPr>
          </w:p>
        </w:tc>
        <w:tc>
          <w:tcPr>
            <w:tcW w:w="1680" w:type="dxa"/>
            <w:vAlign w:val="bottom"/>
            <w:tcBorders>
              <w:bottom w:val="single" w:sz="8" w:color="2C2C2C"/>
            </w:tcBorders>
          </w:tcPr>
          <w:p>
            <w:pPr>
              <w:spacing w:after="0"/>
              <w:rPr>
                <w:sz w:val="6"/>
                <w:szCs w:val="6"/>
                <w:color w:val="auto"/>
              </w:rPr>
            </w:pPr>
          </w:p>
        </w:tc>
        <w:tc>
          <w:tcPr>
            <w:tcW w:w="180" w:type="dxa"/>
            <w:vAlign w:val="bottom"/>
          </w:tcPr>
          <w:p>
            <w:pPr>
              <w:spacing w:after="0"/>
              <w:rPr>
                <w:sz w:val="6"/>
                <w:szCs w:val="6"/>
                <w:color w:val="auto"/>
              </w:rPr>
            </w:pPr>
          </w:p>
        </w:tc>
        <w:tc>
          <w:tcPr>
            <w:tcW w:w="300" w:type="dxa"/>
            <w:vAlign w:val="bottom"/>
            <w:vMerge w:val="restart"/>
          </w:tcPr>
          <w:p>
            <w:pPr>
              <w:ind w:left="80"/>
              <w:spacing w:after="0"/>
              <w:rPr>
                <w:sz w:val="20"/>
                <w:szCs w:val="20"/>
                <w:color w:val="auto"/>
              </w:rPr>
            </w:pPr>
            <w:r>
              <w:rPr>
                <w:rFonts w:ascii="Arial" w:cs="Arial" w:eastAsia="Arial" w:hAnsi="Arial"/>
                <w:sz w:val="17"/>
                <w:szCs w:val="17"/>
                <w:color w:val="0000FF"/>
              </w:rPr>
              <w:t>X</w:t>
            </w: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82"/>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64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7"/>
                <w:szCs w:val="7"/>
                <w:color w:val="auto"/>
              </w:rPr>
            </w:pPr>
          </w:p>
        </w:tc>
        <w:tc>
          <w:tcPr>
            <w:tcW w:w="300" w:type="dxa"/>
            <w:vAlign w:val="bottom"/>
            <w:vMerge w:val="continue"/>
          </w:tcPr>
          <w:p>
            <w:pPr>
              <w:spacing w:after="0"/>
              <w:rPr>
                <w:sz w:val="7"/>
                <w:szCs w:val="7"/>
                <w:color w:val="auto"/>
              </w:rPr>
            </w:pPr>
          </w:p>
        </w:tc>
        <w:tc>
          <w:tcPr>
            <w:tcW w:w="136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17"/>
        </w:trPr>
        <w:tc>
          <w:tcPr>
            <w:tcW w:w="180" w:type="dxa"/>
            <w:vAlign w:val="bottom"/>
            <w:gridSpan w:val="2"/>
            <w:vMerge w:val="continue"/>
          </w:tcPr>
          <w:p>
            <w:pPr>
              <w:spacing w:after="0"/>
              <w:rPr>
                <w:sz w:val="10"/>
                <w:szCs w:val="10"/>
                <w:color w:val="auto"/>
              </w:rPr>
            </w:pPr>
          </w:p>
        </w:tc>
        <w:tc>
          <w:tcPr>
            <w:tcW w:w="3640" w:type="dxa"/>
            <w:vAlign w:val="bottom"/>
            <w:gridSpan w:val="2"/>
            <w:vMerge w:val="continue"/>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vMerge w:val="continue"/>
          </w:tcPr>
          <w:p>
            <w:pPr>
              <w:spacing w:after="0"/>
              <w:rPr>
                <w:sz w:val="10"/>
                <w:szCs w:val="10"/>
                <w:color w:val="auto"/>
              </w:rPr>
            </w:pPr>
          </w:p>
        </w:tc>
        <w:tc>
          <w:tcPr>
            <w:tcW w:w="1360" w:type="dxa"/>
            <w:vAlign w:val="bottom"/>
          </w:tcPr>
          <w:p>
            <w:pPr>
              <w:ind w:left="120"/>
              <w:spacing w:after="0" w:line="118" w:lineRule="exact"/>
              <w:rPr>
                <w:sz w:val="20"/>
                <w:szCs w:val="20"/>
                <w:color w:val="auto"/>
              </w:rPr>
            </w:pPr>
            <w:r>
              <w:rPr>
                <w:rFonts w:ascii="Arial" w:cs="Arial" w:eastAsia="Arial" w:hAnsi="Arial"/>
                <w:sz w:val="13"/>
                <w:szCs w:val="13"/>
                <w:color w:val="auto"/>
              </w:rPr>
              <w:t>below)</w:t>
            </w:r>
          </w:p>
        </w:tc>
        <w:tc>
          <w:tcPr>
            <w:tcW w:w="1460" w:type="dxa"/>
            <w:vAlign w:val="bottom"/>
          </w:tcPr>
          <w:p>
            <w:pPr>
              <w:ind w:left="320"/>
              <w:spacing w:after="0" w:line="118"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4"/>
        </w:trPr>
        <w:tc>
          <w:tcPr>
            <w:tcW w:w="2140" w:type="dxa"/>
            <w:vAlign w:val="bottom"/>
            <w:gridSpan w:val="3"/>
          </w:tcPr>
          <w:p>
            <w:pPr>
              <w:ind w:left="60"/>
              <w:spacing w:after="0"/>
              <w:rPr>
                <w:sz w:val="20"/>
                <w:szCs w:val="20"/>
                <w:color w:val="auto"/>
              </w:rPr>
            </w:pPr>
            <w:r>
              <w:rPr>
                <w:rFonts w:ascii="Arial" w:cs="Arial" w:eastAsia="Arial" w:hAnsi="Arial"/>
                <w:sz w:val="17"/>
                <w:szCs w:val="17"/>
                <w:color w:val="0000FF"/>
              </w:rPr>
              <w:t>08/22/2023</w:t>
            </w:r>
          </w:p>
        </w:tc>
        <w:tc>
          <w:tcPr>
            <w:tcW w:w="1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20" w:type="dxa"/>
            <w:vAlign w:val="bottom"/>
            <w:gridSpan w:val="2"/>
            <w:vMerge w:val="restart"/>
          </w:tcPr>
          <w:p>
            <w:pPr>
              <w:ind w:left="260"/>
              <w:spacing w:after="0"/>
              <w:rPr>
                <w:sz w:val="20"/>
                <w:szCs w:val="20"/>
                <w:color w:val="auto"/>
              </w:rPr>
            </w:pPr>
            <w:r>
              <w:rPr>
                <w:rFonts w:ascii="Arial" w:cs="Arial" w:eastAsia="Arial" w:hAnsi="Arial"/>
                <w:sz w:val="17"/>
                <w:szCs w:val="17"/>
                <w:color w:val="0000FF"/>
              </w:rPr>
              <w:t>President, Products &amp; Tech</w:t>
            </w:r>
          </w:p>
        </w:tc>
        <w:tc>
          <w:tcPr>
            <w:tcW w:w="0" w:type="dxa"/>
            <w:vAlign w:val="bottom"/>
          </w:tcPr>
          <w:p>
            <w:pPr>
              <w:spacing w:after="0"/>
              <w:rPr>
                <w:sz w:val="1"/>
                <w:szCs w:val="1"/>
                <w:color w:val="auto"/>
              </w:rPr>
            </w:pPr>
          </w:p>
        </w:tc>
      </w:tr>
      <w:tr>
        <w:trPr>
          <w:trHeight w:val="76"/>
        </w:trPr>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1960" w:type="dxa"/>
            <w:vAlign w:val="bottom"/>
          </w:tcPr>
          <w:p>
            <w:pPr>
              <w:spacing w:after="0"/>
              <w:rPr>
                <w:sz w:val="6"/>
                <w:szCs w:val="6"/>
                <w:color w:val="auto"/>
              </w:rPr>
            </w:pPr>
          </w:p>
        </w:tc>
        <w:tc>
          <w:tcPr>
            <w:tcW w:w="16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00" w:type="dxa"/>
            <w:vAlign w:val="bottom"/>
          </w:tcPr>
          <w:p>
            <w:pPr>
              <w:spacing w:after="0"/>
              <w:rPr>
                <w:sz w:val="6"/>
                <w:szCs w:val="6"/>
                <w:color w:val="auto"/>
              </w:rPr>
            </w:pPr>
          </w:p>
        </w:tc>
        <w:tc>
          <w:tcPr>
            <w:tcW w:w="282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98"/>
        </w:trPr>
        <w:tc>
          <w:tcPr>
            <w:tcW w:w="6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1960" w:type="dxa"/>
            <w:vAlign w:val="bottom"/>
            <w:tcBorders>
              <w:bottom w:val="single" w:sz="8" w:color="2C2C2C"/>
            </w:tcBorders>
          </w:tcPr>
          <w:p>
            <w:pPr>
              <w:spacing w:after="0"/>
              <w:rPr>
                <w:sz w:val="8"/>
                <w:szCs w:val="8"/>
                <w:color w:val="auto"/>
              </w:rPr>
            </w:pPr>
          </w:p>
        </w:tc>
        <w:tc>
          <w:tcPr>
            <w:tcW w:w="168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120" w:type="dxa"/>
            <w:vAlign w:val="bottom"/>
            <w:tcBorders>
              <w:bottom w:val="single" w:sz="8" w:color="2C2C2C"/>
            </w:tcBorders>
            <w:gridSpan w:val="3"/>
          </w:tcPr>
          <w:p>
            <w:pPr>
              <w:spacing w:after="0"/>
              <w:rPr>
                <w:sz w:val="8"/>
                <w:szCs w:val="8"/>
                <w:color w:val="auto"/>
              </w:rPr>
            </w:pPr>
          </w:p>
        </w:tc>
        <w:tc>
          <w:tcPr>
            <w:tcW w:w="0" w:type="dxa"/>
            <w:vAlign w:val="bottom"/>
          </w:tcPr>
          <w:p>
            <w:pPr>
              <w:spacing w:after="0"/>
              <w:rPr>
                <w:sz w:val="1"/>
                <w:szCs w:val="1"/>
                <w:color w:val="auto"/>
              </w:rPr>
            </w:pPr>
          </w:p>
        </w:tc>
      </w:tr>
      <w:tr>
        <w:trPr>
          <w:trHeight w:val="193"/>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64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1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8"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96"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spacing w:after="0" w:line="1"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Person</w:t>
      </w:r>
    </w:p>
    <w:p>
      <w:pPr>
        <w:spacing w:after="0" w:line="141" w:lineRule="exact"/>
        <w:rPr>
          <w:sz w:val="24"/>
          <w:szCs w:val="24"/>
          <w:color w:val="auto"/>
        </w:rPr>
      </w:pPr>
    </w:p>
    <w:p>
      <w:pPr>
        <w:ind w:left="60"/>
        <w:spacing w:after="0"/>
        <w:rPr>
          <w:sz w:val="20"/>
          <w:szCs w:val="20"/>
          <w:color w:val="auto"/>
        </w:rPr>
      </w:pPr>
      <w:r>
        <w:rPr>
          <w:rFonts w:ascii="Arial" w:cs="Arial" w:eastAsia="Arial" w:hAnsi="Arial"/>
          <w:sz w:val="21"/>
          <w:szCs w:val="21"/>
          <w:color w:val="auto"/>
        </w:rPr>
        <w:t>Rule 10b5-1(c) Transaction Indication</w:t>
      </w:r>
    </w:p>
    <w:p>
      <w:pPr>
        <w:spacing w:after="0" w:line="208" w:lineRule="exact"/>
        <w:rPr>
          <w:sz w:val="24"/>
          <w:szCs w:val="24"/>
          <w:color w:val="auto"/>
        </w:rPr>
      </w:pPr>
    </w:p>
    <w:p>
      <w:pPr>
        <w:ind w:left="320" w:right="640"/>
        <w:spacing w:after="0"/>
        <w:rPr>
          <w:sz w:val="20"/>
          <w:szCs w:val="20"/>
          <w:color w:val="auto"/>
        </w:rPr>
      </w:pPr>
      <w:r>
        <w:rPr>
          <w:rFonts w:ascii="Arial" w:cs="Arial" w:eastAsia="Arial" w:hAnsi="Arial"/>
          <w:sz w:val="12"/>
          <w:szCs w:val="12"/>
          <w:color w:val="auto"/>
        </w:rPr>
        <w:t>Check this box to indicate that a transaction was made pursuant to a contract, instruction or written plan that is intended to satisfy the affirmative defense conditions of Rule 10b5-1(c). See Instruction 10.</w:t>
      </w:r>
    </w:p>
    <w:p>
      <w:pPr>
        <w:spacing w:after="0" w:line="195" w:lineRule="exact"/>
        <w:rPr>
          <w:sz w:val="24"/>
          <w:szCs w:val="24"/>
          <w:color w:val="auto"/>
        </w:rPr>
      </w:pPr>
    </w:p>
    <w:p>
      <w:pPr>
        <w:sectPr>
          <w:pgSz w:w="11900" w:h="16838" w:orient="portrait"/>
          <w:cols w:equalWidth="0" w:num="2">
            <w:col w:w="3740" w:space="100"/>
            <w:col w:w="7240"/>
          </w:cols>
          <w:pgMar w:left="460" w:top="221"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520" w:type="dxa"/>
            <w:vAlign w:val="bottom"/>
          </w:tcPr>
          <w:p>
            <w:pPr>
              <w:ind w:left="8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tcPr>
          <w:p>
            <w:pPr>
              <w:ind w:left="7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520" w:type="dxa"/>
            <w:vAlign w:val="bottom"/>
          </w:tcPr>
          <w:p>
            <w:pPr>
              <w:spacing w:after="0"/>
              <w:rPr>
                <w:sz w:val="10"/>
                <w:szCs w:val="10"/>
                <w:color w:val="auto"/>
              </w:rPr>
            </w:pPr>
          </w:p>
        </w:tc>
        <w:tc>
          <w:tcPr>
            <w:tcW w:w="1800" w:type="dxa"/>
            <w:vAlign w:val="bottom"/>
          </w:tcPr>
          <w:p>
            <w:pPr>
              <w:ind w:left="780"/>
              <w:spacing w:after="0" w:line="126"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6"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3"/>
          </w:tcPr>
          <w:p>
            <w:pPr>
              <w:ind w:left="60"/>
              <w:spacing w:after="0" w:line="126" w:lineRule="exact"/>
              <w:rPr>
                <w:sz w:val="20"/>
                <w:szCs w:val="20"/>
                <w:color w:val="auto"/>
              </w:rPr>
            </w:pPr>
            <w:r>
              <w:rPr>
                <w:rFonts w:ascii="Arial" w:cs="Arial" w:eastAsia="Arial" w:hAnsi="Arial"/>
                <w:sz w:val="12"/>
                <w:szCs w:val="12"/>
                <w:b w:val="1"/>
                <w:bCs w:val="1"/>
                <w:color w:val="auto"/>
              </w:rPr>
              <w:t>Disposed Of (D) (Instr. 3, 4 and</w:t>
            </w:r>
          </w:p>
        </w:tc>
        <w:tc>
          <w:tcPr>
            <w:tcW w:w="112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26" w:lineRule="exact"/>
              <w:rPr>
                <w:sz w:val="20"/>
                <w:szCs w:val="20"/>
                <w:color w:val="auto"/>
              </w:rPr>
            </w:pPr>
            <w:r>
              <w:rPr>
                <w:rFonts w:ascii="Arial" w:cs="Arial" w:eastAsia="Arial" w:hAnsi="Arial"/>
                <w:sz w:val="12"/>
                <w:szCs w:val="12"/>
                <w:b w:val="1"/>
                <w:bCs w:val="1"/>
                <w:color w:val="auto"/>
              </w:rPr>
              <w:t>Form: Direct</w:t>
            </w:r>
          </w:p>
        </w:tc>
        <w:tc>
          <w:tcPr>
            <w:tcW w:w="800" w:type="dxa"/>
            <w:vAlign w:val="bottom"/>
          </w:tcPr>
          <w:p>
            <w:pPr>
              <w:ind w:left="80"/>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520" w:type="dxa"/>
            <w:vAlign w:val="bottom"/>
          </w:tcPr>
          <w:p>
            <w:pPr>
              <w:spacing w:after="0"/>
              <w:rPr>
                <w:sz w:val="11"/>
                <w:szCs w:val="11"/>
                <w:color w:val="auto"/>
              </w:rPr>
            </w:pPr>
          </w:p>
        </w:tc>
        <w:tc>
          <w:tcPr>
            <w:tcW w:w="1800" w:type="dxa"/>
            <w:vAlign w:val="bottom"/>
          </w:tcPr>
          <w:p>
            <w:pPr>
              <w:ind w:left="780"/>
              <w:spacing w:after="0" w:line="129"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5)</w:t>
            </w: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 or Indirect</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52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520" w:type="dxa"/>
            <w:vAlign w:val="bottom"/>
          </w:tcPr>
          <w:p>
            <w:pPr>
              <w:spacing w:after="0"/>
              <w:rPr>
                <w:sz w:val="6"/>
                <w:szCs w:val="6"/>
                <w:color w:val="auto"/>
              </w:rPr>
            </w:pPr>
          </w:p>
        </w:tc>
        <w:tc>
          <w:tcPr>
            <w:tcW w:w="1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12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00" w:type="dxa"/>
            <w:vAlign w:val="bottom"/>
            <w:vMerge w:val="restart"/>
          </w:tcPr>
          <w:p>
            <w:pPr>
              <w:ind w:left="8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520" w:type="dxa"/>
            <w:vAlign w:val="bottom"/>
          </w:tcPr>
          <w:p>
            <w:pPr>
              <w:spacing w:after="0"/>
              <w:rPr>
                <w:sz w:val="3"/>
                <w:szCs w:val="3"/>
                <w:color w:val="auto"/>
              </w:rPr>
            </w:pPr>
          </w:p>
        </w:tc>
        <w:tc>
          <w:tcPr>
            <w:tcW w:w="1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6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12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52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ind w:left="180"/>
              <w:spacing w:after="0" w:line="129"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7"/>
        </w:trPr>
        <w:tc>
          <w:tcPr>
            <w:tcW w:w="2520" w:type="dxa"/>
            <w:vAlign w:val="bottom"/>
          </w:tcPr>
          <w:p>
            <w:pPr>
              <w:spacing w:after="0"/>
              <w:rPr>
                <w:sz w:val="8"/>
                <w:szCs w:val="8"/>
                <w:color w:val="auto"/>
              </w:rPr>
            </w:pPr>
          </w:p>
        </w:tc>
        <w:tc>
          <w:tcPr>
            <w:tcW w:w="1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680" w:type="dxa"/>
            <w:vAlign w:val="bottom"/>
            <w:vMerge w:val="continue"/>
          </w:tcPr>
          <w:p>
            <w:pPr>
              <w:spacing w:after="0"/>
              <w:rPr>
                <w:sz w:val="8"/>
                <w:szCs w:val="8"/>
                <w:color w:val="auto"/>
              </w:rPr>
            </w:pPr>
          </w:p>
        </w:tc>
        <w:tc>
          <w:tcPr>
            <w:tcW w:w="60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8"/>
                <w:szCs w:val="8"/>
                <w:color w:val="auto"/>
              </w:rPr>
            </w:pPr>
          </w:p>
        </w:tc>
        <w:tc>
          <w:tcPr>
            <w:tcW w:w="11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520" w:type="dxa"/>
            <w:vAlign w:val="bottom"/>
          </w:tcPr>
          <w:p>
            <w:pPr>
              <w:spacing w:after="0"/>
              <w:rPr>
                <w:sz w:val="5"/>
                <w:szCs w:val="5"/>
                <w:color w:val="auto"/>
              </w:rPr>
            </w:pPr>
          </w:p>
        </w:tc>
        <w:tc>
          <w:tcPr>
            <w:tcW w:w="1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68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112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1"/>
        </w:trPr>
        <w:tc>
          <w:tcPr>
            <w:tcW w:w="2520" w:type="dxa"/>
            <w:vAlign w:val="bottom"/>
            <w:tcBorders>
              <w:bottom w:val="single" w:sz="8" w:color="2C2C2C"/>
            </w:tcBorders>
          </w:tcPr>
          <w:p>
            <w:pPr>
              <w:spacing w:after="0"/>
              <w:rPr>
                <w:sz w:val="3"/>
                <w:szCs w:val="3"/>
                <w:color w:val="auto"/>
              </w:rPr>
            </w:pPr>
          </w:p>
        </w:tc>
        <w:tc>
          <w:tcPr>
            <w:tcW w:w="18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60"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8"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99"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5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4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9"/>
              </w:rPr>
              <w:t>(Month/Day/Year)</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Beneficially</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Owned</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Following</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Reported</w:t>
            </w: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Transaction(s)</w:t>
            </w: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5"/>
        </w:trPr>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line="129"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line="129"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20" w:type="dxa"/>
            <w:vAlign w:val="bottom"/>
          </w:tcPr>
          <w:p>
            <w:pPr>
              <w:spacing w:after="0" w:line="129"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2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700" w:type="dxa"/>
            <w:vAlign w:val="bottom"/>
            <w:vMerge w:val="restart"/>
          </w:tcPr>
          <w:p>
            <w:pPr>
              <w:jc w:val="right"/>
              <w:ind w:right="223"/>
              <w:spacing w:after="0"/>
              <w:rPr>
                <w:sz w:val="20"/>
                <w:szCs w:val="20"/>
                <w:color w:val="auto"/>
              </w:rPr>
            </w:pPr>
            <w:r>
              <w:rPr>
                <w:rFonts w:ascii="Arial" w:cs="Arial" w:eastAsia="Arial" w:hAnsi="Arial"/>
                <w:sz w:val="11"/>
                <w:szCs w:val="11"/>
                <w:color w:val="008000"/>
              </w:rPr>
              <w:t>(2)</w:t>
            </w: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spacing w:after="0"/>
              <w:rPr>
                <w:sz w:val="20"/>
                <w:szCs w:val="20"/>
                <w:color w:val="auto"/>
              </w:rPr>
            </w:pPr>
            <w:r>
              <w:rPr>
                <w:rFonts w:ascii="Arial" w:cs="Arial" w:eastAsia="Arial" w:hAnsi="Arial"/>
                <w:sz w:val="17"/>
                <w:szCs w:val="17"/>
                <w:color w:val="0000FF"/>
                <w:w w:val="96"/>
              </w:rPr>
              <w:t>74,975</w:t>
            </w: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right"/>
              <w:ind w:right="180"/>
              <w:spacing w:after="0" w:line="125" w:lineRule="exact"/>
              <w:rPr>
                <w:sz w:val="20"/>
                <w:szCs w:val="20"/>
                <w:color w:val="auto"/>
              </w:rPr>
            </w:pPr>
            <w:r>
              <w:rPr>
                <w:rFonts w:ascii="Arial" w:cs="Arial" w:eastAsia="Arial" w:hAnsi="Arial"/>
                <w:sz w:val="13"/>
                <w:szCs w:val="13"/>
                <w:color w:val="0000FF"/>
              </w:rPr>
              <w:t>08/22/2023</w:t>
            </w:r>
          </w:p>
        </w:tc>
        <w:tc>
          <w:tcPr>
            <w:tcW w:w="1100" w:type="dxa"/>
            <w:vAlign w:val="bottom"/>
          </w:tcPr>
          <w:p>
            <w:pPr>
              <w:spacing w:after="0"/>
              <w:rPr>
                <w:sz w:val="10"/>
                <w:szCs w:val="10"/>
                <w:color w:val="auto"/>
              </w:rPr>
            </w:pPr>
          </w:p>
        </w:tc>
        <w:tc>
          <w:tcPr>
            <w:tcW w:w="800" w:type="dxa"/>
            <w:vAlign w:val="bottom"/>
          </w:tcPr>
          <w:p>
            <w:pPr>
              <w:ind w:left="160"/>
              <w:spacing w:after="0" w:line="125" w:lineRule="exact"/>
              <w:rPr>
                <w:sz w:val="20"/>
                <w:szCs w:val="20"/>
                <w:color w:val="auto"/>
              </w:rPr>
            </w:pPr>
            <w:r>
              <w:rPr>
                <w:rFonts w:ascii="Arial" w:cs="Arial" w:eastAsia="Arial" w:hAnsi="Arial"/>
                <w:sz w:val="13"/>
                <w:szCs w:val="13"/>
                <w:color w:val="0000FF"/>
              </w:rPr>
              <w:t>A</w:t>
            </w:r>
          </w:p>
        </w:tc>
        <w:tc>
          <w:tcPr>
            <w:tcW w:w="500" w:type="dxa"/>
            <w:vAlign w:val="bottom"/>
          </w:tcPr>
          <w:p>
            <w:pPr>
              <w:ind w:left="80"/>
              <w:spacing w:after="0" w:line="125" w:lineRule="exact"/>
              <w:rPr>
                <w:sz w:val="20"/>
                <w:szCs w:val="20"/>
                <w:color w:val="auto"/>
              </w:rPr>
            </w:pPr>
            <w:r>
              <w:rPr>
                <w:rFonts w:ascii="Arial" w:cs="Arial" w:eastAsia="Arial" w:hAnsi="Arial"/>
                <w:sz w:val="13"/>
                <w:szCs w:val="13"/>
                <w:color w:val="0000FF"/>
              </w:rPr>
              <w:t>74,975</w:t>
            </w:r>
          </w:p>
        </w:tc>
        <w:tc>
          <w:tcPr>
            <w:tcW w:w="30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700" w:type="dxa"/>
            <w:vAlign w:val="bottom"/>
          </w:tcPr>
          <w:p>
            <w:pPr>
              <w:ind w:left="300"/>
              <w:spacing w:after="0" w:line="125"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40" w:type="dxa"/>
            <w:vAlign w:val="bottom"/>
          </w:tcPr>
          <w:p>
            <w:pPr>
              <w:ind w:left="300"/>
              <w:spacing w:after="0" w:line="125" w:lineRule="exact"/>
              <w:rPr>
                <w:sz w:val="20"/>
                <w:szCs w:val="20"/>
                <w:color w:val="auto"/>
              </w:rPr>
            </w:pPr>
            <w:r>
              <w:rPr>
                <w:rFonts w:ascii="Arial" w:cs="Arial" w:eastAsia="Arial" w:hAnsi="Arial"/>
                <w:sz w:val="13"/>
                <w:szCs w:val="13"/>
                <w:color w:val="0000FF"/>
              </w:rPr>
              <w:t>74,975</w:t>
            </w:r>
          </w:p>
        </w:tc>
        <w:tc>
          <w:tcPr>
            <w:tcW w:w="72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00" w:type="dxa"/>
            <w:vAlign w:val="bottom"/>
          </w:tcPr>
          <w:p>
            <w:pPr>
              <w:ind w:left="180"/>
              <w:spacing w:after="0" w:line="142"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represents a contingent right to receive one Marvell Technology, Inc. common share upon vesting.</w:t>
      </w:r>
    </w:p>
    <w:p>
      <w:pPr>
        <w:spacing w:after="0" w:line="44" w:lineRule="exact"/>
        <w:rPr>
          <w:rFonts w:ascii="Arial" w:cs="Arial" w:eastAsia="Arial" w:hAnsi="Arial"/>
          <w:sz w:val="13"/>
          <w:szCs w:val="13"/>
          <w:color w:val="008000"/>
        </w:rPr>
      </w:pPr>
    </w:p>
    <w:p>
      <w:pPr>
        <w:ind w:left="40" w:right="240" w:firstLine="2"/>
        <w:spacing w:after="0" w:line="292" w:lineRule="auto"/>
        <w:tabs>
          <w:tab w:leader="none" w:pos="169"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This performance-based RSU included stock price and total stockholder return based performance vesting criteria. The performance condition for a tranche was certified on August 22, 2023. As a result of satisfaction of a stock price-based performance metric and the application of the second performance based criteria, a TSR modifier to the award, 74,975 shares are now solely subject to a service-based vesting condition pursuant to which 50% of the shares will be eligible to vest on the 3-year anniversary of the original grant date and 50% of the shares will be eligible to vest on the 5-year anniversary of the original grant date (subject to continued service to the company on the vesting dates). The other tranches of the grant remain outstanding as the performance criteria have not yet been satisfied.</w:t>
      </w:r>
    </w:p>
    <w:p>
      <w:pPr>
        <w:spacing w:after="0" w:line="30" w:lineRule="exact"/>
        <w:rPr>
          <w:sz w:val="24"/>
          <w:szCs w:val="24"/>
          <w:color w:val="auto"/>
        </w:rPr>
      </w:pPr>
    </w:p>
    <w:p>
      <w:pPr>
        <w:ind w:left="6600"/>
        <w:spacing w:after="0"/>
        <w:rPr>
          <w:sz w:val="20"/>
          <w:szCs w:val="20"/>
          <w:color w:val="auto"/>
        </w:rPr>
      </w:pPr>
      <w:r>
        <w:rPr>
          <w:rFonts w:ascii="Arial" w:cs="Arial" w:eastAsia="Arial" w:hAnsi="Arial"/>
          <w:sz w:val="17"/>
          <w:szCs w:val="17"/>
          <w:color w:val="0000FF"/>
        </w:rPr>
        <w:t>Muhammad Raghib Hussain by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-11430</wp:posOffset>
            </wp:positionV>
            <wp:extent cx="135255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52550" cy="8255"/>
                    </a:xfrm>
                    <a:prstGeom prst="rect">
                      <a:avLst/>
                    </a:prstGeom>
                    <a:noFill/>
                  </pic:spPr>
                </pic:pic>
              </a:graphicData>
            </a:graphic>
          </wp:anchor>
        </w:drawing>
      </w:r>
    </w:p>
    <w:p>
      <w:pPr>
        <w:ind w:left="6600"/>
        <w:spacing w:after="0"/>
        <w:tabs>
          <w:tab w:leader="none" w:pos="8780" w:val="left"/>
        </w:tabs>
        <w:rPr>
          <w:sz w:val="20"/>
          <w:szCs w:val="20"/>
          <w:color w:val="auto"/>
        </w:rPr>
      </w:pPr>
      <w:r>
        <w:rPr>
          <w:rFonts w:ascii="Arial" w:cs="Arial" w:eastAsia="Arial" w:hAnsi="Arial"/>
          <w:sz w:val="17"/>
          <w:szCs w:val="17"/>
          <w:color w:val="0000FF"/>
        </w:rPr>
        <w:t>/s/ Blair Walters as Attorney-</w:t>
      </w:r>
      <w:r>
        <w:rPr>
          <w:sz w:val="20"/>
          <w:szCs w:val="20"/>
          <w:color w:val="auto"/>
        </w:rPr>
        <w:tab/>
      </w:r>
      <w:r>
        <w:rPr>
          <w:rFonts w:ascii="Arial" w:cs="Arial" w:eastAsia="Arial" w:hAnsi="Arial"/>
          <w:sz w:val="15"/>
          <w:szCs w:val="15"/>
          <w:color w:val="0000FF"/>
        </w:rPr>
        <w:t>08/24/2023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-15875</wp:posOffset>
            </wp:positionV>
            <wp:extent cx="187896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878965" cy="8255"/>
                    </a:xfrm>
                    <a:prstGeom prst="rect">
                      <a:avLst/>
                    </a:prstGeom>
                    <a:noFill/>
                  </pic:spPr>
                </pic:pic>
              </a:graphicData>
            </a:graphic>
          </wp:anchor>
        </w:drawing>
      </w:r>
    </w:p>
    <w:p>
      <w:pPr>
        <w:ind w:left="6600"/>
        <w:spacing w:after="0"/>
        <w:rPr>
          <w:sz w:val="20"/>
          <w:szCs w:val="20"/>
          <w:color w:val="auto"/>
        </w:rPr>
      </w:pPr>
      <w:r>
        <w:rPr>
          <w:rFonts w:ascii="Arial" w:cs="Arial" w:eastAsia="Arial" w:hAnsi="Arial"/>
          <w:sz w:val="17"/>
          <w:szCs w:val="17"/>
          <w:color w:val="0000FF"/>
        </w:rPr>
        <w:t>in-Fact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-15875</wp:posOffset>
            </wp:positionV>
            <wp:extent cx="30162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301625" cy="8255"/>
                    </a:xfrm>
                    <a:prstGeom prst="rect">
                      <a:avLst/>
                    </a:prstGeom>
                    <a:noFill/>
                  </pic:spPr>
                </pic:pic>
              </a:graphicData>
            </a:graphic>
          </wp:anchor>
        </w:drawing>
      </w:r>
    </w:p>
    <w:p>
      <w:pPr>
        <w:spacing w:after="0" w:line="36" w:lineRule="exact"/>
        <w:rPr>
          <w:sz w:val="24"/>
          <w:szCs w:val="24"/>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4"/>
          <w:szCs w:val="24"/>
          <w:color w:val="auto"/>
        </w:rPr>
      </w:pPr>
    </w:p>
    <w:p>
      <w:pPr>
        <w:jc w:val="both"/>
        <w:ind w:left="40" w:right="3580" w:firstLine="2"/>
        <w:spacing w:after="0" w:line="335" w:lineRule="auto"/>
        <w:tabs>
          <w:tab w:leader="none" w:pos="176"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1"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680691"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2023-08-24T21:03:44Z</dcterms:created>
  <dcterms:modified xsi:type="dcterms:W3CDTF">2023-08-24T21:03:44Z</dcterms:modified>
</cp:coreProperties>
</file>