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SEC Form 4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>
        <w:ind w:left="7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-241935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6"/>
        </w:trPr>
        <w:tc>
          <w:tcPr>
            <w:tcW w:w="6400" w:type="dxa"/>
            <w:vAlign w:val="bottom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64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400" w:type="dxa"/>
            <w:vAlign w:val="bottom"/>
            <w:vMerge w:val="restart"/>
          </w:tcPr>
          <w:p>
            <w:pPr>
              <w:jc w:val="center"/>
              <w:ind w:righ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 response: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40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5325745</wp:posOffset>
            </wp:positionH>
            <wp:positionV relativeFrom="paragraph">
              <wp:posOffset>-646430</wp:posOffset>
            </wp:positionV>
            <wp:extent cx="59055" cy="6597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4048125</wp:posOffset>
            </wp:positionH>
            <wp:positionV relativeFrom="paragraph">
              <wp:posOffset>-646430</wp:posOffset>
            </wp:positionV>
            <wp:extent cx="59055" cy="659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or Section 30(h) of the Investment Company Act of 1940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-1569720</wp:posOffset>
            </wp:positionH>
            <wp:positionV relativeFrom="paragraph">
              <wp:posOffset>24765</wp:posOffset>
            </wp:positionV>
            <wp:extent cx="6989445" cy="50260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502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200" w:space="260"/>
            <w:col w:w="8620"/>
          </w:cols>
          <w:pgMar w:left="460" w:top="225" w:right="359" w:bottom="1440" w:gutter="0" w:footer="0" w:header="0"/>
        </w:sect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1"/>
          <w:szCs w:val="21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1"/>
            <w:szCs w:val="21"/>
            <w:u w:val="single" w:color="auto"/>
            <w:color w:val="0000EE"/>
          </w:rPr>
          <w:t>Nguyen Loi</w:t>
        </w:r>
      </w:hyperlink>
    </w:p>
    <w:p>
      <w:pPr>
        <w:spacing w:after="0" w:line="313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5488 MARVELL LANE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9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SANTA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CA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95054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CLARA</w:t>
            </w: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7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1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56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2.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5.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40" w:type="dxa"/>
            <w:vAlign w:val="bottom"/>
            <w:gridSpan w:val="3"/>
          </w:tcPr>
          <w:p>
            <w:pPr>
              <w:spacing w:after="0" w:line="142" w:lineRule="exact"/>
              <w:rPr>
                <w:rFonts w:ascii="Arial" w:cs="Arial" w:eastAsia="Arial" w:hAnsi="Arial"/>
                <w:sz w:val="16"/>
                <w:szCs w:val="16"/>
                <w:color w:val="0000EE"/>
              </w:rPr>
            </w:pPr>
            <w:hyperlink r:id="rId13">
              <w:r>
                <w:rPr>
                  <w:rFonts w:ascii="Arial" w:cs="Arial" w:eastAsia="Arial" w:hAnsi="Arial"/>
                  <w:sz w:val="16"/>
                  <w:szCs w:val="16"/>
                  <w:color w:val="0000EE"/>
                </w:rPr>
                <w:t xml:space="preserve">Marvell Technology, Inc. </w:t>
              </w:r>
            </w:hyperlink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[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MRVL</w:t>
            </w:r>
            <w:r>
              <w:rPr>
                <w:rFonts w:ascii="Arial" w:cs="Arial" w:eastAsia="Arial" w:hAnsi="Arial"/>
                <w:sz w:val="16"/>
                <w:szCs w:val="16"/>
                <w:color w:val="0000EE"/>
              </w:rPr>
              <w:t xml:space="preserve"> </w:t>
            </w:r>
            <w:r>
              <w:rPr>
                <w:rFonts w:ascii="Arial" w:cs="Arial" w:eastAsia="Arial" w:hAnsi="Arial"/>
                <w:sz w:val="16"/>
                <w:szCs w:val="16"/>
                <w:color w:val="000000"/>
              </w:rPr>
              <w:t>]</w:t>
            </w:r>
          </w:p>
        </w:tc>
        <w:tc>
          <w:tcPr>
            <w:tcW w:w="1860" w:type="dxa"/>
            <w:vAlign w:val="bottom"/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1440" w:type="dxa"/>
            <w:vAlign w:val="bottom"/>
            <w:vMerge w:val="restart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20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3.</w:t>
            </w:r>
          </w:p>
        </w:tc>
        <w:tc>
          <w:tcPr>
            <w:tcW w:w="3620" w:type="dxa"/>
            <w:vAlign w:val="bottom"/>
            <w:gridSpan w:val="2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100"/>
              <w:spacing w:after="0" w:line="12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1440" w:type="dxa"/>
            <w:vAlign w:val="bottom"/>
          </w:tcPr>
          <w:p>
            <w:pPr>
              <w:ind w:left="300"/>
              <w:spacing w:after="0" w:line="12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2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08/28/2023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EVP, Optical &amp; CC Grp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4.</w:t>
            </w:r>
          </w:p>
        </w:tc>
        <w:tc>
          <w:tcPr>
            <w:tcW w:w="36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  <w:w w:val="91"/>
              </w:rPr>
              <w:t>6.</w:t>
            </w:r>
          </w:p>
        </w:tc>
        <w:tc>
          <w:tcPr>
            <w:tcW w:w="31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Line)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4100"/>
        <w:spacing w:after="0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3"/>
          <w:szCs w:val="13"/>
          <w:color w:val="auto"/>
        </w:rPr>
        <w:t>Form filed by One Reporting Person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Form filed by More than One Reporting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4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Person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Rule 10b5-1(c) Transaction Indication</w:t>
      </w: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340" w:right="420"/>
        <w:spacing w:after="0" w:line="25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>Check this box to indicate that a transaction was made pursuant to a contract, instruction or written plan that is intended to satisfy the affirmative defense conditions of Rule 10b5-1(c). See Instruction 10.</w:t>
      </w:r>
    </w:p>
    <w:p>
      <w:pPr>
        <w:spacing w:after="0" w:line="189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3760" w:space="80"/>
            <w:col w:w="7240"/>
          </w:cols>
          <w:pgMar w:left="460" w:top="225" w:right="359" w:bottom="1440" w:gutter="0" w:footer="0" w:header="0"/>
          <w:type w:val="continuous"/>
        </w:sectPr>
      </w:pPr>
    </w:p>
    <w:p>
      <w:pPr>
        <w:jc w:val="center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7"/>
          <w:szCs w:val="17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27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580" w:type="dxa"/>
            <w:vAlign w:val="bottom"/>
            <w:gridSpan w:val="2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760" w:type="dxa"/>
            <w:vAlign w:val="bottom"/>
            <w:gridSpan w:val="5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5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3140" w:type="dxa"/>
            <w:vAlign w:val="bottom"/>
            <w:gridSpan w:val="8"/>
          </w:tcPr>
          <w:p>
            <w:pPr>
              <w:ind w:left="8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  Securities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</w:tcPr>
          <w:p>
            <w:pPr>
              <w:ind w:left="5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(Month/Day/Year)</w:t>
            </w:r>
          </w:p>
        </w:tc>
        <w:tc>
          <w:tcPr>
            <w:tcW w:w="44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if any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60" w:type="dxa"/>
            <w:vAlign w:val="bottom"/>
            <w:gridSpan w:val="2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4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2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1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360" w:type="dxa"/>
            <w:vAlign w:val="bottom"/>
            <w:gridSpan w:val="2"/>
            <w:vMerge w:val="restart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88"/>
              </w:rPr>
              <w:t>Price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08/28/2023</w:t>
            </w: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6"/>
                <w:szCs w:val="26"/>
                <w:color w:val="0000FF"/>
                <w:vertAlign w:val="subscript"/>
              </w:rPr>
              <w:t>G</w:t>
            </w: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(1)</w:t>
            </w: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6"/>
              </w:rPr>
              <w:t>10,000</w:t>
            </w: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7"/>
              </w:rPr>
              <w:t>D</w:t>
            </w: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$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</w:t>
            </w:r>
          </w:p>
        </w:tc>
        <w:tc>
          <w:tcPr>
            <w:tcW w:w="13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213,170</w:t>
            </w: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780" w:type="dxa"/>
            <w:vAlign w:val="bottom"/>
            <w:tcBorders>
              <w:top w:val="single" w:sz="8" w:color="2C2C2C"/>
            </w:tcBorders>
            <w:gridSpan w:val="14"/>
          </w:tcPr>
          <w:p>
            <w:pPr>
              <w:ind w:left="8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9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80" w:type="dxa"/>
            <w:vAlign w:val="bottom"/>
            <w:gridSpan w:val="10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  <w:right w:val="single" w:sz="8" w:color="2C2C2C"/>
            </w:tcBorders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7. Title and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    10.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Ownership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64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5"/>
              </w:rPr>
              <w:t>Beneficially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20" w:type="dxa"/>
            <w:vAlign w:val="bottom"/>
            <w:tcBorders>
              <w:right w:val="single" w:sz="8" w:color="2C2C2C"/>
            </w:tcBorders>
            <w:gridSpan w:val="3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40" w:type="dxa"/>
            <w:vAlign w:val="bottom"/>
          </w:tcPr>
          <w:p>
            <w:pPr>
              <w:ind w:left="3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(I) (Instr. 4)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 and 4)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gridSpan w:val="2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</w:t>
            </w:r>
          </w:p>
        </w:tc>
        <w:tc>
          <w:tcPr>
            <w:tcW w:w="4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V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2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44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6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Shares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3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  <w:right w:val="single" w:sz="8" w:color="2C2C2C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7005955</wp:posOffset>
            </wp:positionH>
            <wp:positionV relativeFrom="paragraph">
              <wp:posOffset>-1797685</wp:posOffset>
            </wp:positionV>
            <wp:extent cx="29845" cy="1802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180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8000"/>
        </w:rPr>
        <w:t>1. Bona fide gift made by the reporting person of 10,000 shares of Marvell common stock.</w:t>
      </w:r>
    </w:p>
    <w:p>
      <w:pPr>
        <w:spacing w:after="0" w:line="64" w:lineRule="exact"/>
        <w:rPr>
          <w:sz w:val="24"/>
          <w:szCs w:val="24"/>
          <w:color w:val="auto"/>
        </w:rPr>
      </w:pPr>
    </w:p>
    <w:tbl>
      <w:tblPr>
        <w:tblLayout w:type="fixed"/>
        <w:tblInd w:w="65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20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5"/>
              </w:rPr>
              <w:t>Loi Nguyen by Blair Walters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08/29/2023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20" w:type="dxa"/>
            <w:vAlign w:val="bottom"/>
            <w:gridSpan w:val="3"/>
            <w:vMerge w:val="restart"/>
          </w:tcPr>
          <w:p>
            <w:pPr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as Attorney-in-Fact</w:t>
            </w:r>
          </w:p>
        </w:tc>
        <w:tc>
          <w:tcPr>
            <w:tcW w:w="8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3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1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jc w:val="both"/>
        <w:ind w:left="40" w:right="3340" w:firstLine="7"/>
        <w:spacing w:after="0" w:line="319" w:lineRule="auto"/>
        <w:tabs>
          <w:tab w:leader="none" w:pos="181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080"/>
      </w:cols>
      <w:pgMar w:left="460" w:top="225" w:right="35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4" Type="http://schemas.openxmlformats.org/officeDocument/2006/relationships/image" Target="media/image5.png"/><Relationship Id="rId12" Type="http://schemas.openxmlformats.org/officeDocument/2006/relationships/hyperlink" Target="http://www.sec.gov/cgi-bin/browse-edgar?action=getcompany&amp;CIK=0001857110" TargetMode="External"/><Relationship Id="rId13" Type="http://schemas.openxmlformats.org/officeDocument/2006/relationships/hyperlink" Target="http://www.sec.gov/cgi-bin/browse-edgar?action=getcompany&amp;CIK=0001835632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2023-08-29T17:20:50Z</dcterms:created>
  <dcterms:modified xsi:type="dcterms:W3CDTF">2023-08-29T17:20:50Z</dcterms:modified>
</cp:coreProperties>
</file>