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8"/>
          <w:szCs w:val="18"/>
          <w:b w:val="1"/>
          <w:bCs w:val="1"/>
          <w:u w:val="single" w:color="auto"/>
          <w:color w:val="0000EE"/>
        </w:rPr>
        <w:t>Table of Contents</w:t>
      </w:r>
    </w:p>
    <w:p>
      <w:pPr>
        <w:spacing w:after="0" w:line="305" w:lineRule="exact"/>
        <w:rPr>
          <w:sz w:val="24"/>
          <w:szCs w:val="24"/>
          <w:color w:val="auto"/>
        </w:rPr>
      </w:pPr>
    </w:p>
    <w:p>
      <w:pPr>
        <w:ind w:left="8600"/>
        <w:spacing w:after="0"/>
        <w:rPr>
          <w:sz w:val="20"/>
          <w:szCs w:val="20"/>
          <w:color w:val="auto"/>
        </w:rPr>
      </w:pPr>
      <w:r>
        <w:rPr>
          <w:rFonts w:ascii="Arial" w:cs="Arial" w:eastAsia="Arial" w:hAnsi="Arial"/>
          <w:sz w:val="16"/>
          <w:szCs w:val="16"/>
          <w:b w:val="1"/>
          <w:bCs w:val="1"/>
          <w:color w:val="auto"/>
        </w:rPr>
        <w:t>Filed Pursuant to Rule 424(b)(5)</w:t>
      </w:r>
    </w:p>
    <w:p>
      <w:pPr>
        <w:spacing w:after="0" w:line="50"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File No. 333-259141</w:t>
      </w:r>
    </w:p>
    <w:p>
      <w:pPr>
        <w:spacing w:after="0" w:line="139" w:lineRule="exact"/>
        <w:rPr>
          <w:sz w:val="24"/>
          <w:szCs w:val="24"/>
          <w:color w:val="auto"/>
        </w:rPr>
      </w:pPr>
    </w:p>
    <w:p>
      <w:pPr>
        <w:ind w:left="120" w:right="120"/>
        <w:spacing w:after="0" w:line="266" w:lineRule="auto"/>
        <w:rPr>
          <w:sz w:val="20"/>
          <w:szCs w:val="20"/>
          <w:color w:val="auto"/>
        </w:rPr>
      </w:pPr>
      <w:r>
        <w:rPr>
          <w:rFonts w:ascii="Arial" w:cs="Arial" w:eastAsia="Arial" w:hAnsi="Arial"/>
          <w:sz w:val="18"/>
          <w:szCs w:val="18"/>
          <w:b w:val="1"/>
          <w:bCs w:val="1"/>
          <w:color w:val="FF4338"/>
        </w:rPr>
        <w:t>The information in this preliminary prospectus supplement is not complete and may be changed. This preliminary prospectus supplement and the accompanying prospectus are not an offer to sell these securities and are not soliciting an offer to buy these securities in any jurisdiction where the offer or sale is not permitted.</w:t>
      </w:r>
    </w:p>
    <w:p>
      <w:pPr>
        <w:spacing w:after="0" w:line="108" w:lineRule="exact"/>
        <w:rPr>
          <w:sz w:val="24"/>
          <w:szCs w:val="24"/>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PRELIMINARY PROSPECTUS SUPPLEMENT</w:t>
      </w:r>
    </w:p>
    <w:p>
      <w:pPr>
        <w:spacing w:after="0" w:line="27" w:lineRule="exact"/>
        <w:rPr>
          <w:sz w:val="24"/>
          <w:szCs w:val="24"/>
          <w:color w:val="auto"/>
        </w:rPr>
      </w:pPr>
    </w:p>
    <w:p>
      <w:pPr>
        <w:ind w:left="120"/>
        <w:spacing w:after="0"/>
        <w:rPr>
          <w:sz w:val="20"/>
          <w:szCs w:val="20"/>
          <w:color w:val="auto"/>
        </w:rPr>
      </w:pPr>
      <w:r>
        <w:rPr>
          <w:rFonts w:ascii="Arial" w:cs="Arial" w:eastAsia="Arial" w:hAnsi="Arial"/>
          <w:sz w:val="18"/>
          <w:szCs w:val="18"/>
          <w:b w:val="1"/>
          <w:bCs w:val="1"/>
          <w:color w:val="auto"/>
        </w:rPr>
        <w:t>(To prospectus dated August 27, 2021)</w:t>
      </w:r>
    </w:p>
    <w:p>
      <w:pPr>
        <w:spacing w:after="0" w:line="72"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FF4338"/>
        </w:rPr>
        <w:t>SUBJECT TO COMPLETION, DATED SEPTEMBER 11, 2023</w:t>
      </w:r>
    </w:p>
    <w:p>
      <w:pPr>
        <w:spacing w:after="0" w:line="54" w:lineRule="exact"/>
        <w:rPr>
          <w:sz w:val="24"/>
          <w:szCs w:val="24"/>
          <w:color w:val="auto"/>
        </w:rPr>
      </w:pPr>
    </w:p>
    <w:p>
      <w:pPr>
        <w:ind w:left="5060"/>
        <w:spacing w:after="0"/>
        <w:rPr>
          <w:sz w:val="20"/>
          <w:szCs w:val="20"/>
          <w:color w:val="auto"/>
        </w:rPr>
      </w:pPr>
      <w:r>
        <w:rPr>
          <w:rFonts w:ascii="Arial" w:cs="Arial" w:eastAsia="Arial" w:hAnsi="Arial"/>
          <w:sz w:val="32"/>
          <w:szCs w:val="32"/>
          <w:b w:val="1"/>
          <w:bCs w:val="1"/>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2790825</wp:posOffset>
            </wp:positionH>
            <wp:positionV relativeFrom="paragraph">
              <wp:posOffset>75565</wp:posOffset>
            </wp:positionV>
            <wp:extent cx="1560195" cy="4718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60195" cy="47180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jc w:val="center"/>
        <w:ind w:right="-119"/>
        <w:spacing w:after="0"/>
        <w:rPr>
          <w:sz w:val="20"/>
          <w:szCs w:val="20"/>
          <w:color w:val="auto"/>
        </w:rPr>
      </w:pPr>
      <w:r>
        <w:rPr>
          <w:rFonts w:ascii="Arial" w:cs="Arial" w:eastAsia="Arial" w:hAnsi="Arial"/>
          <w:sz w:val="40"/>
          <w:szCs w:val="40"/>
          <w:b w:val="1"/>
          <w:bCs w:val="1"/>
          <w:color w:val="auto"/>
        </w:rPr>
        <w:t>Marvell Technology, Inc.</w:t>
      </w:r>
    </w:p>
    <w:p>
      <w:pPr>
        <w:spacing w:after="0" w:line="57" w:lineRule="exact"/>
        <w:rPr>
          <w:sz w:val="24"/>
          <w:szCs w:val="24"/>
          <w:color w:val="auto"/>
        </w:rPr>
      </w:pPr>
    </w:p>
    <w:p>
      <w:pPr>
        <w:ind w:left="4800" w:hanging="635"/>
        <w:spacing w:after="0"/>
        <w:tabs>
          <w:tab w:leader="none" w:pos="4800" w:val="left"/>
        </w:tabs>
        <w:numPr>
          <w:ilvl w:val="0"/>
          <w:numId w:val="1"/>
        </w:numPr>
        <w:rPr>
          <w:rFonts w:ascii="Arial" w:cs="Arial" w:eastAsia="Arial" w:hAnsi="Arial"/>
          <w:sz w:val="23"/>
          <w:szCs w:val="23"/>
          <w:b w:val="1"/>
          <w:bCs w:val="1"/>
          <w:color w:val="auto"/>
        </w:rPr>
      </w:pPr>
      <w:r>
        <w:rPr>
          <w:rFonts w:ascii="Arial" w:cs="Arial" w:eastAsia="Arial" w:hAnsi="Arial"/>
          <w:sz w:val="23"/>
          <w:szCs w:val="23"/>
          <w:b w:val="1"/>
          <w:bCs w:val="1"/>
          <w:color w:val="auto"/>
        </w:rPr>
        <w:t>% Senior Notes due 20</w:t>
      </w:r>
    </w:p>
    <w:p>
      <w:pPr>
        <w:spacing w:after="0" w:line="58" w:lineRule="exact"/>
        <w:rPr>
          <w:rFonts w:ascii="Arial" w:cs="Arial" w:eastAsia="Arial" w:hAnsi="Arial"/>
          <w:sz w:val="23"/>
          <w:szCs w:val="23"/>
          <w:b w:val="1"/>
          <w:bCs w:val="1"/>
          <w:color w:val="auto"/>
        </w:rPr>
      </w:pPr>
    </w:p>
    <w:p>
      <w:pPr>
        <w:ind w:left="4800" w:hanging="635"/>
        <w:spacing w:after="0"/>
        <w:tabs>
          <w:tab w:leader="none" w:pos="4800" w:val="left"/>
        </w:tabs>
        <w:numPr>
          <w:ilvl w:val="0"/>
          <w:numId w:val="1"/>
        </w:numPr>
        <w:rPr>
          <w:rFonts w:ascii="Arial" w:cs="Arial" w:eastAsia="Arial" w:hAnsi="Arial"/>
          <w:sz w:val="23"/>
          <w:szCs w:val="23"/>
          <w:b w:val="1"/>
          <w:bCs w:val="1"/>
          <w:color w:val="auto"/>
        </w:rPr>
      </w:pPr>
      <w:r>
        <w:rPr>
          <w:rFonts w:ascii="Arial" w:cs="Arial" w:eastAsia="Arial" w:hAnsi="Arial"/>
          <w:sz w:val="23"/>
          <w:szCs w:val="23"/>
          <w:b w:val="1"/>
          <w:bCs w:val="1"/>
          <w:color w:val="auto"/>
        </w:rPr>
        <w:t>% Senior Notes due 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100965</wp:posOffset>
            </wp:positionV>
            <wp:extent cx="147447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1" w:lineRule="exact"/>
        <w:rPr>
          <w:sz w:val="24"/>
          <w:szCs w:val="24"/>
          <w:color w:val="auto"/>
        </w:rPr>
      </w:pPr>
    </w:p>
    <w:p>
      <w:pPr>
        <w:ind w:left="560"/>
        <w:spacing w:after="0"/>
        <w:tabs>
          <w:tab w:leader="none" w:pos="2200" w:val="left"/>
          <w:tab w:leader="none" w:pos="6020" w:val="left"/>
          <w:tab w:leader="none" w:pos="7080" w:val="left"/>
          <w:tab w:leader="none" w:pos="8500" w:val="left"/>
        </w:tabs>
        <w:rPr>
          <w:sz w:val="20"/>
          <w:szCs w:val="20"/>
          <w:color w:val="auto"/>
        </w:rPr>
      </w:pPr>
      <w:r>
        <w:rPr>
          <w:rFonts w:ascii="Arial" w:cs="Arial" w:eastAsia="Arial" w:hAnsi="Arial"/>
          <w:sz w:val="16"/>
          <w:szCs w:val="16"/>
          <w:color w:val="auto"/>
        </w:rPr>
        <w:t>We are offering $</w:t>
      </w:r>
      <w:r>
        <w:rPr>
          <w:sz w:val="20"/>
          <w:szCs w:val="20"/>
          <w:color w:val="auto"/>
        </w:rPr>
        <w:tab/>
      </w:r>
      <w:r>
        <w:rPr>
          <w:rFonts w:ascii="Arial" w:cs="Arial" w:eastAsia="Arial" w:hAnsi="Arial"/>
          <w:sz w:val="16"/>
          <w:szCs w:val="16"/>
          <w:color w:val="auto"/>
        </w:rPr>
        <w:t>aggregate principal amount of Senior Notes due 20</w:t>
      </w:r>
      <w:r>
        <w:rPr>
          <w:sz w:val="20"/>
          <w:szCs w:val="20"/>
          <w:color w:val="auto"/>
        </w:rPr>
        <w:tab/>
      </w:r>
      <w:r>
        <w:rPr>
          <w:rFonts w:ascii="Arial" w:cs="Arial" w:eastAsia="Arial" w:hAnsi="Arial"/>
          <w:sz w:val="16"/>
          <w:szCs w:val="16"/>
          <w:color w:val="auto"/>
        </w:rPr>
        <w:t>(the “20</w:t>
      </w:r>
      <w:r>
        <w:rPr>
          <w:sz w:val="20"/>
          <w:szCs w:val="20"/>
          <w:color w:val="auto"/>
        </w:rPr>
        <w:tab/>
      </w:r>
      <w:r>
        <w:rPr>
          <w:rFonts w:ascii="Arial" w:cs="Arial" w:eastAsia="Arial" w:hAnsi="Arial"/>
          <w:sz w:val="16"/>
          <w:szCs w:val="16"/>
          <w:color w:val="auto"/>
        </w:rPr>
        <w:t>Notes”) and $</w:t>
      </w:r>
      <w:r>
        <w:rPr>
          <w:sz w:val="20"/>
          <w:szCs w:val="20"/>
          <w:color w:val="auto"/>
        </w:rPr>
        <w:tab/>
      </w:r>
      <w:r>
        <w:rPr>
          <w:rFonts w:ascii="Arial" w:cs="Arial" w:eastAsia="Arial" w:hAnsi="Arial"/>
          <w:sz w:val="14"/>
          <w:szCs w:val="14"/>
          <w:color w:val="auto"/>
        </w:rPr>
        <w:t>aggregate principal amount of Senior</w:t>
      </w:r>
    </w:p>
    <w:p>
      <w:pPr>
        <w:spacing w:after="0" w:line="22" w:lineRule="exact"/>
        <w:rPr>
          <w:sz w:val="24"/>
          <w:szCs w:val="24"/>
          <w:color w:val="auto"/>
        </w:rPr>
      </w:pPr>
    </w:p>
    <w:p>
      <w:pPr>
        <w:ind w:left="120"/>
        <w:spacing w:after="0"/>
        <w:tabs>
          <w:tab w:leader="none" w:pos="1480" w:val="left"/>
          <w:tab w:leader="none" w:pos="2540" w:val="left"/>
          <w:tab w:leader="none" w:pos="5160" w:val="left"/>
        </w:tabs>
        <w:rPr>
          <w:sz w:val="20"/>
          <w:szCs w:val="20"/>
          <w:color w:val="auto"/>
        </w:rPr>
      </w:pPr>
      <w:r>
        <w:rPr>
          <w:rFonts w:ascii="Arial" w:cs="Arial" w:eastAsia="Arial" w:hAnsi="Arial"/>
          <w:sz w:val="16"/>
          <w:szCs w:val="16"/>
          <w:color w:val="auto"/>
        </w:rPr>
        <w:t>Notes due 20</w:t>
      </w:r>
      <w:r>
        <w:rPr>
          <w:sz w:val="20"/>
          <w:szCs w:val="20"/>
          <w:color w:val="auto"/>
        </w:rPr>
        <w:tab/>
      </w:r>
      <w:r>
        <w:rPr>
          <w:rFonts w:ascii="Arial" w:cs="Arial" w:eastAsia="Arial" w:hAnsi="Arial"/>
          <w:sz w:val="16"/>
          <w:szCs w:val="16"/>
          <w:color w:val="auto"/>
        </w:rPr>
        <w:t>(the “20</w:t>
      </w:r>
      <w:r>
        <w:rPr>
          <w:sz w:val="20"/>
          <w:szCs w:val="20"/>
          <w:color w:val="auto"/>
        </w:rPr>
        <w:tab/>
      </w:r>
      <w:r>
        <w:rPr>
          <w:rFonts w:ascii="Arial" w:cs="Arial" w:eastAsia="Arial" w:hAnsi="Arial"/>
          <w:sz w:val="16"/>
          <w:szCs w:val="16"/>
          <w:color w:val="auto"/>
        </w:rPr>
        <w:t>Notes” and, together with the 20</w:t>
      </w:r>
      <w:r>
        <w:rPr>
          <w:sz w:val="20"/>
          <w:szCs w:val="20"/>
          <w:color w:val="auto"/>
        </w:rPr>
        <w:tab/>
      </w:r>
      <w:r>
        <w:rPr>
          <w:rFonts w:ascii="Arial" w:cs="Arial" w:eastAsia="Arial" w:hAnsi="Arial"/>
          <w:sz w:val="14"/>
          <w:szCs w:val="14"/>
          <w:color w:val="auto"/>
        </w:rPr>
        <w:t>Notes, the “Notes”). We may, at our option, redeem each series of Notes at any time and</w:t>
      </w:r>
    </w:p>
    <w:p>
      <w:pPr>
        <w:spacing w:after="0" w:line="19" w:lineRule="exact"/>
        <w:rPr>
          <w:sz w:val="24"/>
          <w:szCs w:val="24"/>
          <w:color w:val="auto"/>
        </w:rPr>
      </w:pPr>
    </w:p>
    <w:p>
      <w:pPr>
        <w:jc w:val="both"/>
        <w:ind w:left="120" w:right="660"/>
        <w:spacing w:after="0" w:line="276" w:lineRule="auto"/>
        <w:rPr>
          <w:sz w:val="20"/>
          <w:szCs w:val="20"/>
          <w:color w:val="auto"/>
        </w:rPr>
      </w:pPr>
      <w:r>
        <w:rPr>
          <w:rFonts w:ascii="Arial" w:cs="Arial" w:eastAsia="Arial" w:hAnsi="Arial"/>
          <w:sz w:val="16"/>
          <w:szCs w:val="16"/>
          <w:color w:val="auto"/>
        </w:rPr>
        <w:t>from time to time, in each case, in whole or in part, at the prices and times indicated for each series of Notes under the caption “Description of Notes—Optional Redemption,” plus accrued and unpaid interest, if any, to but not including, the applicable date of redemption. The Notes will not be subject to any sinking fund provisions.</w:t>
      </w:r>
    </w:p>
    <w:p>
      <w:pPr>
        <w:spacing w:after="0" w:line="50" w:lineRule="exact"/>
        <w:rPr>
          <w:sz w:val="24"/>
          <w:szCs w:val="24"/>
          <w:color w:val="auto"/>
        </w:rPr>
      </w:pPr>
    </w:p>
    <w:p>
      <w:pPr>
        <w:ind w:left="120" w:right="40" w:firstLine="440"/>
        <w:spacing w:after="0" w:line="305" w:lineRule="auto"/>
        <w:rPr>
          <w:sz w:val="20"/>
          <w:szCs w:val="20"/>
          <w:color w:val="auto"/>
        </w:rPr>
      </w:pPr>
      <w:r>
        <w:rPr>
          <w:rFonts w:ascii="Arial" w:cs="Arial" w:eastAsia="Arial" w:hAnsi="Arial"/>
          <w:sz w:val="15"/>
          <w:szCs w:val="15"/>
          <w:color w:val="auto"/>
        </w:rPr>
        <w:t>We intend to use the net proceeds of this offering for repayment of debt, including amounts outstanding under our term loans due 2024 and the Revolving Credit Agreement (as defined herein under “Description of Notes—General”). Any remaining funds will be used for general corporate purposes, which may include, but are not limited to, funding for working capital, payment of dividends, capital expenditures, repurchases of our common shares and acquisitions.</w:t>
      </w:r>
    </w:p>
    <w:p>
      <w:pPr>
        <w:spacing w:after="0" w:line="17" w:lineRule="exact"/>
        <w:rPr>
          <w:sz w:val="24"/>
          <w:szCs w:val="24"/>
          <w:color w:val="auto"/>
        </w:rPr>
      </w:pPr>
    </w:p>
    <w:p>
      <w:pPr>
        <w:ind w:left="120" w:right="100" w:firstLine="440"/>
        <w:spacing w:after="0" w:line="273" w:lineRule="auto"/>
        <w:rPr>
          <w:sz w:val="20"/>
          <w:szCs w:val="20"/>
          <w:color w:val="auto"/>
        </w:rPr>
      </w:pPr>
      <w:r>
        <w:rPr>
          <w:rFonts w:ascii="Arial" w:cs="Arial" w:eastAsia="Arial" w:hAnsi="Arial"/>
          <w:sz w:val="16"/>
          <w:szCs w:val="16"/>
          <w:color w:val="auto"/>
        </w:rPr>
        <w:t>The Notes will not be guaranteed by any of our subsidiaries on the date of original issuance. In the future, however, any of our existing or future domestic subsidiaries that becomes a borrower or guarantor under the Revolving Credit Agreement or the 2024 and 2026 Term Loan Agreement (as defined herein under “Description of Notes—General”) will be required, jointly and severally, to fully and unconditionally guarantee the Notes on a senior, unsecured basis. See “Description of Notes—Guarantees.”</w:t>
      </w:r>
    </w:p>
    <w:p>
      <w:pPr>
        <w:spacing w:after="0" w:line="40" w:lineRule="exact"/>
        <w:rPr>
          <w:sz w:val="24"/>
          <w:szCs w:val="24"/>
          <w:color w:val="auto"/>
        </w:rPr>
      </w:pPr>
    </w:p>
    <w:p>
      <w:pPr>
        <w:ind w:left="120" w:right="60" w:firstLine="440"/>
        <w:spacing w:after="0" w:line="269" w:lineRule="auto"/>
        <w:rPr>
          <w:sz w:val="20"/>
          <w:szCs w:val="20"/>
          <w:color w:val="auto"/>
        </w:rPr>
      </w:pPr>
      <w:r>
        <w:rPr>
          <w:rFonts w:ascii="Arial" w:cs="Arial" w:eastAsia="Arial" w:hAnsi="Arial"/>
          <w:sz w:val="16"/>
          <w:szCs w:val="16"/>
          <w:color w:val="auto"/>
        </w:rPr>
        <w:t>The Notes and the guarantees, if any, will be our and each guarantor’s, as applicable, general, senior, unsecured obligations, will rank equally in right of payment with all of our and such guarantor’s existing and future senior, unsecured indebtedness and will rank senior in right of payment to all of our and such guarantor’s existing and future unsecured, subordinated indebtedness. In addition, the Notes and the guarantees, if any, will be effectively subordinated to all of our and each guarantor’s, as applicable, existing and future secured indebtedness, to the extent of the value of the assets securing such indebtedness. The Notes will be structurally subordinated to all of the existing and future indebtedness (including trade payables) of our subsidiaries that do not guarantee the Notes (other than indebtedness and liabilities owed to us, if any).</w:t>
      </w:r>
    </w:p>
    <w:p>
      <w:pPr>
        <w:spacing w:after="0" w:line="59" w:lineRule="exact"/>
        <w:rPr>
          <w:sz w:val="24"/>
          <w:szCs w:val="24"/>
          <w:color w:val="auto"/>
        </w:rPr>
      </w:pPr>
    </w:p>
    <w:p>
      <w:pPr>
        <w:ind w:left="560"/>
        <w:spacing w:after="0"/>
        <w:rPr>
          <w:sz w:val="20"/>
          <w:szCs w:val="20"/>
          <w:color w:val="auto"/>
        </w:rPr>
      </w:pPr>
      <w:r>
        <w:rPr>
          <w:rFonts w:ascii="Arial" w:cs="Arial" w:eastAsia="Arial" w:hAnsi="Arial"/>
          <w:sz w:val="16"/>
          <w:szCs w:val="16"/>
          <w:color w:val="auto"/>
        </w:rPr>
        <w:t>The Notes will not be listed on any securities exchange. Currently, there is no public market for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95250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29" w:lineRule="exact"/>
        <w:rPr>
          <w:sz w:val="24"/>
          <w:szCs w:val="24"/>
          <w:color w:val="auto"/>
        </w:rPr>
      </w:pPr>
    </w:p>
    <w:p>
      <w:pPr>
        <w:ind w:left="120" w:right="160" w:firstLine="440"/>
        <w:spacing w:after="0" w:line="349" w:lineRule="auto"/>
        <w:rPr>
          <w:sz w:val="20"/>
          <w:szCs w:val="20"/>
          <w:color w:val="auto"/>
        </w:rPr>
      </w:pPr>
      <w:r>
        <w:rPr>
          <w:rFonts w:ascii="Arial" w:cs="Arial" w:eastAsia="Arial" w:hAnsi="Arial"/>
          <w:sz w:val="16"/>
          <w:szCs w:val="16"/>
          <w:b w:val="1"/>
          <w:bCs w:val="1"/>
          <w:color w:val="auto"/>
        </w:rPr>
        <w:t>Investing in the Notes involves risks. See “</w:t>
      </w:r>
      <w:r>
        <w:rPr>
          <w:rFonts w:ascii="Arial" w:cs="Arial" w:eastAsia="Arial" w:hAnsi="Arial"/>
          <w:sz w:val="16"/>
          <w:szCs w:val="16"/>
          <w:b w:val="1"/>
          <w:bCs w:val="1"/>
          <w:u w:val="single" w:color="auto"/>
          <w:color w:val="0000EE"/>
        </w:rPr>
        <w:t>Risk Factors</w:t>
      </w:r>
      <w:r>
        <w:rPr>
          <w:rFonts w:ascii="Arial" w:cs="Arial" w:eastAsia="Arial" w:hAnsi="Arial"/>
          <w:sz w:val="16"/>
          <w:szCs w:val="16"/>
          <w:b w:val="1"/>
          <w:bCs w:val="1"/>
          <w:color w:val="auto"/>
        </w:rPr>
        <w:t>” beginning on page S-5 of this prospectus supplement and the risk factors we incorporate by reference herein for a discussion of certain risks that you should consider before investing in the Notes.</w:t>
      </w:r>
    </w:p>
    <w:p>
      <w:pPr>
        <w:ind w:left="120" w:right="260" w:firstLine="440"/>
        <w:spacing w:after="0" w:line="331" w:lineRule="auto"/>
        <w:rPr>
          <w:sz w:val="20"/>
          <w:szCs w:val="20"/>
          <w:color w:val="auto"/>
        </w:rPr>
      </w:pPr>
      <w:r>
        <w:rPr>
          <w:rFonts w:ascii="Arial" w:cs="Arial" w:eastAsia="Arial" w:hAnsi="Arial"/>
          <w:sz w:val="15"/>
          <w:szCs w:val="15"/>
          <w:b w:val="1"/>
          <w:bCs w:val="1"/>
          <w:color w:val="auto"/>
        </w:rPr>
        <w:t>None of the Securities and Exchange Commission, any state securities commission or any other regulatory body has approved or disapproved of these securities or determined if this prospectus supplement is truthful or complete. Any representation to the contrary is a criminal offense.</w:t>
      </w:r>
    </w:p>
    <w:p>
      <w:pPr>
        <w:spacing w:after="0" w:line="1" w:lineRule="exact"/>
        <w:rPr>
          <w:sz w:val="24"/>
          <w:szCs w:val="24"/>
          <w:color w:val="auto"/>
        </w:rPr>
      </w:pPr>
    </w:p>
    <w:tbl>
      <w:tblPr>
        <w:tblLayout w:type="fixed"/>
        <w:tblInd w:w="120" w:type="dxa"/>
        <w:tblCellMar>
          <w:top w:w="0" w:type="dxa"/>
          <w:left w:w="0" w:type="dxa"/>
          <w:bottom w:w="0" w:type="dxa"/>
          <w:right w:w="0" w:type="dxa"/>
        </w:tblCellMar>
      </w:tblPr>
      <w:tr>
        <w:trPr>
          <w:trHeight w:val="171"/>
        </w:trPr>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860" w:type="dxa"/>
            <w:vAlign w:val="bottom"/>
          </w:tcPr>
          <w:p>
            <w:pPr>
              <w:spacing w:after="0"/>
              <w:rPr>
                <w:sz w:val="20"/>
                <w:szCs w:val="20"/>
                <w:color w:val="auto"/>
              </w:rPr>
            </w:pPr>
            <w:r>
              <w:rPr>
                <w:rFonts w:ascii="Arial" w:cs="Arial" w:eastAsia="Arial" w:hAnsi="Arial"/>
                <w:sz w:val="14"/>
                <w:szCs w:val="14"/>
                <w:b w:val="1"/>
                <w:bCs w:val="1"/>
                <w:color w:val="auto"/>
                <w:w w:val="98"/>
              </w:rPr>
              <w:t>Per 20   Note</w:t>
            </w:r>
          </w:p>
        </w:tc>
        <w:tc>
          <w:tcPr>
            <w:tcW w:w="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ind w:left="300"/>
              <w:spacing w:after="0"/>
              <w:rPr>
                <w:sz w:val="20"/>
                <w:szCs w:val="20"/>
                <w:color w:val="auto"/>
              </w:rPr>
            </w:pPr>
            <w:r>
              <w:rPr>
                <w:rFonts w:ascii="Arial" w:cs="Arial" w:eastAsia="Arial" w:hAnsi="Arial"/>
                <w:sz w:val="14"/>
                <w:szCs w:val="14"/>
                <w:b w:val="1"/>
                <w:bCs w:val="1"/>
                <w:color w:val="auto"/>
              </w:rPr>
              <w:t>Total</w:t>
            </w:r>
          </w:p>
        </w:tc>
        <w:tc>
          <w:tcPr>
            <w:tcW w:w="880" w:type="dxa"/>
            <w:vAlign w:val="bottom"/>
          </w:tcPr>
          <w:p>
            <w:pPr>
              <w:ind w:left="20"/>
              <w:spacing w:after="0"/>
              <w:rPr>
                <w:sz w:val="20"/>
                <w:szCs w:val="20"/>
                <w:color w:val="auto"/>
              </w:rPr>
            </w:pPr>
            <w:r>
              <w:rPr>
                <w:rFonts w:ascii="Arial" w:cs="Arial" w:eastAsia="Arial" w:hAnsi="Arial"/>
                <w:sz w:val="14"/>
                <w:szCs w:val="14"/>
                <w:b w:val="1"/>
                <w:bCs w:val="1"/>
                <w:color w:val="auto"/>
                <w:w w:val="98"/>
              </w:rPr>
              <w:t>Per 20   Note</w:t>
            </w:r>
          </w:p>
        </w:tc>
        <w:tc>
          <w:tcPr>
            <w:tcW w:w="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60" w:type="dxa"/>
            <w:vAlign w:val="bottom"/>
            <w:gridSpan w:val="2"/>
          </w:tcPr>
          <w:p>
            <w:pPr>
              <w:ind w:left="300"/>
              <w:spacing w:after="0"/>
              <w:rPr>
                <w:sz w:val="20"/>
                <w:szCs w:val="20"/>
                <w:color w:val="auto"/>
              </w:rPr>
            </w:pPr>
            <w:r>
              <w:rPr>
                <w:rFonts w:ascii="Arial" w:cs="Arial" w:eastAsia="Arial" w:hAnsi="Arial"/>
                <w:sz w:val="14"/>
                <w:szCs w:val="14"/>
                <w:b w:val="1"/>
                <w:bCs w:val="1"/>
                <w:color w:val="auto"/>
              </w:rPr>
              <w:t>Total</w:t>
            </w:r>
          </w:p>
        </w:tc>
      </w:tr>
      <w:tr>
        <w:trPr>
          <w:trHeight w:val="196"/>
        </w:trPr>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52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5"/>
                <w:szCs w:val="15"/>
                <w:color w:val="auto"/>
              </w:rPr>
              <w:t>Public Offering Price</w:t>
            </w:r>
            <w:r>
              <w:rPr>
                <w:rFonts w:ascii="Arial" w:cs="Arial" w:eastAsia="Arial" w:hAnsi="Arial"/>
                <w:sz w:val="22"/>
                <w:szCs w:val="22"/>
                <w:color w:val="auto"/>
                <w:vertAlign w:val="superscript"/>
              </w:rPr>
              <w:t>(1)</w:t>
            </w:r>
          </w:p>
        </w:tc>
        <w:tc>
          <w:tcPr>
            <w:tcW w:w="216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jc w:val="right"/>
              <w:ind w:right="159"/>
              <w:spacing w:after="0"/>
              <w:rPr>
                <w:sz w:val="20"/>
                <w:szCs w:val="20"/>
                <w:color w:val="auto"/>
              </w:rPr>
            </w:pPr>
            <w:r>
              <w:rPr>
                <w:rFonts w:ascii="Arial" w:cs="Arial" w:eastAsia="Arial" w:hAnsi="Arial"/>
                <w:sz w:val="16"/>
                <w:szCs w:val="16"/>
                <w:color w:val="auto"/>
                <w:w w:val="84"/>
              </w:rPr>
              <w:t>%</w:t>
            </w:r>
          </w:p>
        </w:tc>
        <w:tc>
          <w:tcPr>
            <w:tcW w:w="24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ind w:right="766"/>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jc w:val="right"/>
              <w:ind w:right="184"/>
              <w:spacing w:after="0"/>
              <w:rPr>
                <w:sz w:val="20"/>
                <w:szCs w:val="20"/>
                <w:color w:val="auto"/>
              </w:rPr>
            </w:pPr>
            <w:r>
              <w:rPr>
                <w:rFonts w:ascii="Arial" w:cs="Arial" w:eastAsia="Arial" w:hAnsi="Arial"/>
                <w:sz w:val="15"/>
                <w:szCs w:val="15"/>
                <w:color w:val="auto"/>
                <w:w w:val="74"/>
              </w:rPr>
              <w:t>%</w:t>
            </w:r>
          </w:p>
        </w:tc>
        <w:tc>
          <w:tcPr>
            <w:tcW w:w="24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ind w:right="766"/>
              <w:spacing w:after="0"/>
              <w:rPr>
                <w:sz w:val="20"/>
                <w:szCs w:val="20"/>
                <w:color w:val="auto"/>
              </w:rPr>
            </w:pPr>
            <w:r>
              <w:rPr>
                <w:rFonts w:ascii="Arial" w:cs="Arial" w:eastAsia="Arial" w:hAnsi="Arial"/>
                <w:sz w:val="15"/>
                <w:szCs w:val="15"/>
                <w:color w:val="auto"/>
                <w:w w:val="71"/>
              </w:rPr>
              <w:t>$</w:t>
            </w:r>
          </w:p>
        </w:tc>
        <w:tc>
          <w:tcPr>
            <w:tcW w:w="40" w:type="dxa"/>
            <w:vAlign w:val="bottom"/>
            <w:tcBorders>
              <w:top w:val="single" w:sz="8" w:color="CCEEFF"/>
            </w:tcBorders>
            <w:shd w:val="clear" w:color="auto" w:fill="CCEEFF"/>
          </w:tcPr>
          <w:p>
            <w:pPr>
              <w:spacing w:after="0"/>
              <w:rPr>
                <w:sz w:val="17"/>
                <w:szCs w:val="17"/>
                <w:color w:val="auto"/>
              </w:rPr>
            </w:pPr>
          </w:p>
        </w:tc>
      </w:tr>
      <w:tr>
        <w:trPr>
          <w:trHeight w:val="203"/>
        </w:trPr>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520" w:type="dxa"/>
            <w:vAlign w:val="bottom"/>
            <w:gridSpan w:val="2"/>
          </w:tcPr>
          <w:p>
            <w:pPr>
              <w:spacing w:after="0"/>
              <w:rPr>
                <w:sz w:val="20"/>
                <w:szCs w:val="20"/>
                <w:color w:val="auto"/>
              </w:rPr>
            </w:pPr>
            <w:r>
              <w:rPr>
                <w:rFonts w:ascii="Arial" w:cs="Arial" w:eastAsia="Arial" w:hAnsi="Arial"/>
                <w:sz w:val="16"/>
                <w:szCs w:val="16"/>
                <w:color w:val="auto"/>
              </w:rPr>
              <w:t>Underwriting Discount</w:t>
            </w:r>
          </w:p>
        </w:tc>
        <w:tc>
          <w:tcPr>
            <w:tcW w:w="21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80" w:type="dxa"/>
            <w:vAlign w:val="bottom"/>
          </w:tcPr>
          <w:p>
            <w:pPr>
              <w:jc w:val="right"/>
              <w:ind w:right="159"/>
              <w:spacing w:after="0"/>
              <w:rPr>
                <w:sz w:val="20"/>
                <w:szCs w:val="20"/>
                <w:color w:val="auto"/>
              </w:rPr>
            </w:pPr>
            <w:r>
              <w:rPr>
                <w:rFonts w:ascii="Arial" w:cs="Arial" w:eastAsia="Arial" w:hAnsi="Arial"/>
                <w:sz w:val="16"/>
                <w:szCs w:val="16"/>
                <w:color w:val="auto"/>
                <w:w w:val="84"/>
              </w:rPr>
              <w:t>%</w:t>
            </w:r>
          </w:p>
        </w:tc>
        <w:tc>
          <w:tcPr>
            <w:tcW w:w="1160" w:type="dxa"/>
            <w:vAlign w:val="bottom"/>
            <w:gridSpan w:val="2"/>
          </w:tcPr>
          <w:p>
            <w:pPr>
              <w:jc w:val="right"/>
              <w:ind w:right="766"/>
              <w:spacing w:after="0"/>
              <w:rPr>
                <w:sz w:val="20"/>
                <w:szCs w:val="20"/>
                <w:color w:val="auto"/>
              </w:rPr>
            </w:pPr>
            <w:r>
              <w:rPr>
                <w:rFonts w:ascii="Arial" w:cs="Arial" w:eastAsia="Arial" w:hAnsi="Arial"/>
                <w:sz w:val="16"/>
                <w:szCs w:val="16"/>
                <w:color w:val="auto"/>
              </w:rPr>
              <w:t>$</w:t>
            </w:r>
          </w:p>
        </w:tc>
        <w:tc>
          <w:tcPr>
            <w:tcW w:w="5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380" w:type="dxa"/>
            <w:vAlign w:val="bottom"/>
          </w:tcPr>
          <w:p>
            <w:pPr>
              <w:jc w:val="right"/>
              <w:ind w:right="184"/>
              <w:spacing w:after="0"/>
              <w:rPr>
                <w:sz w:val="20"/>
                <w:szCs w:val="20"/>
                <w:color w:val="auto"/>
              </w:rPr>
            </w:pPr>
            <w:r>
              <w:rPr>
                <w:rFonts w:ascii="Arial" w:cs="Arial" w:eastAsia="Arial" w:hAnsi="Arial"/>
                <w:sz w:val="15"/>
                <w:szCs w:val="15"/>
                <w:color w:val="auto"/>
                <w:w w:val="74"/>
              </w:rPr>
              <w:t>%</w:t>
            </w:r>
          </w:p>
        </w:tc>
        <w:tc>
          <w:tcPr>
            <w:tcW w:w="1160" w:type="dxa"/>
            <w:vAlign w:val="bottom"/>
            <w:gridSpan w:val="2"/>
          </w:tcPr>
          <w:p>
            <w:pPr>
              <w:jc w:val="right"/>
              <w:ind w:right="766"/>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17"/>
                <w:szCs w:val="17"/>
                <w:color w:val="auto"/>
              </w:rPr>
            </w:pPr>
          </w:p>
        </w:tc>
      </w:tr>
      <w:tr>
        <w:trPr>
          <w:trHeight w:val="203"/>
        </w:trPr>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540" w:type="dxa"/>
            <w:vAlign w:val="bottom"/>
            <w:gridSpan w:val="4"/>
            <w:shd w:val="clear" w:color="auto" w:fill="CCEEFF"/>
          </w:tcPr>
          <w:p>
            <w:pPr>
              <w:spacing w:after="0"/>
              <w:rPr>
                <w:sz w:val="20"/>
                <w:szCs w:val="20"/>
                <w:color w:val="auto"/>
              </w:rPr>
            </w:pPr>
            <w:r>
              <w:rPr>
                <w:rFonts w:ascii="Arial" w:cs="Arial" w:eastAsia="Arial" w:hAnsi="Arial"/>
                <w:sz w:val="16"/>
                <w:szCs w:val="16"/>
                <w:color w:val="auto"/>
              </w:rPr>
              <w:t>Proceeds to Marvell Technology, Inc. (before expenses)</w:t>
            </w:r>
          </w:p>
        </w:tc>
        <w:tc>
          <w:tcPr>
            <w:tcW w:w="380" w:type="dxa"/>
            <w:vAlign w:val="bottom"/>
            <w:shd w:val="clear" w:color="auto" w:fill="CCEEFF"/>
          </w:tcPr>
          <w:p>
            <w:pPr>
              <w:jc w:val="right"/>
              <w:ind w:right="159"/>
              <w:spacing w:after="0"/>
              <w:rPr>
                <w:sz w:val="20"/>
                <w:szCs w:val="20"/>
                <w:color w:val="auto"/>
              </w:rPr>
            </w:pPr>
            <w:r>
              <w:rPr>
                <w:rFonts w:ascii="Arial" w:cs="Arial" w:eastAsia="Arial" w:hAnsi="Arial"/>
                <w:sz w:val="16"/>
                <w:szCs w:val="16"/>
                <w:color w:val="auto"/>
                <w:w w:val="84"/>
              </w:rPr>
              <w:t>%</w:t>
            </w:r>
          </w:p>
        </w:tc>
        <w:tc>
          <w:tcPr>
            <w:tcW w:w="1160" w:type="dxa"/>
            <w:vAlign w:val="bottom"/>
            <w:gridSpan w:val="2"/>
            <w:shd w:val="clear" w:color="auto" w:fill="CCEEFF"/>
          </w:tcPr>
          <w:p>
            <w:pPr>
              <w:jc w:val="right"/>
              <w:ind w:right="766"/>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380" w:type="dxa"/>
            <w:vAlign w:val="bottom"/>
            <w:shd w:val="clear" w:color="auto" w:fill="CCEEFF"/>
          </w:tcPr>
          <w:p>
            <w:pPr>
              <w:jc w:val="right"/>
              <w:ind w:right="184"/>
              <w:spacing w:after="0"/>
              <w:rPr>
                <w:sz w:val="20"/>
                <w:szCs w:val="20"/>
                <w:color w:val="auto"/>
              </w:rPr>
            </w:pPr>
            <w:r>
              <w:rPr>
                <w:rFonts w:ascii="Arial" w:cs="Arial" w:eastAsia="Arial" w:hAnsi="Arial"/>
                <w:sz w:val="15"/>
                <w:szCs w:val="15"/>
                <w:color w:val="auto"/>
                <w:w w:val="74"/>
              </w:rPr>
              <w:t>%</w:t>
            </w:r>
          </w:p>
        </w:tc>
        <w:tc>
          <w:tcPr>
            <w:tcW w:w="1160" w:type="dxa"/>
            <w:vAlign w:val="bottom"/>
            <w:gridSpan w:val="2"/>
            <w:shd w:val="clear" w:color="auto" w:fill="CCEEFF"/>
          </w:tcPr>
          <w:p>
            <w:pPr>
              <w:jc w:val="right"/>
              <w:ind w:right="766"/>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r>
      <w:tr>
        <w:trPr>
          <w:trHeight w:val="149"/>
        </w:trPr>
        <w:tc>
          <w:tcPr>
            <w:tcW w:w="300" w:type="dxa"/>
            <w:vAlign w:val="bottom"/>
            <w:tcBorders>
              <w:bottom w:val="single" w:sz="8" w:color="auto"/>
            </w:tcBorders>
          </w:tcPr>
          <w:p>
            <w:pPr>
              <w:spacing w:after="0"/>
              <w:rPr>
                <w:sz w:val="12"/>
                <w:szCs w:val="12"/>
                <w:color w:val="auto"/>
              </w:rPr>
            </w:pPr>
          </w:p>
        </w:tc>
        <w:tc>
          <w:tcPr>
            <w:tcW w:w="920" w:type="dxa"/>
            <w:vAlign w:val="bottom"/>
            <w:tcBorders>
              <w:bottom w:val="single" w:sz="8" w:color="auto"/>
            </w:tcBorders>
            <w:gridSpan w:val="2"/>
          </w:tcPr>
          <w:p>
            <w:pPr>
              <w:spacing w:after="0"/>
              <w:rPr>
                <w:sz w:val="12"/>
                <w:szCs w:val="12"/>
                <w:color w:val="auto"/>
              </w:rPr>
            </w:pPr>
          </w:p>
        </w:tc>
        <w:tc>
          <w:tcPr>
            <w:tcW w:w="174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0" w:type="dxa"/>
            <w:vAlign w:val="bottom"/>
          </w:tcPr>
          <w:p>
            <w:pPr>
              <w:spacing w:after="0"/>
              <w:rPr>
                <w:sz w:val="12"/>
                <w:szCs w:val="12"/>
                <w:color w:val="auto"/>
              </w:rPr>
            </w:pPr>
          </w:p>
        </w:tc>
      </w:tr>
      <w:tr>
        <w:trPr>
          <w:trHeight w:val="230"/>
        </w:trPr>
        <w:tc>
          <w:tcPr>
            <w:tcW w:w="300" w:type="dxa"/>
            <w:vAlign w:val="bottom"/>
          </w:tcPr>
          <w:p>
            <w:pPr>
              <w:jc w:val="right"/>
              <w:ind w:right="39"/>
              <w:spacing w:after="0"/>
              <w:rPr>
                <w:sz w:val="20"/>
                <w:szCs w:val="20"/>
                <w:color w:val="auto"/>
              </w:rPr>
            </w:pPr>
            <w:r>
              <w:rPr>
                <w:rFonts w:ascii="Arial" w:cs="Arial" w:eastAsia="Arial" w:hAnsi="Arial"/>
                <w:sz w:val="16"/>
                <w:szCs w:val="16"/>
                <w:color w:val="auto"/>
                <w:w w:val="81"/>
              </w:rPr>
              <w:t>(1)</w:t>
            </w:r>
          </w:p>
        </w:tc>
        <w:tc>
          <w:tcPr>
            <w:tcW w:w="2660" w:type="dxa"/>
            <w:vAlign w:val="bottom"/>
            <w:gridSpan w:val="3"/>
          </w:tcPr>
          <w:p>
            <w:pPr>
              <w:ind w:left="120"/>
              <w:spacing w:after="0"/>
              <w:rPr>
                <w:sz w:val="20"/>
                <w:szCs w:val="20"/>
                <w:color w:val="auto"/>
              </w:rPr>
            </w:pPr>
            <w:r>
              <w:rPr>
                <w:rFonts w:ascii="Arial" w:cs="Arial" w:eastAsia="Arial" w:hAnsi="Arial"/>
                <w:sz w:val="16"/>
                <w:szCs w:val="16"/>
                <w:color w:val="auto"/>
              </w:rPr>
              <w:t>Plus accrued interest, if any, from</w:t>
            </w:r>
          </w:p>
        </w:tc>
        <w:tc>
          <w:tcPr>
            <w:tcW w:w="2160" w:type="dxa"/>
            <w:vAlign w:val="bottom"/>
          </w:tcPr>
          <w:p>
            <w:pPr>
              <w:jc w:val="right"/>
              <w:ind w:right="1299"/>
              <w:spacing w:after="0"/>
              <w:rPr>
                <w:sz w:val="20"/>
                <w:szCs w:val="20"/>
                <w:color w:val="auto"/>
              </w:rPr>
            </w:pPr>
            <w:r>
              <w:rPr>
                <w:rFonts w:ascii="Arial" w:cs="Arial" w:eastAsia="Arial" w:hAnsi="Arial"/>
                <w:sz w:val="16"/>
                <w:szCs w:val="16"/>
                <w:color w:val="auto"/>
              </w:rPr>
              <w:t>, 2023.</w:t>
            </w:r>
          </w:p>
        </w:tc>
        <w:tc>
          <w:tcPr>
            <w:tcW w:w="8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r>
    </w:tbl>
    <w:p>
      <w:pPr>
        <w:spacing w:after="0" w:line="64" w:lineRule="exact"/>
        <w:rPr>
          <w:sz w:val="24"/>
          <w:szCs w:val="24"/>
          <w:color w:val="auto"/>
        </w:rPr>
      </w:pPr>
    </w:p>
    <w:p>
      <w:pPr>
        <w:ind w:left="120" w:right="20" w:firstLine="440"/>
        <w:spacing w:after="0" w:line="304" w:lineRule="auto"/>
        <w:rPr>
          <w:sz w:val="20"/>
          <w:szCs w:val="20"/>
          <w:color w:val="auto"/>
        </w:rPr>
      </w:pPr>
      <w:r>
        <w:rPr>
          <w:rFonts w:ascii="Arial" w:cs="Arial" w:eastAsia="Arial" w:hAnsi="Arial"/>
          <w:sz w:val="14"/>
          <w:szCs w:val="14"/>
          <w:color w:val="auto"/>
        </w:rPr>
        <w:t>The underwriters expect to deliver the Notes to investors in book-entry form only through the facilities of The Depository Trust Company (“DTC”) for the account of its participants, including Euroclear Bank S.A./N.V., as operator of the Euroclear System, and Clearstream Banking S.A. against payment in New York, New York on</w:t>
      </w:r>
    </w:p>
    <w:p>
      <w:pPr>
        <w:spacing w:after="0" w:line="1" w:lineRule="exact"/>
        <w:rPr>
          <w:sz w:val="24"/>
          <w:szCs w:val="24"/>
          <w:color w:val="auto"/>
        </w:rPr>
      </w:pPr>
    </w:p>
    <w:tbl>
      <w:tblPr>
        <w:tblLayout w:type="fixed"/>
        <w:tblInd w:w="120" w:type="dxa"/>
        <w:tblCellMar>
          <w:top w:w="0" w:type="dxa"/>
          <w:left w:w="0" w:type="dxa"/>
          <w:bottom w:w="0" w:type="dxa"/>
          <w:right w:w="0" w:type="dxa"/>
        </w:tblCellMar>
      </w:tblPr>
      <w:tr>
        <w:trPr>
          <w:trHeight w:val="206"/>
        </w:trPr>
        <w:tc>
          <w:tcPr>
            <w:tcW w:w="880" w:type="dxa"/>
            <w:vAlign w:val="bottom"/>
          </w:tcPr>
          <w:p>
            <w:pPr>
              <w:spacing w:after="0"/>
              <w:rPr>
                <w:sz w:val="20"/>
                <w:szCs w:val="20"/>
                <w:color w:val="auto"/>
              </w:rPr>
            </w:pPr>
            <w:r>
              <w:rPr>
                <w:rFonts w:ascii="Arial" w:cs="Arial" w:eastAsia="Arial" w:hAnsi="Arial"/>
                <w:sz w:val="16"/>
                <w:szCs w:val="16"/>
                <w:color w:val="auto"/>
              </w:rPr>
              <w:t>or about</w:t>
            </w:r>
          </w:p>
        </w:tc>
        <w:tc>
          <w:tcPr>
            <w:tcW w:w="2360" w:type="dxa"/>
            <w:vAlign w:val="bottom"/>
          </w:tcPr>
          <w:p>
            <w:pPr>
              <w:jc w:val="right"/>
              <w:ind w:right="1486"/>
              <w:spacing w:after="0"/>
              <w:rPr>
                <w:sz w:val="20"/>
                <w:szCs w:val="20"/>
                <w:color w:val="auto"/>
              </w:rPr>
            </w:pPr>
            <w:r>
              <w:rPr>
                <w:rFonts w:ascii="Arial" w:cs="Arial" w:eastAsia="Arial" w:hAnsi="Arial"/>
                <w:sz w:val="16"/>
                <w:szCs w:val="16"/>
                <w:color w:val="auto"/>
              </w:rPr>
              <w:t>, 2023.</w:t>
            </w:r>
          </w:p>
        </w:tc>
        <w:tc>
          <w:tcPr>
            <w:tcW w:w="110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720" w:type="dxa"/>
            <w:vAlign w:val="bottom"/>
          </w:tcPr>
          <w:p>
            <w:pPr>
              <w:spacing w:after="0"/>
              <w:rPr>
                <w:sz w:val="17"/>
                <w:szCs w:val="17"/>
                <w:color w:val="auto"/>
              </w:rPr>
            </w:pPr>
          </w:p>
        </w:tc>
      </w:tr>
      <w:tr>
        <w:trPr>
          <w:trHeight w:val="110"/>
        </w:trPr>
        <w:tc>
          <w:tcPr>
            <w:tcW w:w="88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320" w:type="dxa"/>
            <w:vAlign w:val="bottom"/>
            <w:tcBorders>
              <w:bottom w:val="single" w:sz="8" w:color="auto"/>
            </w:tcBorders>
          </w:tcPr>
          <w:p>
            <w:pPr>
              <w:spacing w:after="0"/>
              <w:rPr>
                <w:sz w:val="9"/>
                <w:szCs w:val="9"/>
                <w:color w:val="auto"/>
              </w:rPr>
            </w:pPr>
          </w:p>
        </w:tc>
        <w:tc>
          <w:tcPr>
            <w:tcW w:w="900" w:type="dxa"/>
            <w:vAlign w:val="bottom"/>
          </w:tcPr>
          <w:p>
            <w:pPr>
              <w:spacing w:after="0"/>
              <w:rPr>
                <w:sz w:val="9"/>
                <w:szCs w:val="9"/>
                <w:color w:val="auto"/>
              </w:rPr>
            </w:pPr>
          </w:p>
        </w:tc>
        <w:tc>
          <w:tcPr>
            <w:tcW w:w="2720" w:type="dxa"/>
            <w:vAlign w:val="bottom"/>
          </w:tcPr>
          <w:p>
            <w:pPr>
              <w:spacing w:after="0"/>
              <w:rPr>
                <w:sz w:val="9"/>
                <w:szCs w:val="9"/>
                <w:color w:val="auto"/>
              </w:rPr>
            </w:pPr>
          </w:p>
        </w:tc>
      </w:tr>
      <w:tr>
        <w:trPr>
          <w:trHeight w:val="354"/>
        </w:trPr>
        <w:tc>
          <w:tcPr>
            <w:tcW w:w="8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320" w:type="dxa"/>
            <w:vAlign w:val="bottom"/>
            <w:gridSpan w:val="3"/>
          </w:tcPr>
          <w:p>
            <w:pPr>
              <w:ind w:left="860"/>
              <w:spacing w:after="0"/>
              <w:rPr>
                <w:sz w:val="20"/>
                <w:szCs w:val="20"/>
                <w:color w:val="auto"/>
              </w:rPr>
            </w:pPr>
            <w:r>
              <w:rPr>
                <w:rFonts w:ascii="Arial" w:cs="Arial" w:eastAsia="Arial" w:hAnsi="Arial"/>
                <w:sz w:val="22"/>
                <w:szCs w:val="22"/>
                <w:b w:val="1"/>
                <w:bCs w:val="1"/>
                <w:i w:val="1"/>
                <w:iCs w:val="1"/>
                <w:color w:val="auto"/>
              </w:rPr>
              <w:t>Joint Book-Running Managers</w:t>
            </w:r>
          </w:p>
        </w:tc>
        <w:tc>
          <w:tcPr>
            <w:tcW w:w="2720" w:type="dxa"/>
            <w:vAlign w:val="bottom"/>
          </w:tcPr>
          <w:p>
            <w:pPr>
              <w:spacing w:after="0"/>
              <w:rPr>
                <w:sz w:val="24"/>
                <w:szCs w:val="24"/>
                <w:color w:val="auto"/>
              </w:rPr>
            </w:pPr>
          </w:p>
        </w:tc>
      </w:tr>
      <w:tr>
        <w:trPr>
          <w:trHeight w:val="324"/>
        </w:trPr>
        <w:tc>
          <w:tcPr>
            <w:tcW w:w="880" w:type="dxa"/>
            <w:vAlign w:val="bottom"/>
          </w:tcPr>
          <w:p>
            <w:pPr>
              <w:spacing w:after="0"/>
              <w:rPr>
                <w:sz w:val="24"/>
                <w:szCs w:val="24"/>
                <w:color w:val="auto"/>
              </w:rPr>
            </w:pPr>
          </w:p>
        </w:tc>
        <w:tc>
          <w:tcPr>
            <w:tcW w:w="2360" w:type="dxa"/>
            <w:vAlign w:val="bottom"/>
          </w:tcPr>
          <w:p>
            <w:pPr>
              <w:jc w:val="right"/>
              <w:ind w:right="766"/>
              <w:spacing w:after="0"/>
              <w:rPr>
                <w:sz w:val="20"/>
                <w:szCs w:val="20"/>
                <w:color w:val="auto"/>
              </w:rPr>
            </w:pPr>
            <w:r>
              <w:rPr>
                <w:rFonts w:ascii="Arial" w:cs="Arial" w:eastAsia="Arial" w:hAnsi="Arial"/>
                <w:sz w:val="22"/>
                <w:szCs w:val="22"/>
                <w:b w:val="1"/>
                <w:bCs w:val="1"/>
                <w:color w:val="auto"/>
              </w:rPr>
              <w:t>J.P. Morgan</w:t>
            </w:r>
          </w:p>
        </w:tc>
        <w:tc>
          <w:tcPr>
            <w:tcW w:w="1100" w:type="dxa"/>
            <w:vAlign w:val="bottom"/>
          </w:tcPr>
          <w:p>
            <w:pPr>
              <w:spacing w:after="0"/>
              <w:rPr>
                <w:sz w:val="24"/>
                <w:szCs w:val="24"/>
                <w:color w:val="auto"/>
              </w:rPr>
            </w:pPr>
          </w:p>
        </w:tc>
        <w:tc>
          <w:tcPr>
            <w:tcW w:w="3220" w:type="dxa"/>
            <w:vAlign w:val="bottom"/>
            <w:gridSpan w:val="2"/>
          </w:tcPr>
          <w:p>
            <w:pPr>
              <w:ind w:left="500"/>
              <w:spacing w:after="0"/>
              <w:rPr>
                <w:sz w:val="20"/>
                <w:szCs w:val="20"/>
                <w:color w:val="auto"/>
              </w:rPr>
            </w:pPr>
            <w:r>
              <w:rPr>
                <w:rFonts w:ascii="Arial" w:cs="Arial" w:eastAsia="Arial" w:hAnsi="Arial"/>
                <w:sz w:val="22"/>
                <w:szCs w:val="22"/>
                <w:b w:val="1"/>
                <w:bCs w:val="1"/>
                <w:color w:val="auto"/>
              </w:rPr>
              <w:t>BofA Securities</w:t>
            </w:r>
          </w:p>
        </w:tc>
        <w:tc>
          <w:tcPr>
            <w:tcW w:w="2720" w:type="dxa"/>
            <w:vAlign w:val="bottom"/>
          </w:tcPr>
          <w:p>
            <w:pPr>
              <w:ind w:left="660"/>
              <w:spacing w:after="0"/>
              <w:rPr>
                <w:sz w:val="20"/>
                <w:szCs w:val="20"/>
                <w:color w:val="auto"/>
              </w:rPr>
            </w:pPr>
            <w:r>
              <w:rPr>
                <w:rFonts w:ascii="Arial" w:cs="Arial" w:eastAsia="Arial" w:hAnsi="Arial"/>
                <w:sz w:val="22"/>
                <w:szCs w:val="22"/>
                <w:b w:val="1"/>
                <w:bCs w:val="1"/>
                <w:color w:val="auto"/>
                <w:w w:val="86"/>
              </w:rPr>
              <w:t>Wells Fargo Securities</w:t>
            </w:r>
          </w:p>
        </w:tc>
      </w:tr>
    </w:tbl>
    <w:p>
      <w:pPr>
        <w:spacing w:after="0" w:line="53" w:lineRule="exact"/>
        <w:rPr>
          <w:sz w:val="24"/>
          <w:szCs w:val="24"/>
          <w:color w:val="auto"/>
        </w:rPr>
      </w:pPr>
    </w:p>
    <w:p>
      <w:pPr>
        <w:sectPr>
          <w:pgSz w:w="11900" w:h="16838" w:orient="portrait"/>
          <w:cols w:equalWidth="0" w:num="1">
            <w:col w:w="11140"/>
          </w:cols>
          <w:pgMar w:left="320" w:top="230" w:right="439" w:bottom="1440" w:gutter="0" w:footer="0" w:header="0"/>
        </w:sectPr>
      </w:pPr>
    </w:p>
    <w:p>
      <w:pPr>
        <w:jc w:val="center"/>
        <w:ind w:right="-99"/>
        <w:spacing w:after="0"/>
        <w:rPr>
          <w:sz w:val="20"/>
          <w:szCs w:val="20"/>
          <w:color w:val="auto"/>
        </w:rPr>
      </w:pPr>
      <w:r>
        <w:rPr>
          <w:rFonts w:ascii="Arial" w:cs="Arial" w:eastAsia="Arial" w:hAnsi="Arial"/>
          <w:sz w:val="15"/>
          <w:szCs w:val="15"/>
          <w:b w:val="1"/>
          <w:bCs w:val="1"/>
          <w:color w:val="auto"/>
        </w:rPr>
        <w:t>, 2023</w:t>
      </w:r>
    </w:p>
    <w:p>
      <w:pPr>
        <w:sectPr>
          <w:pgSz w:w="11900" w:h="16838" w:orient="portrait"/>
          <w:cols w:equalWidth="0" w:num="1">
            <w:col w:w="11140"/>
          </w:cols>
          <w:pgMar w:left="320" w:top="230"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5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860" w:type="dxa"/>
            <w:vAlign w:val="bottom"/>
            <w:gridSpan w:val="3"/>
          </w:tcPr>
          <w:p>
            <w:pPr>
              <w:jc w:val="center"/>
              <w:ind w:right="4100"/>
              <w:spacing w:after="0"/>
              <w:rPr>
                <w:sz w:val="20"/>
                <w:szCs w:val="20"/>
                <w:color w:val="auto"/>
              </w:rPr>
            </w:pPr>
            <w:r>
              <w:rPr>
                <w:rFonts w:ascii="Arial" w:cs="Arial" w:eastAsia="Arial" w:hAnsi="Arial"/>
                <w:sz w:val="18"/>
                <w:szCs w:val="18"/>
                <w:b w:val="1"/>
                <w:bCs w:val="1"/>
                <w:color w:val="auto"/>
                <w:w w:val="98"/>
              </w:rPr>
              <w:t>TABLE OF CONTENTS</w:t>
            </w:r>
          </w:p>
        </w:tc>
        <w:tc>
          <w:tcPr>
            <w:tcW w:w="0" w:type="dxa"/>
            <w:vAlign w:val="bottom"/>
          </w:tcPr>
          <w:p>
            <w:pPr>
              <w:spacing w:after="0"/>
              <w:rPr>
                <w:sz w:val="1"/>
                <w:szCs w:val="1"/>
                <w:color w:val="auto"/>
              </w:rPr>
            </w:pPr>
          </w:p>
        </w:tc>
      </w:tr>
      <w:tr>
        <w:trPr>
          <w:trHeight w:val="324"/>
        </w:trPr>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60" w:type="dxa"/>
            <w:vAlign w:val="bottom"/>
            <w:gridSpan w:val="3"/>
          </w:tcPr>
          <w:p>
            <w:pPr>
              <w:jc w:val="center"/>
              <w:ind w:right="4100"/>
              <w:spacing w:after="0"/>
              <w:rPr>
                <w:sz w:val="20"/>
                <w:szCs w:val="20"/>
                <w:color w:val="auto"/>
              </w:rPr>
            </w:pPr>
            <w:r>
              <w:rPr>
                <w:rFonts w:ascii="Arial" w:cs="Arial" w:eastAsia="Arial" w:hAnsi="Arial"/>
                <w:sz w:val="18"/>
                <w:szCs w:val="18"/>
                <w:b w:val="1"/>
                <w:bCs w:val="1"/>
                <w:color w:val="auto"/>
                <w:w w:val="87"/>
              </w:rPr>
              <w:t>Prospectus Supplement</w:t>
            </w:r>
          </w:p>
        </w:tc>
        <w:tc>
          <w:tcPr>
            <w:tcW w:w="0" w:type="dxa"/>
            <w:vAlign w:val="bottom"/>
          </w:tcPr>
          <w:p>
            <w:pPr>
              <w:spacing w:after="0"/>
              <w:rPr>
                <w:sz w:val="1"/>
                <w:szCs w:val="1"/>
                <w:color w:val="auto"/>
              </w:rPr>
            </w:pPr>
          </w:p>
        </w:tc>
      </w:tr>
      <w:tr>
        <w:trPr>
          <w:trHeight w:val="392"/>
        </w:trPr>
        <w:tc>
          <w:tcPr>
            <w:tcW w:w="4120" w:type="dxa"/>
            <w:vAlign w:val="bottom"/>
            <w:gridSpan w:val="23"/>
            <w:vMerge w:val="restart"/>
          </w:tcPr>
          <w:p>
            <w:pPr>
              <w:spacing w:after="0"/>
              <w:rPr>
                <w:sz w:val="20"/>
                <w:szCs w:val="20"/>
                <w:color w:val="auto"/>
              </w:rPr>
            </w:pPr>
            <w:r>
              <w:rPr>
                <w:rFonts w:ascii="Arial" w:cs="Arial" w:eastAsia="Arial" w:hAnsi="Arial"/>
                <w:sz w:val="18"/>
                <w:szCs w:val="18"/>
                <w:color w:val="0000EE"/>
              </w:rPr>
              <w:t>Information About This Prospectus Supplement</w:t>
            </w:r>
          </w:p>
        </w:tc>
        <w:tc>
          <w:tcPr>
            <w:tcW w:w="6440" w:type="dxa"/>
            <w:vAlign w:val="bottom"/>
          </w:tcPr>
          <w:p>
            <w:pPr>
              <w:spacing w:after="0"/>
              <w:rPr>
                <w:sz w:val="24"/>
                <w:szCs w:val="24"/>
                <w:color w:val="auto"/>
              </w:rPr>
            </w:pPr>
          </w:p>
        </w:tc>
        <w:tc>
          <w:tcPr>
            <w:tcW w:w="420" w:type="dxa"/>
            <w:vAlign w:val="bottom"/>
            <w:gridSpan w:val="2"/>
          </w:tcPr>
          <w:p>
            <w:pPr>
              <w:ind w:left="6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69"/>
        </w:trPr>
        <w:tc>
          <w:tcPr>
            <w:tcW w:w="4120" w:type="dxa"/>
            <w:vAlign w:val="bottom"/>
            <w:gridSpan w:val="23"/>
            <w:vMerge w:val="continue"/>
          </w:tcPr>
          <w:p>
            <w:pPr>
              <w:spacing w:after="0"/>
              <w:rPr>
                <w:sz w:val="14"/>
                <w:szCs w:val="14"/>
                <w:color w:val="auto"/>
              </w:rPr>
            </w:pPr>
          </w:p>
        </w:tc>
        <w:tc>
          <w:tcPr>
            <w:tcW w:w="6440" w:type="dxa"/>
            <w:vAlign w:val="bottom"/>
          </w:tcPr>
          <w:p>
            <w:pPr>
              <w:spacing w:after="0"/>
              <w:rPr>
                <w:sz w:val="14"/>
                <w:szCs w:val="14"/>
                <w:color w:val="auto"/>
              </w:rPr>
            </w:pPr>
          </w:p>
        </w:tc>
        <w:tc>
          <w:tcPr>
            <w:tcW w:w="400" w:type="dxa"/>
            <w:vAlign w:val="bottom"/>
            <w:tcBorders>
              <w:top w:val="single" w:sz="8" w:color="auto"/>
            </w:tcBorders>
          </w:tcPr>
          <w:p>
            <w:pPr>
              <w:jc w:val="right"/>
              <w:spacing w:after="0" w:line="169" w:lineRule="exact"/>
              <w:rPr>
                <w:sz w:val="20"/>
                <w:szCs w:val="20"/>
                <w:color w:val="auto"/>
              </w:rPr>
            </w:pPr>
            <w:r>
              <w:rPr>
                <w:rFonts w:ascii="Arial" w:cs="Arial" w:eastAsia="Arial" w:hAnsi="Arial"/>
                <w:sz w:val="18"/>
                <w:szCs w:val="18"/>
                <w:color w:val="auto"/>
              </w:rPr>
              <w:t>S-ii</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440" w:type="dxa"/>
            <w:vAlign w:val="bottom"/>
            <w:tcBorders>
              <w:top w:val="single" w:sz="8" w:color="0000EE"/>
            </w:tcBorders>
            <w:gridSpan w:val="19"/>
          </w:tcPr>
          <w:p>
            <w:pPr>
              <w:spacing w:after="0" w:line="196" w:lineRule="exact"/>
              <w:rPr>
                <w:sz w:val="20"/>
                <w:szCs w:val="20"/>
                <w:color w:val="auto"/>
              </w:rPr>
            </w:pPr>
            <w:r>
              <w:rPr>
                <w:rFonts w:ascii="Arial" w:cs="Arial" w:eastAsia="Arial" w:hAnsi="Arial"/>
                <w:sz w:val="18"/>
                <w:szCs w:val="18"/>
                <w:color w:val="0000EE"/>
              </w:rPr>
              <w:t>Where You Can Find More Information</w:t>
            </w:r>
          </w:p>
        </w:tc>
        <w:tc>
          <w:tcPr>
            <w:tcW w:w="680" w:type="dxa"/>
            <w:vAlign w:val="bottom"/>
            <w:gridSpan w:val="4"/>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S-ii</w:t>
            </w:r>
          </w:p>
        </w:tc>
        <w:tc>
          <w:tcPr>
            <w:tcW w:w="0" w:type="dxa"/>
            <w:vAlign w:val="bottom"/>
          </w:tcPr>
          <w:p>
            <w:pPr>
              <w:spacing w:after="0"/>
              <w:rPr>
                <w:sz w:val="1"/>
                <w:szCs w:val="1"/>
                <w:color w:val="auto"/>
              </w:rPr>
            </w:pPr>
          </w:p>
        </w:tc>
      </w:tr>
      <w:tr>
        <w:trPr>
          <w:trHeight w:val="196"/>
        </w:trPr>
        <w:tc>
          <w:tcPr>
            <w:tcW w:w="2860" w:type="dxa"/>
            <w:vAlign w:val="bottom"/>
            <w:tcBorders>
              <w:top w:val="single" w:sz="8" w:color="0000EE"/>
            </w:tcBorders>
            <w:gridSpan w:val="17"/>
          </w:tcPr>
          <w:p>
            <w:pPr>
              <w:spacing w:after="0" w:line="196" w:lineRule="exact"/>
              <w:rPr>
                <w:sz w:val="20"/>
                <w:szCs w:val="20"/>
                <w:color w:val="auto"/>
              </w:rPr>
            </w:pPr>
            <w:r>
              <w:rPr>
                <w:rFonts w:ascii="Arial" w:cs="Arial" w:eastAsia="Arial" w:hAnsi="Arial"/>
                <w:sz w:val="18"/>
                <w:szCs w:val="18"/>
                <w:color w:val="0000EE"/>
                <w:w w:val="91"/>
              </w:rPr>
              <w:t>Documents Incorporated By Reference</w:t>
            </w:r>
          </w:p>
        </w:tc>
        <w:tc>
          <w:tcPr>
            <w:tcW w:w="1260" w:type="dxa"/>
            <w:vAlign w:val="bottom"/>
            <w:gridSpan w:val="6"/>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S-iii</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720" w:type="dxa"/>
            <w:vAlign w:val="bottom"/>
            <w:tcBorders>
              <w:bottom w:val="single" w:sz="8" w:color="0000EE"/>
            </w:tcBorders>
            <w:gridSpan w:val="22"/>
          </w:tcPr>
          <w:p>
            <w:pPr>
              <w:spacing w:after="0" w:line="196" w:lineRule="exact"/>
              <w:rPr>
                <w:sz w:val="20"/>
                <w:szCs w:val="20"/>
                <w:color w:val="auto"/>
              </w:rPr>
            </w:pPr>
            <w:r>
              <w:rPr>
                <w:rFonts w:ascii="Arial" w:cs="Arial" w:eastAsia="Arial" w:hAnsi="Arial"/>
                <w:sz w:val="18"/>
                <w:szCs w:val="18"/>
                <w:color w:val="0000EE"/>
                <w:w w:val="90"/>
              </w:rPr>
              <w:t>Disclosure Regarding Forward-Looking Statements</w:t>
            </w:r>
          </w:p>
        </w:tc>
        <w:tc>
          <w:tcPr>
            <w:tcW w:w="400" w:type="dxa"/>
            <w:vAlign w:val="bottom"/>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S-iv</w:t>
            </w:r>
          </w:p>
        </w:tc>
        <w:tc>
          <w:tcPr>
            <w:tcW w:w="0" w:type="dxa"/>
            <w:vAlign w:val="bottom"/>
          </w:tcPr>
          <w:p>
            <w:pPr>
              <w:spacing w:after="0"/>
              <w:rPr>
                <w:sz w:val="1"/>
                <w:szCs w:val="1"/>
                <w:color w:val="auto"/>
              </w:rPr>
            </w:pPr>
          </w:p>
        </w:tc>
      </w:tr>
      <w:tr>
        <w:trPr>
          <w:trHeight w:val="196"/>
        </w:trPr>
        <w:tc>
          <w:tcPr>
            <w:tcW w:w="700" w:type="dxa"/>
            <w:vAlign w:val="bottom"/>
            <w:tcBorders>
              <w:bottom w:val="single" w:sz="8" w:color="0000EE"/>
            </w:tcBorders>
            <w:gridSpan w:val="2"/>
          </w:tcPr>
          <w:p>
            <w:pPr>
              <w:spacing w:after="0" w:line="196" w:lineRule="exact"/>
              <w:rPr>
                <w:sz w:val="20"/>
                <w:szCs w:val="20"/>
                <w:color w:val="auto"/>
              </w:rPr>
            </w:pPr>
            <w:r>
              <w:rPr>
                <w:rFonts w:ascii="Arial" w:cs="Arial" w:eastAsia="Arial" w:hAnsi="Arial"/>
                <w:sz w:val="18"/>
                <w:szCs w:val="18"/>
                <w:color w:val="0000EE"/>
                <w:w w:val="88"/>
              </w:rPr>
              <w:t>Summary</w:t>
            </w:r>
          </w:p>
        </w:tc>
        <w:tc>
          <w:tcPr>
            <w:tcW w:w="3420" w:type="dxa"/>
            <w:vAlign w:val="bottom"/>
            <w:gridSpan w:val="21"/>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S-1</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Risk Factors</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S-5</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Use of Proceeds</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S-12</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2"/>
              </w:rPr>
              <w:t>Capitalization</w:t>
            </w:r>
          </w:p>
        </w:tc>
        <w:tc>
          <w:tcPr>
            <w:tcW w:w="140" w:type="dxa"/>
            <w:vAlign w:val="bottom"/>
            <w:tcBorders>
              <w:top w:val="single" w:sz="8" w:color="0000EE"/>
            </w:tcBorders>
          </w:tcPr>
          <w:p>
            <w:pPr>
              <w:spacing w:after="0"/>
              <w:rPr>
                <w:sz w:val="17"/>
                <w:szCs w:val="17"/>
                <w:color w:val="auto"/>
              </w:rPr>
            </w:pPr>
          </w:p>
        </w:tc>
        <w:tc>
          <w:tcPr>
            <w:tcW w:w="2960" w:type="dxa"/>
            <w:vAlign w:val="bottom"/>
            <w:gridSpan w:val="17"/>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S-13</w:t>
            </w:r>
          </w:p>
        </w:tc>
        <w:tc>
          <w:tcPr>
            <w:tcW w:w="0" w:type="dxa"/>
            <w:vAlign w:val="bottom"/>
          </w:tcPr>
          <w:p>
            <w:pPr>
              <w:spacing w:after="0"/>
              <w:rPr>
                <w:sz w:val="1"/>
                <w:szCs w:val="1"/>
                <w:color w:val="auto"/>
              </w:rPr>
            </w:pPr>
          </w:p>
        </w:tc>
      </w:tr>
      <w:tr>
        <w:trPr>
          <w:trHeight w:val="196"/>
        </w:trPr>
        <w:tc>
          <w:tcPr>
            <w:tcW w:w="1500" w:type="dxa"/>
            <w:vAlign w:val="bottom"/>
            <w:tcBorders>
              <w:bottom w:val="single" w:sz="8" w:color="0000EE"/>
            </w:tcBorders>
            <w:gridSpan w:val="9"/>
          </w:tcPr>
          <w:p>
            <w:pPr>
              <w:spacing w:after="0" w:line="196" w:lineRule="exact"/>
              <w:rPr>
                <w:sz w:val="20"/>
                <w:szCs w:val="20"/>
                <w:color w:val="auto"/>
              </w:rPr>
            </w:pPr>
            <w:r>
              <w:rPr>
                <w:rFonts w:ascii="Arial" w:cs="Arial" w:eastAsia="Arial" w:hAnsi="Arial"/>
                <w:sz w:val="18"/>
                <w:szCs w:val="18"/>
                <w:color w:val="0000EE"/>
                <w:w w:val="91"/>
              </w:rPr>
              <w:t>Description of Notes</w:t>
            </w:r>
          </w:p>
        </w:tc>
        <w:tc>
          <w:tcPr>
            <w:tcW w:w="2620" w:type="dxa"/>
            <w:vAlign w:val="bottom"/>
            <w:gridSpan w:val="14"/>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S-14</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Book-Entry Settlement and Clearance</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S-33</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580" w:type="dxa"/>
            <w:vAlign w:val="bottom"/>
            <w:tcBorders>
              <w:bottom w:val="single" w:sz="8" w:color="0000EE"/>
            </w:tcBorders>
            <w:gridSpan w:val="21"/>
          </w:tcPr>
          <w:p>
            <w:pPr>
              <w:spacing w:after="0" w:line="196" w:lineRule="exact"/>
              <w:rPr>
                <w:sz w:val="20"/>
                <w:szCs w:val="20"/>
                <w:color w:val="auto"/>
              </w:rPr>
            </w:pPr>
            <w:r>
              <w:rPr>
                <w:rFonts w:ascii="Arial" w:cs="Arial" w:eastAsia="Arial" w:hAnsi="Arial"/>
                <w:sz w:val="18"/>
                <w:szCs w:val="18"/>
                <w:color w:val="0000EE"/>
                <w:w w:val="90"/>
              </w:rPr>
              <w:t>Material U.S. Federal Income Tax Considerations</w:t>
            </w:r>
          </w:p>
        </w:tc>
        <w:tc>
          <w:tcPr>
            <w:tcW w:w="540" w:type="dxa"/>
            <w:vAlign w:val="bottom"/>
            <w:gridSpan w:val="2"/>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S-36</w:t>
            </w:r>
          </w:p>
        </w:tc>
        <w:tc>
          <w:tcPr>
            <w:tcW w:w="0" w:type="dxa"/>
            <w:vAlign w:val="bottom"/>
          </w:tcPr>
          <w:p>
            <w:pPr>
              <w:spacing w:after="0"/>
              <w:rPr>
                <w:sz w:val="1"/>
                <w:szCs w:val="1"/>
                <w:color w:val="auto"/>
              </w:rPr>
            </w:pPr>
          </w:p>
        </w:tc>
      </w:tr>
      <w:tr>
        <w:trPr>
          <w:trHeight w:val="196"/>
        </w:trPr>
        <w:tc>
          <w:tcPr>
            <w:tcW w:w="2500" w:type="dxa"/>
            <w:vAlign w:val="bottom"/>
            <w:tcBorders>
              <w:bottom w:val="single" w:sz="8" w:color="0000EE"/>
            </w:tcBorders>
            <w:gridSpan w:val="14"/>
          </w:tcPr>
          <w:p>
            <w:pPr>
              <w:spacing w:after="0" w:line="196" w:lineRule="exact"/>
              <w:rPr>
                <w:sz w:val="20"/>
                <w:szCs w:val="20"/>
                <w:color w:val="auto"/>
              </w:rPr>
            </w:pPr>
            <w:r>
              <w:rPr>
                <w:rFonts w:ascii="Arial" w:cs="Arial" w:eastAsia="Arial" w:hAnsi="Arial"/>
                <w:sz w:val="18"/>
                <w:szCs w:val="18"/>
                <w:color w:val="0000EE"/>
                <w:w w:val="93"/>
              </w:rPr>
              <w:t>Underwriting; Conflicts of Interest</w:t>
            </w:r>
          </w:p>
        </w:tc>
        <w:tc>
          <w:tcPr>
            <w:tcW w:w="1620" w:type="dxa"/>
            <w:vAlign w:val="bottom"/>
            <w:gridSpan w:val="9"/>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S-42</w:t>
            </w:r>
          </w:p>
        </w:tc>
        <w:tc>
          <w:tcPr>
            <w:tcW w:w="0" w:type="dxa"/>
            <w:vAlign w:val="bottom"/>
          </w:tcPr>
          <w:p>
            <w:pPr>
              <w:spacing w:after="0"/>
              <w:rPr>
                <w:sz w:val="1"/>
                <w:szCs w:val="1"/>
                <w:color w:val="auto"/>
              </w:rPr>
            </w:pPr>
          </w:p>
        </w:tc>
      </w:tr>
      <w:tr>
        <w:trPr>
          <w:trHeight w:val="196"/>
        </w:trPr>
        <w:tc>
          <w:tcPr>
            <w:tcW w:w="1020" w:type="dxa"/>
            <w:vAlign w:val="bottom"/>
            <w:tcBorders>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1"/>
              </w:rPr>
              <w:t>Legal Matters</w:t>
            </w:r>
          </w:p>
        </w:tc>
        <w:tc>
          <w:tcPr>
            <w:tcW w:w="3100" w:type="dxa"/>
            <w:vAlign w:val="bottom"/>
            <w:gridSpan w:val="18"/>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S-48</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Independent Registered Public Accounting Firm</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S-48</w:t>
            </w:r>
          </w:p>
        </w:tc>
        <w:tc>
          <w:tcPr>
            <w:tcW w:w="0" w:type="dxa"/>
            <w:vAlign w:val="bottom"/>
          </w:tcPr>
          <w:p>
            <w:pPr>
              <w:spacing w:after="0"/>
              <w:rPr>
                <w:sz w:val="1"/>
                <w:szCs w:val="1"/>
                <w:color w:val="auto"/>
              </w:rPr>
            </w:pPr>
          </w:p>
        </w:tc>
      </w:tr>
      <w:tr>
        <w:trPr>
          <w:trHeight w:val="438"/>
        </w:trPr>
        <w:tc>
          <w:tcPr>
            <w:tcW w:w="54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60" w:type="dxa"/>
            <w:vAlign w:val="bottom"/>
            <w:gridSpan w:val="3"/>
          </w:tcPr>
          <w:p>
            <w:pPr>
              <w:ind w:left="680"/>
              <w:spacing w:after="0"/>
              <w:rPr>
                <w:sz w:val="20"/>
                <w:szCs w:val="20"/>
                <w:color w:val="auto"/>
              </w:rPr>
            </w:pPr>
            <w:r>
              <w:rPr>
                <w:rFonts w:ascii="Arial" w:cs="Arial" w:eastAsia="Arial" w:hAnsi="Arial"/>
                <w:sz w:val="18"/>
                <w:szCs w:val="18"/>
                <w:b w:val="1"/>
                <w:bCs w:val="1"/>
                <w:color w:val="auto"/>
              </w:rPr>
              <w:t>Prospectus</w:t>
            </w:r>
          </w:p>
        </w:tc>
        <w:tc>
          <w:tcPr>
            <w:tcW w:w="0" w:type="dxa"/>
            <w:vAlign w:val="bottom"/>
          </w:tcPr>
          <w:p>
            <w:pPr>
              <w:spacing w:after="0"/>
              <w:rPr>
                <w:sz w:val="1"/>
                <w:szCs w:val="1"/>
                <w:color w:val="auto"/>
              </w:rPr>
            </w:pPr>
          </w:p>
        </w:tc>
      </w:tr>
      <w:tr>
        <w:trPr>
          <w:trHeight w:val="190"/>
        </w:trPr>
        <w:tc>
          <w:tcPr>
            <w:tcW w:w="1640" w:type="dxa"/>
            <w:vAlign w:val="bottom"/>
            <w:tcBorders>
              <w:bottom w:val="single" w:sz="8" w:color="0000EE"/>
            </w:tcBorders>
            <w:gridSpan w:val="10"/>
          </w:tcPr>
          <w:p>
            <w:pPr>
              <w:spacing w:after="0" w:line="190" w:lineRule="exact"/>
              <w:rPr>
                <w:sz w:val="20"/>
                <w:szCs w:val="20"/>
                <w:color w:val="auto"/>
              </w:rPr>
            </w:pPr>
            <w:r>
              <w:rPr>
                <w:rFonts w:ascii="Arial" w:cs="Arial" w:eastAsia="Arial" w:hAnsi="Arial"/>
                <w:sz w:val="18"/>
                <w:szCs w:val="18"/>
                <w:color w:val="0000EE"/>
                <w:w w:val="89"/>
              </w:rPr>
              <w:t>About This Prospectus</w:t>
            </w:r>
          </w:p>
        </w:tc>
        <w:tc>
          <w:tcPr>
            <w:tcW w:w="2480" w:type="dxa"/>
            <w:vAlign w:val="bottom"/>
            <w:gridSpan w:val="13"/>
          </w:tcPr>
          <w:p>
            <w:pPr>
              <w:spacing w:after="0"/>
              <w:rPr>
                <w:sz w:val="16"/>
                <w:szCs w:val="16"/>
                <w:color w:val="auto"/>
              </w:rPr>
            </w:pPr>
          </w:p>
        </w:tc>
        <w:tc>
          <w:tcPr>
            <w:tcW w:w="6440" w:type="dxa"/>
            <w:vAlign w:val="bottom"/>
          </w:tcPr>
          <w:p>
            <w:pPr>
              <w:spacing w:after="0"/>
              <w:rPr>
                <w:sz w:val="16"/>
                <w:szCs w:val="16"/>
                <w:color w:val="auto"/>
              </w:rPr>
            </w:pPr>
          </w:p>
        </w:tc>
        <w:tc>
          <w:tcPr>
            <w:tcW w:w="420" w:type="dxa"/>
            <w:vAlign w:val="bottom"/>
            <w:gridSpan w:val="2"/>
          </w:tcPr>
          <w:p>
            <w:pPr>
              <w:jc w:val="right"/>
              <w:ind w:right="20"/>
              <w:spacing w:after="0" w:line="190" w:lineRule="exact"/>
              <w:rPr>
                <w:sz w:val="20"/>
                <w:szCs w:val="20"/>
                <w:color w:val="auto"/>
              </w:rPr>
            </w:pPr>
            <w:r>
              <w:rPr>
                <w:rFonts w:ascii="Arial" w:cs="Arial" w:eastAsia="Arial" w:hAnsi="Arial"/>
                <w:sz w:val="18"/>
                <w:szCs w:val="18"/>
                <w:color w:val="auto"/>
              </w:rPr>
              <w:t>ii</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Where You Can Find More Information</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ii</w:t>
            </w:r>
          </w:p>
        </w:tc>
        <w:tc>
          <w:tcPr>
            <w:tcW w:w="0" w:type="dxa"/>
            <w:vAlign w:val="bottom"/>
          </w:tcPr>
          <w:p>
            <w:pPr>
              <w:spacing w:after="0"/>
              <w:rPr>
                <w:sz w:val="1"/>
                <w:szCs w:val="1"/>
                <w:color w:val="auto"/>
              </w:rPr>
            </w:pPr>
          </w:p>
        </w:tc>
      </w:tr>
      <w:tr>
        <w:trPr>
          <w:trHeight w:val="196"/>
        </w:trPr>
        <w:tc>
          <w:tcPr>
            <w:tcW w:w="2800" w:type="dxa"/>
            <w:vAlign w:val="bottom"/>
            <w:tcBorders>
              <w:top w:val="single" w:sz="8" w:color="0000EE"/>
              <w:bottom w:val="single" w:sz="8" w:color="0000EE"/>
            </w:tcBorders>
            <w:gridSpan w:val="16"/>
          </w:tcPr>
          <w:p>
            <w:pPr>
              <w:spacing w:after="0" w:line="196" w:lineRule="exact"/>
              <w:rPr>
                <w:sz w:val="20"/>
                <w:szCs w:val="20"/>
                <w:color w:val="auto"/>
              </w:rPr>
            </w:pPr>
            <w:r>
              <w:rPr>
                <w:rFonts w:ascii="Arial" w:cs="Arial" w:eastAsia="Arial" w:hAnsi="Arial"/>
                <w:sz w:val="18"/>
                <w:szCs w:val="18"/>
                <w:color w:val="0000EE"/>
                <w:w w:val="89"/>
              </w:rPr>
              <w:t>Documents Incorporated by Reference</w:t>
            </w:r>
          </w:p>
        </w:tc>
        <w:tc>
          <w:tcPr>
            <w:tcW w:w="60" w:type="dxa"/>
            <w:vAlign w:val="bottom"/>
            <w:tcBorders>
              <w:top w:val="single" w:sz="8" w:color="0000EE"/>
            </w:tcBorders>
          </w:tcPr>
          <w:p>
            <w:pPr>
              <w:spacing w:after="0"/>
              <w:rPr>
                <w:sz w:val="17"/>
                <w:szCs w:val="17"/>
                <w:color w:val="auto"/>
              </w:rPr>
            </w:pPr>
          </w:p>
        </w:tc>
        <w:tc>
          <w:tcPr>
            <w:tcW w:w="1260" w:type="dxa"/>
            <w:vAlign w:val="bottom"/>
            <w:gridSpan w:val="6"/>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iii</w:t>
            </w:r>
          </w:p>
        </w:tc>
        <w:tc>
          <w:tcPr>
            <w:tcW w:w="0" w:type="dxa"/>
            <w:vAlign w:val="bottom"/>
          </w:tcPr>
          <w:p>
            <w:pPr>
              <w:spacing w:after="0"/>
              <w:rPr>
                <w:sz w:val="1"/>
                <w:szCs w:val="1"/>
                <w:color w:val="auto"/>
              </w:rPr>
            </w:pPr>
          </w:p>
        </w:tc>
      </w:tr>
      <w:tr>
        <w:trPr>
          <w:trHeight w:val="196"/>
        </w:trPr>
        <w:tc>
          <w:tcPr>
            <w:tcW w:w="3720" w:type="dxa"/>
            <w:vAlign w:val="bottom"/>
            <w:tcBorders>
              <w:bottom w:val="single" w:sz="8" w:color="0000EE"/>
            </w:tcBorders>
            <w:gridSpan w:val="22"/>
          </w:tcPr>
          <w:p>
            <w:pPr>
              <w:spacing w:after="0" w:line="196" w:lineRule="exact"/>
              <w:rPr>
                <w:sz w:val="20"/>
                <w:szCs w:val="20"/>
                <w:color w:val="auto"/>
              </w:rPr>
            </w:pPr>
            <w:r>
              <w:rPr>
                <w:rFonts w:ascii="Arial" w:cs="Arial" w:eastAsia="Arial" w:hAnsi="Arial"/>
                <w:sz w:val="18"/>
                <w:szCs w:val="18"/>
                <w:color w:val="0000EE"/>
                <w:w w:val="90"/>
              </w:rPr>
              <w:t>Disclosure Regarding Forward-Looking Statements</w:t>
            </w:r>
          </w:p>
        </w:tc>
        <w:tc>
          <w:tcPr>
            <w:tcW w:w="400" w:type="dxa"/>
            <w:vAlign w:val="bottom"/>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iv</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Our Company</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9"/>
              </w:rPr>
              <w:t>Risk Factors</w:t>
            </w:r>
          </w:p>
        </w:tc>
        <w:tc>
          <w:tcPr>
            <w:tcW w:w="3100" w:type="dxa"/>
            <w:vAlign w:val="bottom"/>
            <w:gridSpan w:val="18"/>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1240" w:type="dxa"/>
            <w:vAlign w:val="bottom"/>
            <w:gridSpan w:val="5"/>
          </w:tcPr>
          <w:p>
            <w:pPr>
              <w:spacing w:after="0" w:line="20" w:lineRule="exact"/>
              <w:rPr>
                <w:sz w:val="1"/>
                <w:szCs w:val="1"/>
                <w:color w:val="auto"/>
              </w:rPr>
            </w:pPr>
          </w:p>
        </w:tc>
        <w:tc>
          <w:tcPr>
            <w:tcW w:w="68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Use of Proceeds</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1240" w:type="dxa"/>
            <w:vAlign w:val="bottom"/>
            <w:gridSpan w:val="5"/>
          </w:tcPr>
          <w:p>
            <w:pPr>
              <w:spacing w:after="0" w:line="20" w:lineRule="exact"/>
              <w:rPr>
                <w:sz w:val="1"/>
                <w:szCs w:val="1"/>
                <w:color w:val="auto"/>
              </w:rPr>
            </w:pPr>
          </w:p>
        </w:tc>
        <w:tc>
          <w:tcPr>
            <w:tcW w:w="68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880" w:type="dxa"/>
            <w:vAlign w:val="bottom"/>
            <w:tcBorders>
              <w:bottom w:val="single" w:sz="8" w:color="0000EE"/>
            </w:tcBorders>
            <w:gridSpan w:val="18"/>
          </w:tcPr>
          <w:p>
            <w:pPr>
              <w:spacing w:after="0" w:line="196" w:lineRule="exact"/>
              <w:rPr>
                <w:sz w:val="20"/>
                <w:szCs w:val="20"/>
                <w:color w:val="auto"/>
              </w:rPr>
            </w:pPr>
            <w:r>
              <w:rPr>
                <w:rFonts w:ascii="Arial" w:cs="Arial" w:eastAsia="Arial" w:hAnsi="Arial"/>
                <w:sz w:val="18"/>
                <w:szCs w:val="18"/>
                <w:color w:val="0000EE"/>
                <w:w w:val="92"/>
              </w:rPr>
              <w:t>Description of Securities We May Offer</w:t>
            </w:r>
          </w:p>
        </w:tc>
        <w:tc>
          <w:tcPr>
            <w:tcW w:w="1240" w:type="dxa"/>
            <w:vAlign w:val="bottom"/>
            <w:gridSpan w:val="5"/>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2180" w:type="dxa"/>
            <w:vAlign w:val="bottom"/>
            <w:tcBorders>
              <w:bottom w:val="single" w:sz="8" w:color="0000EE"/>
            </w:tcBorders>
            <w:gridSpan w:val="13"/>
          </w:tcPr>
          <w:p>
            <w:pPr>
              <w:spacing w:after="0" w:line="196" w:lineRule="exact"/>
              <w:rPr>
                <w:sz w:val="20"/>
                <w:szCs w:val="20"/>
                <w:color w:val="auto"/>
              </w:rPr>
            </w:pPr>
            <w:r>
              <w:rPr>
                <w:rFonts w:ascii="Arial" w:cs="Arial" w:eastAsia="Arial" w:hAnsi="Arial"/>
                <w:sz w:val="18"/>
                <w:szCs w:val="18"/>
                <w:color w:val="0000EE"/>
                <w:w w:val="91"/>
              </w:rPr>
              <w:t>Description of Debt Securities</w:t>
            </w:r>
          </w:p>
        </w:tc>
        <w:tc>
          <w:tcPr>
            <w:tcW w:w="1940" w:type="dxa"/>
            <w:vAlign w:val="bottom"/>
            <w:gridSpan w:val="10"/>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Description of Capital Stock</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196"/>
        </w:trPr>
        <w:tc>
          <w:tcPr>
            <w:tcW w:w="2040" w:type="dxa"/>
            <w:vAlign w:val="bottom"/>
            <w:tcBorders>
              <w:top w:val="single" w:sz="8" w:color="0000EE"/>
            </w:tcBorders>
            <w:gridSpan w:val="12"/>
          </w:tcPr>
          <w:p>
            <w:pPr>
              <w:spacing w:after="0" w:line="196" w:lineRule="exact"/>
              <w:rPr>
                <w:sz w:val="20"/>
                <w:szCs w:val="20"/>
                <w:color w:val="auto"/>
              </w:rPr>
            </w:pPr>
            <w:r>
              <w:rPr>
                <w:rFonts w:ascii="Arial" w:cs="Arial" w:eastAsia="Arial" w:hAnsi="Arial"/>
                <w:sz w:val="18"/>
                <w:szCs w:val="18"/>
                <w:color w:val="0000EE"/>
              </w:rPr>
              <w:t>Description of Warrants</w:t>
            </w:r>
          </w:p>
        </w:tc>
        <w:tc>
          <w:tcPr>
            <w:tcW w:w="2080" w:type="dxa"/>
            <w:vAlign w:val="bottom"/>
            <w:gridSpan w:val="11"/>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1720" w:type="dxa"/>
            <w:vAlign w:val="bottom"/>
            <w:tcBorders>
              <w:top w:val="single" w:sz="8" w:color="0000EE"/>
            </w:tcBorders>
            <w:gridSpan w:val="11"/>
          </w:tcPr>
          <w:p>
            <w:pPr>
              <w:spacing w:after="0" w:line="196" w:lineRule="exact"/>
              <w:rPr>
                <w:sz w:val="20"/>
                <w:szCs w:val="20"/>
                <w:color w:val="auto"/>
              </w:rPr>
            </w:pPr>
            <w:r>
              <w:rPr>
                <w:rFonts w:ascii="Arial" w:cs="Arial" w:eastAsia="Arial" w:hAnsi="Arial"/>
                <w:sz w:val="18"/>
                <w:szCs w:val="18"/>
                <w:color w:val="0000EE"/>
              </w:rPr>
              <w:t>Description of Units</w:t>
            </w:r>
          </w:p>
        </w:tc>
        <w:tc>
          <w:tcPr>
            <w:tcW w:w="2400" w:type="dxa"/>
            <w:vAlign w:val="bottom"/>
            <w:gridSpan w:val="12"/>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1460" w:type="dxa"/>
            <w:vAlign w:val="bottom"/>
            <w:tcBorders>
              <w:top w:val="single" w:sz="8" w:color="0000EE"/>
            </w:tcBorders>
            <w:gridSpan w:val="8"/>
          </w:tcPr>
          <w:p>
            <w:pPr>
              <w:spacing w:after="0" w:line="196" w:lineRule="exact"/>
              <w:rPr>
                <w:sz w:val="20"/>
                <w:szCs w:val="20"/>
                <w:color w:val="auto"/>
              </w:rPr>
            </w:pPr>
            <w:r>
              <w:rPr>
                <w:rFonts w:ascii="Arial" w:cs="Arial" w:eastAsia="Arial" w:hAnsi="Arial"/>
                <w:sz w:val="18"/>
                <w:szCs w:val="18"/>
                <w:color w:val="0000EE"/>
                <w:w w:val="95"/>
              </w:rPr>
              <w:t>Plan of Distribution</w:t>
            </w:r>
          </w:p>
        </w:tc>
        <w:tc>
          <w:tcPr>
            <w:tcW w:w="2660" w:type="dxa"/>
            <w:vAlign w:val="bottom"/>
            <w:gridSpan w:val="15"/>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196"/>
        </w:trPr>
        <w:tc>
          <w:tcPr>
            <w:tcW w:w="1420" w:type="dxa"/>
            <w:vAlign w:val="bottom"/>
            <w:tcBorders>
              <w:top w:val="single" w:sz="8" w:color="0000EE"/>
            </w:tcBorders>
            <w:gridSpan w:val="7"/>
          </w:tcPr>
          <w:p>
            <w:pPr>
              <w:spacing w:after="0" w:line="196" w:lineRule="exact"/>
              <w:rPr>
                <w:sz w:val="20"/>
                <w:szCs w:val="20"/>
                <w:color w:val="auto"/>
              </w:rPr>
            </w:pPr>
            <w:r>
              <w:rPr>
                <w:rFonts w:ascii="Arial" w:cs="Arial" w:eastAsia="Arial" w:hAnsi="Arial"/>
                <w:sz w:val="18"/>
                <w:szCs w:val="18"/>
                <w:color w:val="0000EE"/>
              </w:rPr>
              <w:t>Legal Matters</w:t>
            </w:r>
          </w:p>
        </w:tc>
        <w:tc>
          <w:tcPr>
            <w:tcW w:w="2700" w:type="dxa"/>
            <w:vAlign w:val="bottom"/>
            <w:gridSpan w:val="16"/>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1000" w:type="dxa"/>
            <w:vAlign w:val="bottom"/>
            <w:tcBorders>
              <w:top w:val="single" w:sz="8" w:color="0000EE"/>
            </w:tcBorders>
            <w:gridSpan w:val="4"/>
          </w:tcPr>
          <w:p>
            <w:pPr>
              <w:spacing w:after="0" w:line="196" w:lineRule="exact"/>
              <w:rPr>
                <w:sz w:val="20"/>
                <w:szCs w:val="20"/>
                <w:color w:val="auto"/>
              </w:rPr>
            </w:pPr>
            <w:r>
              <w:rPr>
                <w:rFonts w:ascii="Arial" w:cs="Arial" w:eastAsia="Arial" w:hAnsi="Arial"/>
                <w:sz w:val="18"/>
                <w:szCs w:val="18"/>
                <w:color w:val="0000EE"/>
              </w:rPr>
              <w:t>Experts</w:t>
            </w:r>
          </w:p>
        </w:tc>
        <w:tc>
          <w:tcPr>
            <w:tcW w:w="3120" w:type="dxa"/>
            <w:vAlign w:val="bottom"/>
            <w:gridSpan w:val="19"/>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S-i</w:t>
      </w:r>
    </w:p>
    <w:p>
      <w:pPr>
        <w:sectPr>
          <w:pgSz w:w="11900" w:h="16838" w:orient="portrait"/>
          <w:cols w:equalWidth="0" w:num="1">
            <w:col w:w="11080"/>
          </w:cols>
          <w:pgMar w:left="320" w:top="459" w:right="49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INFORMATION ABOUT THIS PROSPECTUS SUPPLEMENT</w:t>
      </w:r>
    </w:p>
    <w:p>
      <w:pPr>
        <w:spacing w:after="0" w:line="229"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This prospectus supplement is part of a registration statement filed on Form S-3 (the “Registration Statement”) with the Securities and Exchange Commission (the “SEC”) under the Securities Act of 1933, as amended (the “Securities Act”), utilizing a “shelf” registration process. By using a shelf registration statement, we may sell, at any time and from time to time, in one or more offerings, the securities described in this prospectus supplement and the accompanying prospectus in an amount of up to $1,232,259,000 in the aggregate. As allowed by the SEC rules, this prospectus supplement does not contain all of the information included in the registration statement. For further information, we refer you to the Registration Statement, including its exhibits and schedules. Statements contained in this prospectus supplement and the accompanying prospectus about the provisions or contents of any agreement or other document are not necessarily complete. If the SEC’s rules and regulations require that an agreement or document be filed as an exhibit to the Registration Statement, please see that agreement or document for a complete description of these matters.</w:t>
      </w:r>
    </w:p>
    <w:p>
      <w:pPr>
        <w:spacing w:after="0" w:line="165"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You should read this prospectus supplement, the accompanying prospectus and any free writing prospectus relating to this offering, together with any additional information you may need to make your investment decision. You should also read and carefully consider the information in the documents we have referred you to in “Where You Can Find More Information” and “Documents Incorporated by Reference” below.</w:t>
      </w:r>
    </w:p>
    <w:p>
      <w:pPr>
        <w:spacing w:after="0" w:line="145" w:lineRule="exact"/>
        <w:rPr>
          <w:sz w:val="20"/>
          <w:szCs w:val="20"/>
          <w:color w:val="auto"/>
        </w:rPr>
      </w:pPr>
    </w:p>
    <w:p>
      <w:pPr>
        <w:ind w:left="120" w:firstLine="440"/>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supplement, the accompanying prospectus and any free writing prospectus relating to this offering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You should not assume the information in this prospectus supplement, the accompanying prospectus, any free writing prospectus or any document incorporated by reference in this prospectus supplement or the accompanying prospectus is accurate as of any date other than the date on the front of those documents. Our business, financial condition, results of operations and prospects may have changed since that date.</w:t>
      </w:r>
    </w:p>
    <w:p>
      <w:pPr>
        <w:spacing w:after="0" w:line="165"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In this prospectus supplement, unless otherwise stated or the context otherwise requires, the terms the “Company,” “we,” “our,” “us,” or similar terms refer to Marvell Technology, Inc. and its consolidated subsidiaries.</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obtain copies of any document we file with the SEC on the SEC website located at www.sec.gov.</w:t>
      </w:r>
    </w:p>
    <w:p>
      <w:pPr>
        <w:spacing w:after="0" w:line="170" w:lineRule="exact"/>
        <w:rPr>
          <w:sz w:val="20"/>
          <w:szCs w:val="20"/>
          <w:color w:val="auto"/>
        </w:rPr>
      </w:pPr>
    </w:p>
    <w:p>
      <w:pPr>
        <w:ind w:left="120" w:right="260" w:firstLine="440"/>
        <w:spacing w:after="0" w:line="254" w:lineRule="auto"/>
        <w:rPr>
          <w:sz w:val="20"/>
          <w:szCs w:val="20"/>
          <w:color w:val="auto"/>
        </w:rPr>
      </w:pPr>
      <w:r>
        <w:rPr>
          <w:rFonts w:ascii="Arial" w:cs="Arial" w:eastAsia="Arial" w:hAnsi="Arial"/>
          <w:sz w:val="18"/>
          <w:szCs w:val="18"/>
          <w:color w:val="auto"/>
        </w:rPr>
        <w:t>This prospectus supplement does not contain all of the information set forth in the Registration Statement and the exhibits and schedules to the Registration Statement. For further information concerning us and our securities, you should read the entire Registration Statement, of which this prospectus supplement forms a part, and the additional documents listed under “Documents Incorporated by Reference” below. The Registration Statement has been filed electronically and may be obtained through the SEC’s website listed above. Any statements contained in this prospectus supplement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or accessible through, our website or the website of the SEC is not a part of this prospectus supplement.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S-ii</w:t>
      </w:r>
    </w:p>
    <w:p>
      <w:pPr>
        <w:sectPr>
          <w:pgSz w:w="11900" w:h="16838" w:orient="portrait"/>
          <w:cols w:equalWidth="0" w:num="1">
            <w:col w:w="11100"/>
          </w:cols>
          <w:pgMar w:left="320" w:top="459" w:right="47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The SEC’s rules allow us to incorporate by reference information into this prospectus supplement. This means that we can disclose important information to you by referring you to another document that we have filed with the SEC. Any information referred to in this way is considered part of this prospectus supplement from the date we file that document. Any reports filed by us with the SEC after the date of this prospectus supplement and before the date that the offering of the securities by means of this prospectus supplement is terminated will automatically update and, where applicable, supersede any information contained or incorporated by reference in this prospectus supplement. Any such statement so modified or superseded shall not be deemed, except as so modified or superseded, to constitute part of this prospectus supplement</w:t>
      </w:r>
    </w:p>
    <w:p>
      <w:pPr>
        <w:spacing w:after="0" w:line="164"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We specifically incorporate by reference into this prospectus supplement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424"/>
        <w:spacing w:after="0" w:line="342"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 xml:space="preserve">our Annual Report on </w:t>
      </w:r>
      <w:hyperlink r:id="rId14">
        <w:r>
          <w:rPr>
            <w:rFonts w:ascii="Arial" w:cs="Arial" w:eastAsia="Arial" w:hAnsi="Arial"/>
            <w:sz w:val="16"/>
            <w:szCs w:val="16"/>
            <w:u w:val="single" w:color="auto"/>
            <w:color w:val="0000EE"/>
          </w:rPr>
          <w:t>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for the fiscal year ended January 28, 2023, as filed with the SEC on March 9, 2023 (including information specifically incorporated by reference therein from our definitive proxy statement on </w:t>
      </w:r>
      <w:hyperlink r:id="rId15">
        <w:r>
          <w:rPr>
            <w:rFonts w:ascii="Arial" w:cs="Arial" w:eastAsia="Arial" w:hAnsi="Arial"/>
            <w:sz w:val="16"/>
            <w:szCs w:val="16"/>
            <w:u w:val="single" w:color="auto"/>
            <w:color w:val="0000EE"/>
          </w:rPr>
          <w:t>Schedule 14A</w:t>
        </w:r>
      </w:hyperlink>
      <w:r>
        <w:rPr>
          <w:rFonts w:ascii="Arial" w:cs="Arial" w:eastAsia="Arial" w:hAnsi="Arial"/>
          <w:sz w:val="16"/>
          <w:szCs w:val="16"/>
          <w:color w:val="auto"/>
        </w:rPr>
        <w:t>, as filed on May 3, 2023);</w:t>
      </w:r>
    </w:p>
    <w:p>
      <w:pPr>
        <w:spacing w:after="0" w:line="29" w:lineRule="exact"/>
        <w:rPr>
          <w:rFonts w:ascii="Arial" w:cs="Arial" w:eastAsia="Arial" w:hAnsi="Arial"/>
          <w:sz w:val="16"/>
          <w:szCs w:val="16"/>
          <w:color w:val="auto"/>
        </w:rPr>
      </w:pPr>
    </w:p>
    <w:p>
      <w:pPr>
        <w:ind w:left="108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our Quarterly Reports on Form 10-Q for the period ended April 29, 2023, as filed with the SEC on </w:t>
      </w:r>
      <w:hyperlink r:id="rId16">
        <w:r>
          <w:rPr>
            <w:rFonts w:ascii="Arial" w:cs="Arial" w:eastAsia="Arial" w:hAnsi="Arial"/>
            <w:sz w:val="18"/>
            <w:szCs w:val="18"/>
            <w:u w:val="single" w:color="auto"/>
            <w:color w:val="0000EE"/>
          </w:rPr>
          <w:t>May 26, 2023</w:t>
        </w:r>
      </w:hyperlink>
      <w:r>
        <w:rPr>
          <w:rFonts w:ascii="Arial" w:cs="Arial" w:eastAsia="Arial" w:hAnsi="Arial"/>
          <w:sz w:val="18"/>
          <w:szCs w:val="18"/>
          <w:color w:val="auto"/>
        </w:rPr>
        <w:t xml:space="preserve">, and for the period ended July 29, 2023, as filed with the SEC on </w:t>
      </w:r>
      <w:hyperlink r:id="rId17">
        <w:r>
          <w:rPr>
            <w:rFonts w:ascii="Arial" w:cs="Arial" w:eastAsia="Arial" w:hAnsi="Arial"/>
            <w:sz w:val="18"/>
            <w:szCs w:val="18"/>
            <w:u w:val="single" w:color="auto"/>
            <w:color w:val="0000EE"/>
          </w:rPr>
          <w:t>August 25, 2023</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our Current Reports on Form 8-K filed with the SEC on </w:t>
      </w:r>
      <w:hyperlink r:id="rId18">
        <w:r>
          <w:rPr>
            <w:rFonts w:ascii="Arial" w:cs="Arial" w:eastAsia="Arial" w:hAnsi="Arial"/>
            <w:sz w:val="18"/>
            <w:szCs w:val="18"/>
            <w:u w:val="single" w:color="auto"/>
            <w:color w:val="0000EE"/>
          </w:rPr>
          <w:t>March 15, 2023</w:t>
        </w:r>
      </w:hyperlink>
      <w:r>
        <w:rPr>
          <w:rFonts w:ascii="Arial" w:cs="Arial" w:eastAsia="Arial" w:hAnsi="Arial"/>
          <w:sz w:val="18"/>
          <w:szCs w:val="18"/>
          <w:color w:val="auto"/>
        </w:rPr>
        <w:t xml:space="preserve">, </w:t>
      </w:r>
      <w:hyperlink r:id="rId19">
        <w:r>
          <w:rPr>
            <w:rFonts w:ascii="Arial" w:cs="Arial" w:eastAsia="Arial" w:hAnsi="Arial"/>
            <w:sz w:val="18"/>
            <w:szCs w:val="18"/>
            <w:u w:val="single" w:color="auto"/>
            <w:color w:val="0000EE"/>
          </w:rPr>
          <w:t>April 17, 2023</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20">
        <w:r>
          <w:rPr>
            <w:rFonts w:ascii="Arial" w:cs="Arial" w:eastAsia="Arial" w:hAnsi="Arial"/>
            <w:sz w:val="18"/>
            <w:szCs w:val="18"/>
            <w:u w:val="single" w:color="auto"/>
            <w:color w:val="0000EE"/>
          </w:rPr>
          <w:t>June 16, 2023</w:t>
        </w:r>
      </w:hyperlink>
      <w:r>
        <w:rPr>
          <w:rFonts w:ascii="Arial" w:cs="Arial" w:eastAsia="Arial" w:hAnsi="Arial"/>
          <w:sz w:val="18"/>
          <w:szCs w:val="18"/>
          <w:color w:val="auto"/>
        </w:rPr>
        <w:t>; and</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any future filings we make with the SEC under Sections 13(a), 13(c), 14 or 15(d) of the Securities Exchange Act of 1934, as amended (the “Exchange Act”), after the date of this prospectus supplement and before the termination of this offering.</w:t>
      </w:r>
    </w:p>
    <w:p>
      <w:pPr>
        <w:spacing w:after="0" w:line="170" w:lineRule="exact"/>
        <w:rPr>
          <w:rFonts w:ascii="Arial" w:cs="Arial" w:eastAsia="Arial" w:hAnsi="Arial"/>
          <w:sz w:val="18"/>
          <w:szCs w:val="18"/>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or information accessible through, the website into this prospectus supplement or the accompanying prospectus, other than in accordance with the prior sentence. You may also request a copy of these filings, at no cost, by writing to or telephoning us at the following address:</w:t>
      </w:r>
    </w:p>
    <w:p>
      <w:pPr>
        <w:spacing w:after="0" w:line="7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auto"/>
        </w:rPr>
      </w:pPr>
    </w:p>
    <w:p>
      <w:pPr>
        <w:jc w:val="right"/>
        <w:ind w:left="560" w:right="9340" w:hanging="4"/>
        <w:spacing w:after="0" w:line="323" w:lineRule="auto"/>
        <w:tabs>
          <w:tab w:leader="none" w:pos="995" w:val="left"/>
        </w:tabs>
        <w:numPr>
          <w:ilvl w:val="0"/>
          <w:numId w:val="3"/>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S-iii</w:t>
      </w:r>
    </w:p>
    <w:p>
      <w:pPr>
        <w:sectPr>
          <w:pgSz w:w="11900" w:h="16838" w:orient="portrait"/>
          <w:cols w:equalWidth="0" w:num="1">
            <w:col w:w="11080"/>
          </w:cols>
          <w:pgMar w:left="320" w:top="459" w:right="49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This prospectus supplement, the accompanying prospectus and the documents incorporated by reference herein and therein contain certain “forward-looking statements” within the meaning of Section 27A of the Securities Act and Section 21E of the Exchange Act, are subject to the “safe harbor” created by those sections. These statements may contain words such as “anticipates,” “expects,” “intends,” “plans,” “projects,” “believes,” “seeks,” “estimates,” “forecasts,” “targets,” “may,” “can,” “will,” “would” or similar expressions. These statements involve known and unknown risks, uncertainties and other factors that may cause our actual results to differ materially from those implied by the forward-looking statements. Factors that could cause actual results to differ materially from those predicted include, but are not limited to:</w:t>
      </w:r>
    </w:p>
    <w:p>
      <w:pPr>
        <w:spacing w:after="0" w:line="83" w:lineRule="exact"/>
        <w:rPr>
          <w:sz w:val="20"/>
          <w:szCs w:val="20"/>
          <w:color w:val="auto"/>
        </w:rPr>
      </w:pPr>
    </w:p>
    <w:p>
      <w:pPr>
        <w:ind w:left="1080" w:right="20" w:hanging="424"/>
        <w:spacing w:after="0" w:line="25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93"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30" w:lineRule="exact"/>
        <w:rPr>
          <w:rFonts w:ascii="Arial" w:cs="Arial" w:eastAsia="Arial" w:hAnsi="Arial"/>
          <w:sz w:val="18"/>
          <w:szCs w:val="18"/>
          <w:color w:val="auto"/>
        </w:rPr>
      </w:pPr>
    </w:p>
    <w:p>
      <w:pPr>
        <w:ind w:left="1080" w:right="160" w:hanging="424"/>
        <w:spacing w:after="0" w:line="308" w:lineRule="auto"/>
        <w:tabs>
          <w:tab w:leader="none" w:pos="1080" w:val="left"/>
        </w:tabs>
        <w:numPr>
          <w:ilvl w:val="0"/>
          <w:numId w:val="4"/>
        </w:numPr>
        <w:rPr>
          <w:rFonts w:ascii="Arial" w:cs="Arial" w:eastAsia="Arial" w:hAnsi="Arial"/>
          <w:sz w:val="17"/>
          <w:szCs w:val="17"/>
          <w:color w:val="auto"/>
        </w:rPr>
      </w:pPr>
      <w:r>
        <w:rPr>
          <w:rFonts w:ascii="Arial" w:cs="Arial" w:eastAsia="Arial" w:hAnsi="Arial"/>
          <w:sz w:val="17"/>
          <w:szCs w:val="17"/>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51" w:lineRule="exact"/>
        <w:rPr>
          <w:rFonts w:ascii="Arial" w:cs="Arial" w:eastAsia="Arial" w:hAnsi="Arial"/>
          <w:sz w:val="17"/>
          <w:szCs w:val="17"/>
          <w:color w:val="auto"/>
        </w:rPr>
      </w:pPr>
    </w:p>
    <w:p>
      <w:pPr>
        <w:ind w:left="1080" w:right="4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design, develop and introduce new and enhanced products, in particular in the 5G and Cloud markets, as well as for Artificial Intelligence (AI) solutions, in a timely and effective manner, as well as our ability to anticipate and adapt to changes in technology;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75"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the highly competitive nature of the end markets we serve, particularly within the semiconductor and infrastructure industries;</w:t>
      </w:r>
    </w:p>
    <w:p>
      <w:pPr>
        <w:spacing w:after="0" w:line="75" w:lineRule="exact"/>
        <w:rPr>
          <w:rFonts w:ascii="Arial" w:cs="Arial" w:eastAsia="Arial" w:hAnsi="Arial"/>
          <w:sz w:val="18"/>
          <w:szCs w:val="18"/>
          <w:color w:val="auto"/>
        </w:rPr>
      </w:pPr>
    </w:p>
    <w:p>
      <w:pPr>
        <w:ind w:left="1080" w:right="46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89" w:lineRule="exact"/>
        <w:rPr>
          <w:rFonts w:ascii="Arial" w:cs="Arial" w:eastAsia="Arial" w:hAnsi="Arial"/>
          <w:sz w:val="18"/>
          <w:szCs w:val="18"/>
          <w:color w:val="auto"/>
        </w:rPr>
      </w:pPr>
    </w:p>
    <w:p>
      <w:pPr>
        <w:ind w:left="1080" w:right="70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S-iv</w:t>
      </w:r>
    </w:p>
    <w:p>
      <w:pPr>
        <w:sectPr>
          <w:pgSz w:w="11900" w:h="16838" w:orient="portrait"/>
          <w:cols w:equalWidth="0" w:num="1">
            <w:col w:w="11080"/>
          </w:cols>
          <w:pgMar w:left="320" w:top="459" w:right="49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right="120" w:hanging="424"/>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risks related to seasonality or volatility related to sales into the infrastructure, semiconductor and related industries and end markets;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risks related to failures to adequately maintain, enforce and protect our intellectual property, particularly outside the United States;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interruptions, failures or breaches of our information technology systems or other cybersecurity incidents;</w:t>
      </w:r>
    </w:p>
    <w:p>
      <w:pPr>
        <w:spacing w:after="0" w:line="130"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the potential impact of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70"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Additional factors which could cause actual results to differ materially from our expectations include those set forth in this prospectus supplement under the heading “Risk Factors,” as well as the risks discussed in the “Risk Factors” section of our most recent Annual Report on Form 10-K and our most recent Quarterly Report on Form 10-Q, each of which is incorporated herein by reference, and in other documents that are incorporated by reference in this prospectus supplement. These forward-looking statements speak only as of the date hereof. Unless required by law, we undertake no obligation to update any forward-looking statements.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S-v</w:t>
      </w:r>
    </w:p>
    <w:p>
      <w:pPr>
        <w:sectPr>
          <w:pgSz w:w="11900" w:h="16838" w:orient="portrait"/>
          <w:cols w:equalWidth="0" w:num="1">
            <w:col w:w="11140"/>
          </w:cols>
          <w:pgMar w:left="320" w:top="459" w:right="4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6645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extLst>
                    </a:blip>
                    <a:srcRect/>
                    <a:stretch>
                      <a:fillRect/>
                    </a:stretch>
                  </pic:blipFill>
                  <pic:spPr bwMode="auto">
                    <a:xfrm>
                      <a:off x="0" y="0"/>
                      <a:ext cx="6998970" cy="366458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right="60" w:firstLine="426"/>
        <w:spacing w:after="0" w:line="291" w:lineRule="auto"/>
        <w:rPr>
          <w:sz w:val="20"/>
          <w:szCs w:val="20"/>
          <w:color w:val="auto"/>
        </w:rPr>
      </w:pPr>
      <w:r>
        <w:rPr>
          <w:rFonts w:ascii="Arial" w:cs="Arial" w:eastAsia="Arial" w:hAnsi="Arial"/>
          <w:sz w:val="16"/>
          <w:szCs w:val="16"/>
          <w:i w:val="1"/>
          <w:iCs w:val="1"/>
          <w:color w:val="auto"/>
        </w:rPr>
        <w:t>This summary highlights certain information about this offering and our business appearing elsewhere in this prospectus supplement or the documents incorporated by reference herein and does not contain all of the information that you should consider before investing in the Notes. The following summary is qualified in its entirety by the more detailed information included elsewhere in, or incorporated by reference into, this prospectus supplement and the accompany prospectus, including our consolidated financial statements and notes thereto. For a more complete understanding of this offering and our business, you should read this entire prospectus supplement and all documents incorporated by reference herein, including the section entitled “Risk Factors” herein and in each of our Annual Report on Form 10-K for the year ended January 28, 2023 and Quarterly Reports on Form 10-Q for the periods ended April 29, 2023 and July 29, 2023, before deciding to invest in the Notes.</w:t>
      </w:r>
    </w:p>
    <w:p>
      <w:pPr>
        <w:spacing w:after="0" w:line="378"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left="300" w:right="120" w:firstLine="426"/>
        <w:spacing w:after="0" w:line="296" w:lineRule="auto"/>
        <w:rPr>
          <w:sz w:val="20"/>
          <w:szCs w:val="20"/>
          <w:color w:val="auto"/>
        </w:rPr>
      </w:pPr>
      <w:r>
        <w:rPr>
          <w:rFonts w:ascii="Arial" w:cs="Arial" w:eastAsia="Arial" w:hAnsi="Arial"/>
          <w:sz w:val="16"/>
          <w:szCs w:val="16"/>
          <w:color w:val="auto"/>
        </w:rPr>
        <w:t>Marvell Technology, Inc. is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161" w:lineRule="exact"/>
        <w:rPr>
          <w:sz w:val="20"/>
          <w:szCs w:val="20"/>
          <w:color w:val="auto"/>
        </w:rPr>
      </w:pPr>
    </w:p>
    <w:p>
      <w:pPr>
        <w:jc w:val="both"/>
        <w:ind w:left="300" w:right="420" w:firstLine="426"/>
        <w:spacing w:after="0" w:line="311" w:lineRule="auto"/>
        <w:rPr>
          <w:sz w:val="20"/>
          <w:szCs w:val="20"/>
          <w:color w:val="auto"/>
        </w:rPr>
      </w:pPr>
      <w:r>
        <w:rPr>
          <w:rFonts w:ascii="Arial" w:cs="Arial" w:eastAsia="Arial" w:hAnsi="Arial"/>
          <w:sz w:val="16"/>
          <w:szCs w:val="16"/>
          <w:color w:val="auto"/>
        </w:rPr>
        <w:t>We are incorporated in Delaware, United States. Our corporate headquarters is located at 1000 N. West Street, Suite 1200, Wilmington, Delaware 19801, and our telephone number is (302) 295-4840. We also have operations in many countries, including Argentina, China, India, Israel, Japan, Singapore, South Korea, Taiwan and Vietnam. Our fiscal year ends on the Saturday nearest January 31.</w:t>
      </w:r>
    </w:p>
    <w:p>
      <w:pPr>
        <w:spacing w:after="0" w:line="149"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We maintain a website at www.marvell.com. We are not incorporating the contents of, or information accessible through, the website into this prospectus supplement or the accompanying prospectus.</w:t>
      </w:r>
    </w:p>
    <w:p>
      <w:pPr>
        <w:spacing w:after="0" w:line="27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S-1</w:t>
      </w:r>
    </w:p>
    <w:p>
      <w:pPr>
        <w:sectPr>
          <w:pgSz w:w="11900" w:h="16838" w:orient="portrait"/>
          <w:cols w:equalWidth="0" w:num="1">
            <w:col w:w="10940"/>
          </w:cols>
          <w:pgMar w:left="320" w:top="459" w:right="6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991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extLst>
                    </a:blip>
                    <a:srcRect/>
                    <a:stretch>
                      <a:fillRect/>
                    </a:stretch>
                  </pic:blipFill>
                  <pic:spPr bwMode="auto">
                    <a:xfrm>
                      <a:off x="0" y="0"/>
                      <a:ext cx="6998970" cy="609917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The Offering</w:t>
      </w:r>
    </w:p>
    <w:p>
      <w:pPr>
        <w:spacing w:after="0" w:line="229"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i w:val="1"/>
          <w:iCs w:val="1"/>
          <w:color w:val="auto"/>
        </w:rPr>
        <w:t>The terms of the Notes are summarized below solely for your convenience. This summary is not a complete description of the Notes. Certain of the terms and conditions described below are subject to important limitations and exceptions. The sections entitled “Description of Notes” in this prospectus supplement and “Description of Debt Securities” in the accompanying prospectus contain more detailed descriptions of the terms and conditions of the Notes and the indenture governing the Notes. In this subsection, “we,” “us” and “our” refer only to Marvell Technology, Inc. and not to any of our subsidiaries.</w:t>
      </w:r>
    </w:p>
    <w:p>
      <w:pPr>
        <w:spacing w:after="0" w:line="215" w:lineRule="exact"/>
        <w:rPr>
          <w:sz w:val="20"/>
          <w:szCs w:val="20"/>
          <w:color w:val="auto"/>
        </w:rPr>
      </w:pPr>
    </w:p>
    <w:tbl>
      <w:tblPr>
        <w:tblLayout w:type="fixed"/>
        <w:tblInd w:w="300" w:type="dxa"/>
        <w:tblCellMar>
          <w:top w:w="0" w:type="dxa"/>
          <w:left w:w="0" w:type="dxa"/>
          <w:bottom w:w="0" w:type="dxa"/>
          <w:right w:w="0" w:type="dxa"/>
        </w:tblCellMar>
      </w:tblPr>
      <w:tr>
        <w:trPr>
          <w:trHeight w:val="230"/>
        </w:trPr>
        <w:tc>
          <w:tcPr>
            <w:tcW w:w="2740" w:type="dxa"/>
            <w:vAlign w:val="bottom"/>
          </w:tcPr>
          <w:p>
            <w:pPr>
              <w:spacing w:after="0"/>
              <w:rPr>
                <w:sz w:val="20"/>
                <w:szCs w:val="20"/>
                <w:color w:val="auto"/>
              </w:rPr>
            </w:pPr>
            <w:r>
              <w:rPr>
                <w:rFonts w:ascii="Arial" w:cs="Arial" w:eastAsia="Arial" w:hAnsi="Arial"/>
                <w:sz w:val="18"/>
                <w:szCs w:val="18"/>
                <w:color w:val="auto"/>
              </w:rPr>
              <w:t>Issuer</w:t>
            </w:r>
          </w:p>
        </w:tc>
        <w:tc>
          <w:tcPr>
            <w:tcW w:w="4660" w:type="dxa"/>
            <w:vAlign w:val="bottom"/>
            <w:gridSpan w:val="2"/>
          </w:tcPr>
          <w:p>
            <w:pPr>
              <w:ind w:left="1640"/>
              <w:spacing w:after="0"/>
              <w:rPr>
                <w:sz w:val="20"/>
                <w:szCs w:val="20"/>
                <w:color w:val="auto"/>
              </w:rPr>
            </w:pPr>
            <w:r>
              <w:rPr>
                <w:rFonts w:ascii="Arial" w:cs="Arial" w:eastAsia="Arial" w:hAnsi="Arial"/>
                <w:sz w:val="18"/>
                <w:szCs w:val="18"/>
                <w:color w:val="auto"/>
              </w:rPr>
              <w:t>Marvell Technology, Inc.</w:t>
            </w:r>
          </w:p>
        </w:tc>
        <w:tc>
          <w:tcPr>
            <w:tcW w:w="84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760" w:type="dxa"/>
            <w:vAlign w:val="bottom"/>
          </w:tcPr>
          <w:p>
            <w:pPr>
              <w:spacing w:after="0"/>
              <w:rPr>
                <w:sz w:val="20"/>
                <w:szCs w:val="20"/>
                <w:color w:val="auto"/>
              </w:rPr>
            </w:pPr>
          </w:p>
        </w:tc>
      </w:tr>
      <w:tr>
        <w:trPr>
          <w:trHeight w:val="310"/>
        </w:trPr>
        <w:tc>
          <w:tcPr>
            <w:tcW w:w="2740" w:type="dxa"/>
            <w:vAlign w:val="bottom"/>
          </w:tcPr>
          <w:p>
            <w:pPr>
              <w:spacing w:after="0"/>
              <w:rPr>
                <w:sz w:val="20"/>
                <w:szCs w:val="20"/>
                <w:color w:val="auto"/>
              </w:rPr>
            </w:pPr>
            <w:r>
              <w:rPr>
                <w:rFonts w:ascii="Arial" w:cs="Arial" w:eastAsia="Arial" w:hAnsi="Arial"/>
                <w:sz w:val="18"/>
                <w:szCs w:val="18"/>
                <w:color w:val="auto"/>
              </w:rPr>
              <w:t>Notes Offered</w:t>
            </w:r>
          </w:p>
        </w:tc>
        <w:tc>
          <w:tcPr>
            <w:tcW w:w="2160" w:type="dxa"/>
            <w:vAlign w:val="bottom"/>
          </w:tcPr>
          <w:p>
            <w:pPr>
              <w:ind w:left="1640"/>
              <w:spacing w:after="0"/>
              <w:rPr>
                <w:sz w:val="20"/>
                <w:szCs w:val="20"/>
                <w:color w:val="auto"/>
              </w:rPr>
            </w:pPr>
            <w:r>
              <w:rPr>
                <w:rFonts w:ascii="Arial" w:cs="Arial" w:eastAsia="Arial" w:hAnsi="Arial"/>
                <w:sz w:val="18"/>
                <w:szCs w:val="18"/>
                <w:color w:val="auto"/>
              </w:rPr>
              <w:t>$</w:t>
            </w:r>
          </w:p>
        </w:tc>
        <w:tc>
          <w:tcPr>
            <w:tcW w:w="2500" w:type="dxa"/>
            <w:vAlign w:val="bottom"/>
          </w:tcPr>
          <w:p>
            <w:pPr>
              <w:ind w:left="160"/>
              <w:spacing w:after="0"/>
              <w:rPr>
                <w:sz w:val="20"/>
                <w:szCs w:val="20"/>
                <w:color w:val="auto"/>
              </w:rPr>
            </w:pPr>
            <w:r>
              <w:rPr>
                <w:rFonts w:ascii="Arial" w:cs="Arial" w:eastAsia="Arial" w:hAnsi="Arial"/>
                <w:sz w:val="18"/>
                <w:szCs w:val="18"/>
                <w:color w:val="auto"/>
                <w:w w:val="97"/>
              </w:rPr>
              <w:t>aggregate principal amount of</w:t>
            </w:r>
          </w:p>
        </w:tc>
        <w:tc>
          <w:tcPr>
            <w:tcW w:w="2420" w:type="dxa"/>
            <w:vAlign w:val="bottom"/>
            <w:gridSpan w:val="2"/>
          </w:tcPr>
          <w:p>
            <w:pPr>
              <w:ind w:left="400"/>
              <w:spacing w:after="0"/>
              <w:rPr>
                <w:sz w:val="20"/>
                <w:szCs w:val="20"/>
                <w:color w:val="auto"/>
              </w:rPr>
            </w:pPr>
            <w:r>
              <w:rPr>
                <w:rFonts w:ascii="Arial" w:cs="Arial" w:eastAsia="Arial" w:hAnsi="Arial"/>
                <w:sz w:val="18"/>
                <w:szCs w:val="18"/>
                <w:color w:val="auto"/>
              </w:rPr>
              <w:t>% Senior Notes due 20</w:t>
            </w:r>
          </w:p>
        </w:tc>
        <w:tc>
          <w:tcPr>
            <w:tcW w:w="760" w:type="dxa"/>
            <w:vAlign w:val="bottom"/>
          </w:tcPr>
          <w:p>
            <w:pPr>
              <w:ind w:left="220"/>
              <w:spacing w:after="0"/>
              <w:rPr>
                <w:sz w:val="20"/>
                <w:szCs w:val="20"/>
                <w:color w:val="auto"/>
              </w:rPr>
            </w:pPr>
            <w:r>
              <w:rPr>
                <w:rFonts w:ascii="Arial" w:cs="Arial" w:eastAsia="Arial" w:hAnsi="Arial"/>
                <w:sz w:val="18"/>
                <w:szCs w:val="18"/>
                <w:color w:val="auto"/>
              </w:rPr>
              <w:t>(the</w:t>
            </w:r>
          </w:p>
        </w:tc>
      </w:tr>
      <w:tr>
        <w:trPr>
          <w:trHeight w:val="230"/>
        </w:trPr>
        <w:tc>
          <w:tcPr>
            <w:tcW w:w="2740" w:type="dxa"/>
            <w:vAlign w:val="bottom"/>
          </w:tcPr>
          <w:p>
            <w:pPr>
              <w:spacing w:after="0"/>
              <w:rPr>
                <w:sz w:val="20"/>
                <w:szCs w:val="20"/>
                <w:color w:val="auto"/>
              </w:rPr>
            </w:pPr>
          </w:p>
        </w:tc>
        <w:tc>
          <w:tcPr>
            <w:tcW w:w="2160" w:type="dxa"/>
            <w:vAlign w:val="bottom"/>
          </w:tcPr>
          <w:p>
            <w:pPr>
              <w:ind w:left="1640"/>
              <w:spacing w:after="0"/>
              <w:rPr>
                <w:sz w:val="20"/>
                <w:szCs w:val="20"/>
                <w:color w:val="auto"/>
              </w:rPr>
            </w:pPr>
            <w:r>
              <w:rPr>
                <w:rFonts w:ascii="Arial" w:cs="Arial" w:eastAsia="Arial" w:hAnsi="Arial"/>
                <w:sz w:val="18"/>
                <w:szCs w:val="18"/>
                <w:color w:val="auto"/>
              </w:rPr>
              <w:t>“20</w:t>
            </w:r>
          </w:p>
        </w:tc>
        <w:tc>
          <w:tcPr>
            <w:tcW w:w="2500" w:type="dxa"/>
            <w:vAlign w:val="bottom"/>
          </w:tcPr>
          <w:p>
            <w:pPr>
              <w:ind w:left="100"/>
              <w:spacing w:after="0"/>
              <w:rPr>
                <w:sz w:val="20"/>
                <w:szCs w:val="20"/>
                <w:color w:val="auto"/>
              </w:rPr>
            </w:pPr>
            <w:r>
              <w:rPr>
                <w:rFonts w:ascii="Arial" w:cs="Arial" w:eastAsia="Arial" w:hAnsi="Arial"/>
                <w:sz w:val="18"/>
                <w:szCs w:val="18"/>
                <w:color w:val="auto"/>
              </w:rPr>
              <w:t>Notes”).</w:t>
            </w:r>
          </w:p>
        </w:tc>
        <w:tc>
          <w:tcPr>
            <w:tcW w:w="84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760" w:type="dxa"/>
            <w:vAlign w:val="bottom"/>
          </w:tcPr>
          <w:p>
            <w:pPr>
              <w:spacing w:after="0"/>
              <w:rPr>
                <w:sz w:val="20"/>
                <w:szCs w:val="20"/>
                <w:color w:val="auto"/>
              </w:rPr>
            </w:pPr>
          </w:p>
        </w:tc>
      </w:tr>
      <w:tr>
        <w:trPr>
          <w:trHeight w:val="310"/>
        </w:trPr>
        <w:tc>
          <w:tcPr>
            <w:tcW w:w="2740" w:type="dxa"/>
            <w:vAlign w:val="bottom"/>
          </w:tcPr>
          <w:p>
            <w:pPr>
              <w:spacing w:after="0"/>
              <w:rPr>
                <w:sz w:val="24"/>
                <w:szCs w:val="24"/>
                <w:color w:val="auto"/>
              </w:rPr>
            </w:pPr>
          </w:p>
        </w:tc>
        <w:tc>
          <w:tcPr>
            <w:tcW w:w="2160" w:type="dxa"/>
            <w:vAlign w:val="bottom"/>
          </w:tcPr>
          <w:p>
            <w:pPr>
              <w:ind w:left="1640"/>
              <w:spacing w:after="0"/>
              <w:rPr>
                <w:sz w:val="20"/>
                <w:szCs w:val="20"/>
                <w:color w:val="auto"/>
              </w:rPr>
            </w:pPr>
            <w:r>
              <w:rPr>
                <w:rFonts w:ascii="Arial" w:cs="Arial" w:eastAsia="Arial" w:hAnsi="Arial"/>
                <w:sz w:val="18"/>
                <w:szCs w:val="18"/>
                <w:color w:val="auto"/>
              </w:rPr>
              <w:t>$</w:t>
            </w:r>
          </w:p>
        </w:tc>
        <w:tc>
          <w:tcPr>
            <w:tcW w:w="2500" w:type="dxa"/>
            <w:vAlign w:val="bottom"/>
          </w:tcPr>
          <w:p>
            <w:pPr>
              <w:ind w:left="160"/>
              <w:spacing w:after="0"/>
              <w:rPr>
                <w:sz w:val="20"/>
                <w:szCs w:val="20"/>
                <w:color w:val="auto"/>
              </w:rPr>
            </w:pPr>
            <w:r>
              <w:rPr>
                <w:rFonts w:ascii="Arial" w:cs="Arial" w:eastAsia="Arial" w:hAnsi="Arial"/>
                <w:sz w:val="18"/>
                <w:szCs w:val="18"/>
                <w:color w:val="auto"/>
                <w:w w:val="97"/>
              </w:rPr>
              <w:t>aggregate principal amount of</w:t>
            </w:r>
          </w:p>
        </w:tc>
        <w:tc>
          <w:tcPr>
            <w:tcW w:w="2420" w:type="dxa"/>
            <w:vAlign w:val="bottom"/>
            <w:gridSpan w:val="2"/>
          </w:tcPr>
          <w:p>
            <w:pPr>
              <w:ind w:left="400"/>
              <w:spacing w:after="0"/>
              <w:rPr>
                <w:sz w:val="20"/>
                <w:szCs w:val="20"/>
                <w:color w:val="auto"/>
              </w:rPr>
            </w:pPr>
            <w:r>
              <w:rPr>
                <w:rFonts w:ascii="Arial" w:cs="Arial" w:eastAsia="Arial" w:hAnsi="Arial"/>
                <w:sz w:val="18"/>
                <w:szCs w:val="18"/>
                <w:color w:val="auto"/>
              </w:rPr>
              <w:t>% Senior Notes due 20</w:t>
            </w:r>
          </w:p>
        </w:tc>
        <w:tc>
          <w:tcPr>
            <w:tcW w:w="760" w:type="dxa"/>
            <w:vAlign w:val="bottom"/>
          </w:tcPr>
          <w:p>
            <w:pPr>
              <w:ind w:left="180"/>
              <w:spacing w:after="0"/>
              <w:rPr>
                <w:sz w:val="20"/>
                <w:szCs w:val="20"/>
                <w:color w:val="auto"/>
              </w:rPr>
            </w:pPr>
            <w:r>
              <w:rPr>
                <w:rFonts w:ascii="Arial" w:cs="Arial" w:eastAsia="Arial" w:hAnsi="Arial"/>
                <w:sz w:val="18"/>
                <w:szCs w:val="18"/>
                <w:color w:val="auto"/>
                <w:w w:val="90"/>
              </w:rPr>
              <w:t>(the “20</w:t>
            </w:r>
          </w:p>
        </w:tc>
      </w:tr>
      <w:tr>
        <w:trPr>
          <w:trHeight w:val="230"/>
        </w:trPr>
        <w:tc>
          <w:tcPr>
            <w:tcW w:w="274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500" w:type="dxa"/>
            <w:vAlign w:val="bottom"/>
          </w:tcPr>
          <w:p>
            <w:pPr>
              <w:ind w:left="20"/>
              <w:spacing w:after="0"/>
              <w:rPr>
                <w:sz w:val="20"/>
                <w:szCs w:val="20"/>
                <w:color w:val="auto"/>
              </w:rPr>
            </w:pPr>
            <w:r>
              <w:rPr>
                <w:rFonts w:ascii="Arial" w:cs="Arial" w:eastAsia="Arial" w:hAnsi="Arial"/>
                <w:sz w:val="18"/>
                <w:szCs w:val="18"/>
                <w:color w:val="auto"/>
              </w:rPr>
              <w:t>Notes”).</w:t>
            </w:r>
          </w:p>
        </w:tc>
        <w:tc>
          <w:tcPr>
            <w:tcW w:w="84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760" w:type="dxa"/>
            <w:vAlign w:val="bottom"/>
          </w:tcPr>
          <w:p>
            <w:pPr>
              <w:spacing w:after="0"/>
              <w:rPr>
                <w:sz w:val="20"/>
                <w:szCs w:val="20"/>
                <w:color w:val="auto"/>
              </w:rPr>
            </w:pPr>
          </w:p>
        </w:tc>
      </w:tr>
      <w:tr>
        <w:trPr>
          <w:trHeight w:val="324"/>
        </w:trPr>
        <w:tc>
          <w:tcPr>
            <w:tcW w:w="2740" w:type="dxa"/>
            <w:vAlign w:val="bottom"/>
          </w:tcPr>
          <w:p>
            <w:pPr>
              <w:spacing w:after="0"/>
              <w:rPr>
                <w:sz w:val="20"/>
                <w:szCs w:val="20"/>
                <w:color w:val="auto"/>
              </w:rPr>
            </w:pPr>
            <w:r>
              <w:rPr>
                <w:rFonts w:ascii="Arial" w:cs="Arial" w:eastAsia="Arial" w:hAnsi="Arial"/>
                <w:sz w:val="18"/>
                <w:szCs w:val="18"/>
                <w:color w:val="auto"/>
              </w:rPr>
              <w:t>Maturity Dates</w:t>
            </w:r>
          </w:p>
        </w:tc>
        <w:tc>
          <w:tcPr>
            <w:tcW w:w="2160" w:type="dxa"/>
            <w:vAlign w:val="bottom"/>
          </w:tcPr>
          <w:p>
            <w:pPr>
              <w:ind w:left="1640"/>
              <w:spacing w:after="0"/>
              <w:rPr>
                <w:sz w:val="20"/>
                <w:szCs w:val="20"/>
                <w:color w:val="auto"/>
              </w:rPr>
            </w:pPr>
            <w:r>
              <w:rPr>
                <w:rFonts w:ascii="Arial" w:cs="Arial" w:eastAsia="Arial" w:hAnsi="Arial"/>
                <w:sz w:val="18"/>
                <w:szCs w:val="18"/>
                <w:color w:val="auto"/>
                <w:w w:val="89"/>
              </w:rPr>
              <w:t>The 20</w:t>
            </w:r>
          </w:p>
        </w:tc>
        <w:tc>
          <w:tcPr>
            <w:tcW w:w="2500" w:type="dxa"/>
            <w:vAlign w:val="bottom"/>
          </w:tcPr>
          <w:p>
            <w:pPr>
              <w:ind w:left="560"/>
              <w:spacing w:after="0"/>
              <w:rPr>
                <w:sz w:val="20"/>
                <w:szCs w:val="20"/>
                <w:color w:val="auto"/>
              </w:rPr>
            </w:pPr>
            <w:r>
              <w:rPr>
                <w:rFonts w:ascii="Arial" w:cs="Arial" w:eastAsia="Arial" w:hAnsi="Arial"/>
                <w:sz w:val="18"/>
                <w:szCs w:val="18"/>
                <w:color w:val="auto"/>
              </w:rPr>
              <w:t>Notes will mature on</w:t>
            </w:r>
          </w:p>
        </w:tc>
        <w:tc>
          <w:tcPr>
            <w:tcW w:w="840" w:type="dxa"/>
            <w:vAlign w:val="bottom"/>
          </w:tcPr>
          <w:p>
            <w:pPr>
              <w:jc w:val="right"/>
              <w:ind w:right="310"/>
              <w:spacing w:after="0"/>
              <w:rPr>
                <w:sz w:val="20"/>
                <w:szCs w:val="20"/>
                <w:color w:val="auto"/>
              </w:rPr>
            </w:pPr>
            <w:r>
              <w:rPr>
                <w:rFonts w:ascii="Arial" w:cs="Arial" w:eastAsia="Arial" w:hAnsi="Arial"/>
                <w:sz w:val="18"/>
                <w:szCs w:val="18"/>
                <w:color w:val="auto"/>
              </w:rPr>
              <w:t>, 20</w:t>
            </w:r>
          </w:p>
        </w:tc>
        <w:tc>
          <w:tcPr>
            <w:tcW w:w="1580" w:type="dxa"/>
            <w:vAlign w:val="bottom"/>
          </w:tcPr>
          <w:p>
            <w:pPr>
              <w:jc w:val="right"/>
              <w:ind w:right="127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4"/>
                <w:szCs w:val="24"/>
                <w:color w:val="auto"/>
              </w:rPr>
            </w:pPr>
          </w:p>
        </w:tc>
      </w:tr>
      <w:tr>
        <w:trPr>
          <w:trHeight w:val="324"/>
        </w:trPr>
        <w:tc>
          <w:tcPr>
            <w:tcW w:w="2740" w:type="dxa"/>
            <w:vAlign w:val="bottom"/>
          </w:tcPr>
          <w:p>
            <w:pPr>
              <w:spacing w:after="0"/>
              <w:rPr>
                <w:sz w:val="24"/>
                <w:szCs w:val="24"/>
                <w:color w:val="auto"/>
              </w:rPr>
            </w:pPr>
          </w:p>
        </w:tc>
        <w:tc>
          <w:tcPr>
            <w:tcW w:w="2160" w:type="dxa"/>
            <w:vAlign w:val="bottom"/>
          </w:tcPr>
          <w:p>
            <w:pPr>
              <w:ind w:left="1640"/>
              <w:spacing w:after="0"/>
              <w:rPr>
                <w:sz w:val="20"/>
                <w:szCs w:val="20"/>
                <w:color w:val="auto"/>
              </w:rPr>
            </w:pPr>
            <w:r>
              <w:rPr>
                <w:rFonts w:ascii="Arial" w:cs="Arial" w:eastAsia="Arial" w:hAnsi="Arial"/>
                <w:sz w:val="18"/>
                <w:szCs w:val="18"/>
                <w:color w:val="auto"/>
                <w:w w:val="89"/>
              </w:rPr>
              <w:t>The 20</w:t>
            </w:r>
          </w:p>
        </w:tc>
        <w:tc>
          <w:tcPr>
            <w:tcW w:w="2500" w:type="dxa"/>
            <w:vAlign w:val="bottom"/>
          </w:tcPr>
          <w:p>
            <w:pPr>
              <w:ind w:left="560"/>
              <w:spacing w:after="0"/>
              <w:rPr>
                <w:sz w:val="20"/>
                <w:szCs w:val="20"/>
                <w:color w:val="auto"/>
              </w:rPr>
            </w:pPr>
            <w:r>
              <w:rPr>
                <w:rFonts w:ascii="Arial" w:cs="Arial" w:eastAsia="Arial" w:hAnsi="Arial"/>
                <w:sz w:val="18"/>
                <w:szCs w:val="18"/>
                <w:color w:val="auto"/>
              </w:rPr>
              <w:t>Notes will mature on</w:t>
            </w:r>
          </w:p>
        </w:tc>
        <w:tc>
          <w:tcPr>
            <w:tcW w:w="840" w:type="dxa"/>
            <w:vAlign w:val="bottom"/>
          </w:tcPr>
          <w:p>
            <w:pPr>
              <w:jc w:val="right"/>
              <w:ind w:right="310"/>
              <w:spacing w:after="0"/>
              <w:rPr>
                <w:sz w:val="20"/>
                <w:szCs w:val="20"/>
                <w:color w:val="auto"/>
              </w:rPr>
            </w:pPr>
            <w:r>
              <w:rPr>
                <w:rFonts w:ascii="Arial" w:cs="Arial" w:eastAsia="Arial" w:hAnsi="Arial"/>
                <w:sz w:val="18"/>
                <w:szCs w:val="18"/>
                <w:color w:val="auto"/>
              </w:rPr>
              <w:t>, 20</w:t>
            </w:r>
          </w:p>
        </w:tc>
        <w:tc>
          <w:tcPr>
            <w:tcW w:w="1580" w:type="dxa"/>
            <w:vAlign w:val="bottom"/>
          </w:tcPr>
          <w:p>
            <w:pPr>
              <w:jc w:val="right"/>
              <w:ind w:right="131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4"/>
                <w:szCs w:val="24"/>
                <w:color w:val="auto"/>
              </w:rPr>
            </w:pPr>
          </w:p>
        </w:tc>
      </w:tr>
      <w:tr>
        <w:trPr>
          <w:trHeight w:val="324"/>
        </w:trPr>
        <w:tc>
          <w:tcPr>
            <w:tcW w:w="2740" w:type="dxa"/>
            <w:vAlign w:val="bottom"/>
          </w:tcPr>
          <w:p>
            <w:pPr>
              <w:spacing w:after="0"/>
              <w:rPr>
                <w:sz w:val="20"/>
                <w:szCs w:val="20"/>
                <w:color w:val="auto"/>
              </w:rPr>
            </w:pPr>
            <w:r>
              <w:rPr>
                <w:rFonts w:ascii="Arial" w:cs="Arial" w:eastAsia="Arial" w:hAnsi="Arial"/>
                <w:sz w:val="18"/>
                <w:szCs w:val="18"/>
                <w:color w:val="auto"/>
              </w:rPr>
              <w:t>Interest Rates</w:t>
            </w:r>
          </w:p>
        </w:tc>
        <w:tc>
          <w:tcPr>
            <w:tcW w:w="2160" w:type="dxa"/>
            <w:vAlign w:val="bottom"/>
          </w:tcPr>
          <w:p>
            <w:pPr>
              <w:ind w:left="1640"/>
              <w:spacing w:after="0"/>
              <w:rPr>
                <w:sz w:val="20"/>
                <w:szCs w:val="20"/>
                <w:color w:val="auto"/>
              </w:rPr>
            </w:pPr>
            <w:r>
              <w:rPr>
                <w:rFonts w:ascii="Arial" w:cs="Arial" w:eastAsia="Arial" w:hAnsi="Arial"/>
                <w:sz w:val="18"/>
                <w:szCs w:val="18"/>
                <w:color w:val="auto"/>
                <w:w w:val="89"/>
              </w:rPr>
              <w:t>The 20</w:t>
            </w:r>
          </w:p>
        </w:tc>
        <w:tc>
          <w:tcPr>
            <w:tcW w:w="3340" w:type="dxa"/>
            <w:vAlign w:val="bottom"/>
            <w:gridSpan w:val="2"/>
          </w:tcPr>
          <w:p>
            <w:pPr>
              <w:ind w:left="560"/>
              <w:spacing w:after="0"/>
              <w:rPr>
                <w:sz w:val="20"/>
                <w:szCs w:val="20"/>
                <w:color w:val="auto"/>
              </w:rPr>
            </w:pPr>
            <w:r>
              <w:rPr>
                <w:rFonts w:ascii="Arial" w:cs="Arial" w:eastAsia="Arial" w:hAnsi="Arial"/>
                <w:sz w:val="18"/>
                <w:szCs w:val="18"/>
                <w:color w:val="auto"/>
                <w:w w:val="94"/>
              </w:rPr>
              <w:t>Notes will accrue interest at a rate of</w:t>
            </w:r>
          </w:p>
        </w:tc>
        <w:tc>
          <w:tcPr>
            <w:tcW w:w="1580" w:type="dxa"/>
            <w:vAlign w:val="bottom"/>
          </w:tcPr>
          <w:p>
            <w:pPr>
              <w:ind w:left="420"/>
              <w:spacing w:after="0"/>
              <w:rPr>
                <w:sz w:val="20"/>
                <w:szCs w:val="20"/>
                <w:color w:val="auto"/>
              </w:rPr>
            </w:pPr>
            <w:r>
              <w:rPr>
                <w:rFonts w:ascii="Arial" w:cs="Arial" w:eastAsia="Arial" w:hAnsi="Arial"/>
                <w:sz w:val="18"/>
                <w:szCs w:val="18"/>
                <w:color w:val="auto"/>
              </w:rPr>
              <w:t>% per annum.</w:t>
            </w:r>
          </w:p>
        </w:tc>
        <w:tc>
          <w:tcPr>
            <w:tcW w:w="760" w:type="dxa"/>
            <w:vAlign w:val="bottom"/>
          </w:tcPr>
          <w:p>
            <w:pPr>
              <w:spacing w:after="0"/>
              <w:rPr>
                <w:sz w:val="24"/>
                <w:szCs w:val="24"/>
                <w:color w:val="auto"/>
              </w:rPr>
            </w:pPr>
          </w:p>
        </w:tc>
      </w:tr>
      <w:tr>
        <w:trPr>
          <w:trHeight w:val="338"/>
        </w:trPr>
        <w:tc>
          <w:tcPr>
            <w:tcW w:w="2740" w:type="dxa"/>
            <w:vAlign w:val="bottom"/>
          </w:tcPr>
          <w:p>
            <w:pPr>
              <w:spacing w:after="0"/>
              <w:rPr>
                <w:sz w:val="24"/>
                <w:szCs w:val="24"/>
                <w:color w:val="auto"/>
              </w:rPr>
            </w:pPr>
          </w:p>
        </w:tc>
        <w:tc>
          <w:tcPr>
            <w:tcW w:w="2160" w:type="dxa"/>
            <w:vAlign w:val="bottom"/>
          </w:tcPr>
          <w:p>
            <w:pPr>
              <w:ind w:left="1640"/>
              <w:spacing w:after="0"/>
              <w:rPr>
                <w:sz w:val="20"/>
                <w:szCs w:val="20"/>
                <w:color w:val="auto"/>
              </w:rPr>
            </w:pPr>
            <w:r>
              <w:rPr>
                <w:rFonts w:ascii="Arial" w:cs="Arial" w:eastAsia="Arial" w:hAnsi="Arial"/>
                <w:sz w:val="18"/>
                <w:szCs w:val="18"/>
                <w:color w:val="auto"/>
                <w:w w:val="89"/>
              </w:rPr>
              <w:t>The 20</w:t>
            </w:r>
          </w:p>
        </w:tc>
        <w:tc>
          <w:tcPr>
            <w:tcW w:w="3340" w:type="dxa"/>
            <w:vAlign w:val="bottom"/>
            <w:gridSpan w:val="2"/>
          </w:tcPr>
          <w:p>
            <w:pPr>
              <w:ind w:left="520"/>
              <w:spacing w:after="0"/>
              <w:rPr>
                <w:sz w:val="20"/>
                <w:szCs w:val="20"/>
                <w:color w:val="auto"/>
              </w:rPr>
            </w:pPr>
            <w:r>
              <w:rPr>
                <w:rFonts w:ascii="Arial" w:cs="Arial" w:eastAsia="Arial" w:hAnsi="Arial"/>
                <w:sz w:val="18"/>
                <w:szCs w:val="18"/>
                <w:color w:val="auto"/>
                <w:w w:val="96"/>
              </w:rPr>
              <w:t>Notes will accrue interest at a rate of</w:t>
            </w:r>
          </w:p>
        </w:tc>
        <w:tc>
          <w:tcPr>
            <w:tcW w:w="1580" w:type="dxa"/>
            <w:vAlign w:val="bottom"/>
          </w:tcPr>
          <w:p>
            <w:pPr>
              <w:ind w:left="420"/>
              <w:spacing w:after="0"/>
              <w:rPr>
                <w:sz w:val="20"/>
                <w:szCs w:val="20"/>
                <w:color w:val="auto"/>
              </w:rPr>
            </w:pPr>
            <w:r>
              <w:rPr>
                <w:rFonts w:ascii="Arial" w:cs="Arial" w:eastAsia="Arial" w:hAnsi="Arial"/>
                <w:sz w:val="18"/>
                <w:szCs w:val="18"/>
                <w:color w:val="auto"/>
              </w:rPr>
              <w:t>% per annum.</w:t>
            </w:r>
          </w:p>
        </w:tc>
        <w:tc>
          <w:tcPr>
            <w:tcW w:w="760" w:type="dxa"/>
            <w:vAlign w:val="bottom"/>
          </w:tcPr>
          <w:p>
            <w:pPr>
              <w:spacing w:after="0"/>
              <w:rPr>
                <w:sz w:val="24"/>
                <w:szCs w:val="24"/>
                <w:color w:val="auto"/>
              </w:rPr>
            </w:pPr>
          </w:p>
        </w:tc>
      </w:tr>
    </w:tbl>
    <w:p>
      <w:pPr>
        <w:spacing w:after="0" w:line="107"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Interest Payment Dates</w:t>
            </w: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8"/>
              </w:rPr>
              <w:t>Interest on each series of the Notes will be payable semi-annually in arrears on</w:t>
            </w:r>
          </w:p>
        </w:tc>
      </w:tr>
      <w:tr>
        <w:trPr>
          <w:trHeight w:val="230"/>
        </w:trPr>
        <w:tc>
          <w:tcPr>
            <w:tcW w:w="3540" w:type="dxa"/>
            <w:vAlign w:val="bottom"/>
          </w:tcPr>
          <w:p>
            <w:pPr>
              <w:spacing w:after="0"/>
              <w:rPr>
                <w:sz w:val="20"/>
                <w:szCs w:val="20"/>
                <w:color w:val="auto"/>
              </w:rPr>
            </w:pPr>
          </w:p>
        </w:tc>
        <w:tc>
          <w:tcPr>
            <w:tcW w:w="1940" w:type="dxa"/>
            <w:vAlign w:val="bottom"/>
          </w:tcPr>
          <w:p>
            <w:pPr>
              <w:ind w:left="1380"/>
              <w:spacing w:after="0"/>
              <w:rPr>
                <w:sz w:val="20"/>
                <w:szCs w:val="20"/>
                <w:color w:val="auto"/>
              </w:rPr>
            </w:pPr>
            <w:r>
              <w:rPr>
                <w:rFonts w:ascii="Arial" w:cs="Arial" w:eastAsia="Arial" w:hAnsi="Arial"/>
                <w:sz w:val="18"/>
                <w:szCs w:val="18"/>
                <w:color w:val="auto"/>
              </w:rPr>
              <w:t>and</w:t>
            </w:r>
          </w:p>
        </w:tc>
        <w:tc>
          <w:tcPr>
            <w:tcW w:w="2560" w:type="dxa"/>
            <w:vAlign w:val="bottom"/>
          </w:tcPr>
          <w:p>
            <w:pPr>
              <w:ind w:left="280"/>
              <w:spacing w:after="0"/>
              <w:rPr>
                <w:sz w:val="20"/>
                <w:szCs w:val="20"/>
                <w:color w:val="auto"/>
              </w:rPr>
            </w:pPr>
            <w:r>
              <w:rPr>
                <w:rFonts w:ascii="Arial" w:cs="Arial" w:eastAsia="Arial" w:hAnsi="Arial"/>
                <w:sz w:val="18"/>
                <w:szCs w:val="18"/>
                <w:color w:val="auto"/>
              </w:rPr>
              <w:t>of each year, beginning on</w:t>
            </w:r>
          </w:p>
        </w:tc>
        <w:tc>
          <w:tcPr>
            <w:tcW w:w="2540" w:type="dxa"/>
            <w:vAlign w:val="bottom"/>
          </w:tcPr>
          <w:p>
            <w:pPr>
              <w:jc w:val="right"/>
              <w:ind w:right="1750"/>
              <w:spacing w:after="0"/>
              <w:rPr>
                <w:sz w:val="20"/>
                <w:szCs w:val="20"/>
                <w:color w:val="auto"/>
              </w:rPr>
            </w:pPr>
            <w:r>
              <w:rPr>
                <w:rFonts w:ascii="Arial" w:cs="Arial" w:eastAsia="Arial" w:hAnsi="Arial"/>
                <w:sz w:val="18"/>
                <w:szCs w:val="18"/>
                <w:color w:val="auto"/>
              </w:rPr>
              <w:t>, 2024.</w:t>
            </w:r>
          </w:p>
        </w:tc>
      </w:tr>
      <w:tr>
        <w:trPr>
          <w:trHeight w:val="310"/>
        </w:trPr>
        <w:tc>
          <w:tcPr>
            <w:tcW w:w="3540" w:type="dxa"/>
            <w:vAlign w:val="bottom"/>
          </w:tcPr>
          <w:p>
            <w:pPr>
              <w:spacing w:after="0"/>
              <w:rPr>
                <w:sz w:val="20"/>
                <w:szCs w:val="20"/>
                <w:color w:val="auto"/>
              </w:rPr>
            </w:pPr>
            <w:r>
              <w:rPr>
                <w:rFonts w:ascii="Arial" w:cs="Arial" w:eastAsia="Arial" w:hAnsi="Arial"/>
                <w:sz w:val="18"/>
                <w:szCs w:val="18"/>
                <w:color w:val="auto"/>
              </w:rPr>
              <w:t>Ranking</w:t>
            </w: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1"/>
              </w:rPr>
              <w:t>The Notes will be our general, senior, unsecured obligations, will rank equally in right</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5"/>
              </w:rPr>
              <w:t>of payment with all of our existing and future senior, unsecured indebtedness, will</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rPr>
              <w:t>rank senior in right of payment to all of our existing and future unsecured,</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2"/>
              </w:rPr>
              <w:t>subordinated indebtedness, will be effectively subordinated to all of our existing and</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4"/>
              </w:rPr>
              <w:t>future secured indebtedness to the extent of the value of the assets securing such</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5"/>
              </w:rPr>
              <w:t>indebtedness, and will be structurally subordinated to all of the existing and future</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1"/>
              </w:rPr>
              <w:t>indebtedness (including trade payables) of our subsidiaries that do not guarantee the</w:t>
            </w:r>
          </w:p>
        </w:tc>
      </w:tr>
      <w:tr>
        <w:trPr>
          <w:trHeight w:val="230"/>
        </w:trPr>
        <w:tc>
          <w:tcPr>
            <w:tcW w:w="3540" w:type="dxa"/>
            <w:vAlign w:val="bottom"/>
          </w:tcPr>
          <w:p>
            <w:pPr>
              <w:spacing w:after="0"/>
              <w:rPr>
                <w:sz w:val="20"/>
                <w:szCs w:val="20"/>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rPr>
              <w:t>Notes (other than indebtedness and liabilities owed to us, if any).</w:t>
            </w:r>
          </w:p>
        </w:tc>
      </w:tr>
      <w:tr>
        <w:trPr>
          <w:trHeight w:val="310"/>
        </w:trPr>
        <w:tc>
          <w:tcPr>
            <w:tcW w:w="3540" w:type="dxa"/>
            <w:vAlign w:val="bottom"/>
          </w:tcPr>
          <w:p>
            <w:pPr>
              <w:spacing w:after="0"/>
              <w:rPr>
                <w:sz w:val="20"/>
                <w:szCs w:val="20"/>
                <w:color w:val="auto"/>
              </w:rPr>
            </w:pPr>
            <w:r>
              <w:rPr>
                <w:rFonts w:ascii="Arial" w:cs="Arial" w:eastAsia="Arial" w:hAnsi="Arial"/>
                <w:sz w:val="18"/>
                <w:szCs w:val="18"/>
                <w:color w:val="auto"/>
              </w:rPr>
              <w:t>Optional Redemption</w:t>
            </w: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4"/>
              </w:rPr>
              <w:t>We may redeem each series of the Notes, in whole or in part, at any time and from</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rPr>
              <w:t>time to time, at redemption prices determined as set forth under the heading</w:t>
            </w:r>
          </w:p>
        </w:tc>
      </w:tr>
      <w:tr>
        <w:trPr>
          <w:trHeight w:val="230"/>
        </w:trPr>
        <w:tc>
          <w:tcPr>
            <w:tcW w:w="3540" w:type="dxa"/>
            <w:vAlign w:val="bottom"/>
          </w:tcPr>
          <w:p>
            <w:pPr>
              <w:spacing w:after="0"/>
              <w:rPr>
                <w:sz w:val="20"/>
                <w:szCs w:val="20"/>
                <w:color w:val="auto"/>
              </w:rPr>
            </w:pPr>
          </w:p>
        </w:tc>
        <w:tc>
          <w:tcPr>
            <w:tcW w:w="4500" w:type="dxa"/>
            <w:vAlign w:val="bottom"/>
            <w:gridSpan w:val="2"/>
          </w:tcPr>
          <w:p>
            <w:pPr>
              <w:ind w:left="840"/>
              <w:spacing w:after="0"/>
              <w:rPr>
                <w:sz w:val="20"/>
                <w:szCs w:val="20"/>
                <w:color w:val="auto"/>
              </w:rPr>
            </w:pPr>
            <w:r>
              <w:rPr>
                <w:rFonts w:ascii="Arial" w:cs="Arial" w:eastAsia="Arial" w:hAnsi="Arial"/>
                <w:sz w:val="18"/>
                <w:szCs w:val="18"/>
                <w:color w:val="auto"/>
                <w:w w:val="99"/>
              </w:rPr>
              <w:t>“Description of Notes—Optional Redemption.”</w:t>
            </w:r>
          </w:p>
        </w:tc>
        <w:tc>
          <w:tcPr>
            <w:tcW w:w="2540" w:type="dxa"/>
            <w:vAlign w:val="bottom"/>
          </w:tcPr>
          <w:p>
            <w:pPr>
              <w:spacing w:after="0"/>
              <w:rPr>
                <w:sz w:val="20"/>
                <w:szCs w:val="20"/>
                <w:color w:val="auto"/>
              </w:rPr>
            </w:pPr>
          </w:p>
        </w:tc>
      </w:tr>
      <w:tr>
        <w:trPr>
          <w:trHeight w:val="324"/>
        </w:trPr>
        <w:tc>
          <w:tcPr>
            <w:tcW w:w="3540" w:type="dxa"/>
            <w:vAlign w:val="bottom"/>
          </w:tcPr>
          <w:p>
            <w:pPr>
              <w:spacing w:after="0"/>
              <w:rPr>
                <w:sz w:val="20"/>
                <w:szCs w:val="20"/>
                <w:color w:val="auto"/>
              </w:rPr>
            </w:pPr>
            <w:r>
              <w:rPr>
                <w:rFonts w:ascii="Arial" w:cs="Arial" w:eastAsia="Arial" w:hAnsi="Arial"/>
                <w:sz w:val="18"/>
                <w:szCs w:val="18"/>
                <w:color w:val="auto"/>
              </w:rPr>
              <w:t>Sinking Fund</w:t>
            </w:r>
          </w:p>
        </w:tc>
        <w:tc>
          <w:tcPr>
            <w:tcW w:w="1940" w:type="dxa"/>
            <w:vAlign w:val="bottom"/>
          </w:tcPr>
          <w:p>
            <w:pPr>
              <w:ind w:left="840"/>
              <w:spacing w:after="0"/>
              <w:rPr>
                <w:sz w:val="20"/>
                <w:szCs w:val="20"/>
                <w:color w:val="auto"/>
              </w:rPr>
            </w:pPr>
            <w:r>
              <w:rPr>
                <w:rFonts w:ascii="Arial" w:cs="Arial" w:eastAsia="Arial" w:hAnsi="Arial"/>
                <w:sz w:val="18"/>
                <w:szCs w:val="18"/>
                <w:color w:val="auto"/>
              </w:rPr>
              <w:t>None.</w:t>
            </w:r>
          </w:p>
        </w:tc>
        <w:tc>
          <w:tcPr>
            <w:tcW w:w="2560" w:type="dxa"/>
            <w:vAlign w:val="bottom"/>
          </w:tcPr>
          <w:p>
            <w:pPr>
              <w:spacing w:after="0"/>
              <w:rPr>
                <w:sz w:val="24"/>
                <w:szCs w:val="24"/>
                <w:color w:val="auto"/>
              </w:rPr>
            </w:pPr>
          </w:p>
        </w:tc>
        <w:tc>
          <w:tcPr>
            <w:tcW w:w="2540" w:type="dxa"/>
            <w:vAlign w:val="bottom"/>
          </w:tcPr>
          <w:p>
            <w:pPr>
              <w:spacing w:after="0"/>
              <w:rPr>
                <w:sz w:val="24"/>
                <w:szCs w:val="24"/>
                <w:color w:val="auto"/>
              </w:rPr>
            </w:pPr>
          </w:p>
        </w:tc>
      </w:tr>
      <w:tr>
        <w:trPr>
          <w:trHeight w:val="310"/>
        </w:trPr>
        <w:tc>
          <w:tcPr>
            <w:tcW w:w="3540" w:type="dxa"/>
            <w:vAlign w:val="bottom"/>
          </w:tcPr>
          <w:p>
            <w:pPr>
              <w:spacing w:after="0"/>
              <w:rPr>
                <w:sz w:val="20"/>
                <w:szCs w:val="20"/>
                <w:color w:val="auto"/>
              </w:rPr>
            </w:pPr>
            <w:r>
              <w:rPr>
                <w:rFonts w:ascii="Arial" w:cs="Arial" w:eastAsia="Arial" w:hAnsi="Arial"/>
                <w:sz w:val="18"/>
                <w:szCs w:val="18"/>
                <w:color w:val="auto"/>
              </w:rPr>
              <w:t>Change of Control Repurchase Event</w:t>
            </w: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5"/>
              </w:rPr>
              <w:t>Upon the occurrence of a “change of control repurchase event,” as defined under</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5"/>
              </w:rPr>
              <w:t>“Description of Notes—Purchase of Notes upon a Change of Control Repurchase</w:t>
            </w:r>
          </w:p>
        </w:tc>
      </w:tr>
      <w:tr>
        <w:trPr>
          <w:trHeight w:val="216"/>
        </w:trPr>
        <w:tc>
          <w:tcPr>
            <w:tcW w:w="3540" w:type="dxa"/>
            <w:vAlign w:val="bottom"/>
          </w:tcPr>
          <w:p>
            <w:pPr>
              <w:spacing w:after="0"/>
              <w:rPr>
                <w:sz w:val="18"/>
                <w:szCs w:val="18"/>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4"/>
              </w:rPr>
              <w:t>Event,” each holder will have the right to require us to repurchase all or any part of</w:t>
            </w:r>
          </w:p>
        </w:tc>
      </w:tr>
      <w:tr>
        <w:trPr>
          <w:trHeight w:val="230"/>
        </w:trPr>
        <w:tc>
          <w:tcPr>
            <w:tcW w:w="3540" w:type="dxa"/>
            <w:vAlign w:val="bottom"/>
          </w:tcPr>
          <w:p>
            <w:pPr>
              <w:spacing w:after="0"/>
              <w:rPr>
                <w:sz w:val="20"/>
                <w:szCs w:val="20"/>
                <w:color w:val="auto"/>
              </w:rPr>
            </w:pPr>
          </w:p>
        </w:tc>
        <w:tc>
          <w:tcPr>
            <w:tcW w:w="7040" w:type="dxa"/>
            <w:vAlign w:val="bottom"/>
            <w:gridSpan w:val="3"/>
          </w:tcPr>
          <w:p>
            <w:pPr>
              <w:ind w:left="840"/>
              <w:spacing w:after="0"/>
              <w:rPr>
                <w:sz w:val="20"/>
                <w:szCs w:val="20"/>
                <w:color w:val="auto"/>
              </w:rPr>
            </w:pPr>
            <w:r>
              <w:rPr>
                <w:rFonts w:ascii="Arial" w:cs="Arial" w:eastAsia="Arial" w:hAnsi="Arial"/>
                <w:sz w:val="18"/>
                <w:szCs w:val="18"/>
                <w:color w:val="auto"/>
                <w:w w:val="91"/>
              </w:rPr>
              <w:t>that holder’s Notes at a price equal to 101% of the aggregate principal amount of the</w:t>
            </w:r>
          </w:p>
        </w:tc>
      </w:tr>
    </w:tbl>
    <w:p>
      <w:pPr>
        <w:ind w:left="4680" w:right="240"/>
        <w:spacing w:after="0" w:line="260" w:lineRule="auto"/>
        <w:rPr>
          <w:sz w:val="20"/>
          <w:szCs w:val="20"/>
          <w:color w:val="auto"/>
        </w:rPr>
      </w:pPr>
      <w:r>
        <w:rPr>
          <w:rFonts w:ascii="Arial" w:cs="Arial" w:eastAsia="Arial" w:hAnsi="Arial"/>
          <w:sz w:val="18"/>
          <w:szCs w:val="18"/>
          <w:color w:val="auto"/>
        </w:rPr>
        <w:t>Notes to be repurchased, plus any accrued and unpaid interest on such Notes to, but excluding, the repurchase date.</w:t>
      </w:r>
    </w:p>
    <w:p>
      <w:pPr>
        <w:spacing w:after="0" w:line="29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S-2</w:t>
      </w:r>
    </w:p>
    <w:p>
      <w:pPr>
        <w:sectPr>
          <w:pgSz w:w="11900" w:h="16838" w:orient="portrait"/>
          <w:cols w:equalWidth="0" w:num="1">
            <w:col w:w="10940"/>
          </w:cols>
          <w:pgMar w:left="320" w:top="459" w:right="6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6273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extLst>
                    </a:blip>
                    <a:srcRect/>
                    <a:stretch>
                      <a:fillRect/>
                    </a:stretch>
                  </pic:blipFill>
                  <pic:spPr bwMode="auto">
                    <a:xfrm>
                      <a:off x="0" y="0"/>
                      <a:ext cx="6998970" cy="5627370"/>
                    </a:xfrm>
                    <a:prstGeom prst="rect">
                      <a:avLst/>
                    </a:prstGeom>
                    <a:noFill/>
                  </pic:spPr>
                </pic:pic>
              </a:graphicData>
            </a:graphic>
          </wp:anchor>
        </w:drawing>
      </w:r>
    </w:p>
    <w:p>
      <w:pPr>
        <w:spacing w:after="0" w:line="200" w:lineRule="exact"/>
        <w:rPr>
          <w:sz w:val="20"/>
          <w:szCs w:val="20"/>
          <w:color w:val="auto"/>
        </w:rPr>
      </w:pPr>
    </w:p>
    <w:p>
      <w:pPr>
        <w:spacing w:after="0" w:line="386"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2920" w:type="dxa"/>
            <w:vAlign w:val="bottom"/>
          </w:tcPr>
          <w:p>
            <w:pPr>
              <w:spacing w:after="0"/>
              <w:rPr>
                <w:sz w:val="20"/>
                <w:szCs w:val="20"/>
                <w:color w:val="auto"/>
              </w:rPr>
            </w:pPr>
            <w:r>
              <w:rPr>
                <w:rFonts w:ascii="Arial" w:cs="Arial" w:eastAsia="Arial" w:hAnsi="Arial"/>
                <w:sz w:val="18"/>
                <w:szCs w:val="18"/>
                <w:color w:val="auto"/>
              </w:rPr>
              <w:t>Guarantees</w:t>
            </w: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2"/>
              </w:rPr>
              <w:t>None of our subsidiaries will initially guarantee the Notes. In the future, however, any</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3"/>
              </w:rPr>
              <w:t>of our existing or future domestic subsidiaries that becomes a borrower or guarantor</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3"/>
              </w:rPr>
              <w:t>under the Revolving Credit Agreement or the 2024 and 2026 Term Loan Agreement</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3"/>
              </w:rPr>
              <w:t>(each as defined under “Description of Notes—General”) will be required, jointly and</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6"/>
              </w:rPr>
              <w:t>severally, to fully and unconditionally guarantee the Notes on a senior, unsecured</w:t>
            </w:r>
          </w:p>
        </w:tc>
      </w:tr>
      <w:tr>
        <w:trPr>
          <w:trHeight w:val="230"/>
        </w:trPr>
        <w:tc>
          <w:tcPr>
            <w:tcW w:w="2920" w:type="dxa"/>
            <w:vAlign w:val="bottom"/>
          </w:tcPr>
          <w:p>
            <w:pPr>
              <w:spacing w:after="0"/>
              <w:rPr>
                <w:sz w:val="20"/>
                <w:szCs w:val="20"/>
                <w:color w:val="auto"/>
              </w:rPr>
            </w:pPr>
          </w:p>
        </w:tc>
        <w:tc>
          <w:tcPr>
            <w:tcW w:w="4540" w:type="dxa"/>
            <w:vAlign w:val="bottom"/>
          </w:tcPr>
          <w:p>
            <w:pPr>
              <w:ind w:left="1460"/>
              <w:spacing w:after="0"/>
              <w:rPr>
                <w:sz w:val="20"/>
                <w:szCs w:val="20"/>
                <w:color w:val="auto"/>
              </w:rPr>
            </w:pPr>
            <w:r>
              <w:rPr>
                <w:rFonts w:ascii="Arial" w:cs="Arial" w:eastAsia="Arial" w:hAnsi="Arial"/>
                <w:sz w:val="18"/>
                <w:szCs w:val="18"/>
                <w:color w:val="auto"/>
              </w:rPr>
              <w:t>basis.</w:t>
            </w:r>
          </w:p>
        </w:tc>
        <w:tc>
          <w:tcPr>
            <w:tcW w:w="3180" w:type="dxa"/>
            <w:vAlign w:val="bottom"/>
          </w:tcPr>
          <w:p>
            <w:pPr>
              <w:spacing w:after="0"/>
              <w:rPr>
                <w:sz w:val="20"/>
                <w:szCs w:val="20"/>
                <w:color w:val="auto"/>
              </w:rPr>
            </w:pPr>
          </w:p>
        </w:tc>
      </w:tr>
      <w:tr>
        <w:trPr>
          <w:trHeight w:val="310"/>
        </w:trPr>
        <w:tc>
          <w:tcPr>
            <w:tcW w:w="2920" w:type="dxa"/>
            <w:vAlign w:val="bottom"/>
          </w:tcPr>
          <w:p>
            <w:pPr>
              <w:spacing w:after="0"/>
              <w:rPr>
                <w:sz w:val="20"/>
                <w:szCs w:val="20"/>
                <w:color w:val="auto"/>
              </w:rPr>
            </w:pPr>
            <w:r>
              <w:rPr>
                <w:rFonts w:ascii="Arial" w:cs="Arial" w:eastAsia="Arial" w:hAnsi="Arial"/>
                <w:sz w:val="18"/>
                <w:szCs w:val="18"/>
                <w:color w:val="auto"/>
              </w:rPr>
              <w:t>Use of Proceeds</w:t>
            </w: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5"/>
              </w:rPr>
              <w:t>We estimate that the net proceeds to be received by us from the sale of the Notes</w:t>
            </w:r>
          </w:p>
        </w:tc>
      </w:tr>
      <w:tr>
        <w:trPr>
          <w:trHeight w:val="216"/>
        </w:trPr>
        <w:tc>
          <w:tcPr>
            <w:tcW w:w="2920" w:type="dxa"/>
            <w:vAlign w:val="bottom"/>
          </w:tcPr>
          <w:p>
            <w:pPr>
              <w:spacing w:after="0"/>
              <w:rPr>
                <w:sz w:val="18"/>
                <w:szCs w:val="18"/>
                <w:color w:val="auto"/>
              </w:rPr>
            </w:pPr>
          </w:p>
        </w:tc>
        <w:tc>
          <w:tcPr>
            <w:tcW w:w="4540" w:type="dxa"/>
            <w:vAlign w:val="bottom"/>
          </w:tcPr>
          <w:p>
            <w:pPr>
              <w:ind w:left="1460"/>
              <w:spacing w:after="0"/>
              <w:rPr>
                <w:sz w:val="20"/>
                <w:szCs w:val="20"/>
                <w:color w:val="auto"/>
              </w:rPr>
            </w:pPr>
            <w:r>
              <w:rPr>
                <w:rFonts w:ascii="Arial" w:cs="Arial" w:eastAsia="Arial" w:hAnsi="Arial"/>
                <w:sz w:val="18"/>
                <w:szCs w:val="18"/>
                <w:color w:val="auto"/>
              </w:rPr>
              <w:t>offered hereby will be approximately $</w:t>
            </w:r>
          </w:p>
        </w:tc>
        <w:tc>
          <w:tcPr>
            <w:tcW w:w="3180" w:type="dxa"/>
            <w:vAlign w:val="bottom"/>
          </w:tcPr>
          <w:p>
            <w:pPr>
              <w:ind w:left="260"/>
              <w:spacing w:after="0"/>
              <w:rPr>
                <w:sz w:val="20"/>
                <w:szCs w:val="20"/>
                <w:color w:val="auto"/>
              </w:rPr>
            </w:pPr>
            <w:r>
              <w:rPr>
                <w:rFonts w:ascii="Arial" w:cs="Arial" w:eastAsia="Arial" w:hAnsi="Arial"/>
                <w:sz w:val="18"/>
                <w:szCs w:val="18"/>
                <w:color w:val="auto"/>
              </w:rPr>
              <w:t>million, after deducting the</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2"/>
              </w:rPr>
              <w:t>underwriting discounts and estimated offering expenses and fees payable by us. We</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rPr>
              <w:t>intend to use the net proceeds of this offering for repayment of debt, including</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rPr>
              <w:t>amounts outstanding under our term loans due 2024 and the Revolving Credit</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3"/>
              </w:rPr>
              <w:t>Agreement. Any remaining funds will be used for general corporate purposes, which</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2"/>
              </w:rPr>
              <w:t>may include, but are not limited to, funding for working capital, payment of dividends,</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9"/>
              </w:rPr>
              <w:t>capital expenditures, repurchases of our common shares and acquisitions. Net</w:t>
            </w:r>
          </w:p>
        </w:tc>
      </w:tr>
      <w:tr>
        <w:trPr>
          <w:trHeight w:val="230"/>
        </w:trPr>
        <w:tc>
          <w:tcPr>
            <w:tcW w:w="2920" w:type="dxa"/>
            <w:vAlign w:val="bottom"/>
          </w:tcPr>
          <w:p>
            <w:pPr>
              <w:spacing w:after="0"/>
              <w:rPr>
                <w:sz w:val="20"/>
                <w:szCs w:val="20"/>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rPr>
              <w:t>proceeds may be temporarily invested before use. See “Use of Proceeds.”</w:t>
            </w:r>
          </w:p>
        </w:tc>
      </w:tr>
      <w:tr>
        <w:trPr>
          <w:trHeight w:val="310"/>
        </w:trPr>
        <w:tc>
          <w:tcPr>
            <w:tcW w:w="2920" w:type="dxa"/>
            <w:vAlign w:val="bottom"/>
          </w:tcPr>
          <w:p>
            <w:pPr>
              <w:spacing w:after="0"/>
              <w:rPr>
                <w:sz w:val="20"/>
                <w:szCs w:val="20"/>
                <w:color w:val="auto"/>
              </w:rPr>
            </w:pPr>
            <w:r>
              <w:rPr>
                <w:rFonts w:ascii="Arial" w:cs="Arial" w:eastAsia="Arial" w:hAnsi="Arial"/>
                <w:sz w:val="18"/>
                <w:szCs w:val="18"/>
                <w:color w:val="auto"/>
              </w:rPr>
              <w:t>Conflicts of Interest</w:t>
            </w: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8"/>
              </w:rPr>
              <w:t>As a result of our intended use of proceeds for the repayment of debt, including</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rPr>
              <w:t>amounts outstanding under our term loans due 2024 and the Revolving Credit</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2"/>
              </w:rPr>
              <w:t>Agreement, certain underwriters (or their respective affiliates) may receive more than</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1"/>
              </w:rPr>
              <w:t>5% of the net proceeds of this offering, not including underwriting compensation, thus</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6"/>
              </w:rPr>
              <w:t>creating a conflict of interest within the meaning of Rule 5121 (Public Offerings of</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5"/>
              </w:rPr>
              <w:t>Securities with Conflicts of Interest) of the Financial Industry Regulatory Authority,</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7"/>
              </w:rPr>
              <w:t>Inc. (“FINRA Rule 5121”). Accordingly, this offering is being made in compliance</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rPr>
              <w:t>with the requirements of FINRA Rule 5121. The appointment of a “qualified</w:t>
            </w:r>
          </w:p>
        </w:tc>
      </w:tr>
      <w:tr>
        <w:trPr>
          <w:trHeight w:val="216"/>
        </w:trPr>
        <w:tc>
          <w:tcPr>
            <w:tcW w:w="2920" w:type="dxa"/>
            <w:vAlign w:val="bottom"/>
          </w:tcPr>
          <w:p>
            <w:pPr>
              <w:spacing w:after="0"/>
              <w:rPr>
                <w:sz w:val="18"/>
                <w:szCs w:val="18"/>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0"/>
              </w:rPr>
              <w:t>independent underwriter” is not necessary in connection with this offering as the Notes</w:t>
            </w:r>
          </w:p>
        </w:tc>
      </w:tr>
      <w:tr>
        <w:trPr>
          <w:trHeight w:val="230"/>
        </w:trPr>
        <w:tc>
          <w:tcPr>
            <w:tcW w:w="2920" w:type="dxa"/>
            <w:vAlign w:val="bottom"/>
          </w:tcPr>
          <w:p>
            <w:pPr>
              <w:spacing w:after="0"/>
              <w:rPr>
                <w:sz w:val="20"/>
                <w:szCs w:val="20"/>
                <w:color w:val="auto"/>
              </w:rPr>
            </w:pP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9"/>
              </w:rPr>
              <w:t>are investment grade-rated securities. See “Underwriting; Conflicts of Interest.”</w:t>
            </w:r>
          </w:p>
        </w:tc>
      </w:tr>
      <w:tr>
        <w:trPr>
          <w:trHeight w:val="324"/>
        </w:trPr>
        <w:tc>
          <w:tcPr>
            <w:tcW w:w="2920" w:type="dxa"/>
            <w:vAlign w:val="bottom"/>
          </w:tcPr>
          <w:p>
            <w:pPr>
              <w:spacing w:after="0"/>
              <w:rPr>
                <w:sz w:val="20"/>
                <w:szCs w:val="20"/>
                <w:color w:val="auto"/>
              </w:rPr>
            </w:pPr>
            <w:r>
              <w:rPr>
                <w:rFonts w:ascii="Arial" w:cs="Arial" w:eastAsia="Arial" w:hAnsi="Arial"/>
                <w:sz w:val="18"/>
                <w:szCs w:val="18"/>
                <w:color w:val="auto"/>
              </w:rPr>
              <w:t>Certain Covenants</w:t>
            </w:r>
          </w:p>
        </w:tc>
        <w:tc>
          <w:tcPr>
            <w:tcW w:w="7720" w:type="dxa"/>
            <w:vAlign w:val="bottom"/>
            <w:gridSpan w:val="2"/>
          </w:tcPr>
          <w:p>
            <w:pPr>
              <w:ind w:left="1460"/>
              <w:spacing w:after="0"/>
              <w:rPr>
                <w:sz w:val="20"/>
                <w:szCs w:val="20"/>
                <w:color w:val="auto"/>
              </w:rPr>
            </w:pPr>
            <w:r>
              <w:rPr>
                <w:rFonts w:ascii="Arial" w:cs="Arial" w:eastAsia="Arial" w:hAnsi="Arial"/>
                <w:sz w:val="18"/>
                <w:szCs w:val="18"/>
                <w:color w:val="auto"/>
                <w:w w:val="95"/>
              </w:rPr>
              <w:t>The indenture governing the Notes (the “Indenture”) will contain covenants limiting</w:t>
            </w:r>
          </w:p>
        </w:tc>
      </w:tr>
    </w:tbl>
    <w:p>
      <w:pPr>
        <w:ind w:left="4680" w:right="580"/>
        <w:spacing w:after="0" w:line="260" w:lineRule="auto"/>
        <w:rPr>
          <w:sz w:val="20"/>
          <w:szCs w:val="20"/>
          <w:color w:val="auto"/>
        </w:rPr>
      </w:pPr>
      <w:r>
        <w:rPr>
          <w:rFonts w:ascii="Arial" w:cs="Arial" w:eastAsia="Arial" w:hAnsi="Arial"/>
          <w:sz w:val="18"/>
          <w:szCs w:val="18"/>
          <w:color w:val="auto"/>
        </w:rPr>
        <w:t>our ability, the ability of our Guarantors, if any, and the ability of our restricted subsidiaries to, among other things:</w:t>
      </w:r>
    </w:p>
    <w:p>
      <w:pPr>
        <w:spacing w:after="0" w:line="91" w:lineRule="exact"/>
        <w:rPr>
          <w:sz w:val="20"/>
          <w:szCs w:val="20"/>
          <w:color w:val="auto"/>
        </w:rPr>
      </w:pPr>
    </w:p>
    <w:p>
      <w:pPr>
        <w:ind w:left="5120"/>
        <w:spacing w:after="0"/>
        <w:rPr>
          <w:sz w:val="20"/>
          <w:szCs w:val="20"/>
          <w:color w:val="auto"/>
        </w:rPr>
      </w:pPr>
      <w:r>
        <w:rPr>
          <w:rFonts w:ascii="Arial" w:cs="Arial" w:eastAsia="Arial" w:hAnsi="Arial"/>
          <w:sz w:val="18"/>
          <w:szCs w:val="18"/>
          <w:color w:val="auto"/>
        </w:rPr>
        <w:t>•  create certain liens;</w:t>
      </w:r>
    </w:p>
    <w:p>
      <w:pPr>
        <w:spacing w:after="0" w:line="131" w:lineRule="exact"/>
        <w:rPr>
          <w:sz w:val="20"/>
          <w:szCs w:val="20"/>
          <w:color w:val="auto"/>
        </w:rPr>
      </w:pPr>
    </w:p>
    <w:p>
      <w:pPr>
        <w:ind w:left="5120"/>
        <w:spacing w:after="0"/>
        <w:rPr>
          <w:sz w:val="20"/>
          <w:szCs w:val="20"/>
          <w:color w:val="auto"/>
        </w:rPr>
      </w:pPr>
      <w:r>
        <w:rPr>
          <w:rFonts w:ascii="Arial" w:cs="Arial" w:eastAsia="Arial" w:hAnsi="Arial"/>
          <w:sz w:val="18"/>
          <w:szCs w:val="18"/>
          <w:color w:val="auto"/>
        </w:rPr>
        <w:t>•  enter into certain sale and leaseback transactions; and</w:t>
      </w:r>
    </w:p>
    <w:p>
      <w:pPr>
        <w:spacing w:after="0" w:line="131" w:lineRule="exact"/>
        <w:rPr>
          <w:sz w:val="20"/>
          <w:szCs w:val="20"/>
          <w:color w:val="auto"/>
        </w:rPr>
      </w:pPr>
    </w:p>
    <w:p>
      <w:pPr>
        <w:ind w:left="5400" w:right="80" w:hanging="269"/>
        <w:spacing w:after="0" w:line="277" w:lineRule="auto"/>
        <w:rPr>
          <w:sz w:val="20"/>
          <w:szCs w:val="20"/>
          <w:color w:val="auto"/>
        </w:rPr>
      </w:pPr>
      <w:r>
        <w:rPr>
          <w:rFonts w:ascii="Arial" w:cs="Arial" w:eastAsia="Arial" w:hAnsi="Arial"/>
          <w:sz w:val="18"/>
          <w:szCs w:val="18"/>
          <w:color w:val="auto"/>
        </w:rPr>
        <w:t>•  with respect to us, consolidate or merge with, or convey, transfer or lease all or substantially all of our assets to, another person.</w:t>
      </w:r>
    </w:p>
    <w:p>
      <w:pPr>
        <w:spacing w:after="0" w:line="76" w:lineRule="exact"/>
        <w:rPr>
          <w:sz w:val="20"/>
          <w:szCs w:val="20"/>
          <w:color w:val="auto"/>
        </w:rPr>
      </w:pPr>
    </w:p>
    <w:p>
      <w:pPr>
        <w:ind w:left="4680" w:right="20"/>
        <w:spacing w:after="0" w:line="286" w:lineRule="auto"/>
        <w:rPr>
          <w:sz w:val="20"/>
          <w:szCs w:val="20"/>
          <w:color w:val="auto"/>
        </w:rPr>
      </w:pPr>
      <w:r>
        <w:rPr>
          <w:rFonts w:ascii="Arial" w:cs="Arial" w:eastAsia="Arial" w:hAnsi="Arial"/>
          <w:sz w:val="17"/>
          <w:szCs w:val="17"/>
          <w:color w:val="auto"/>
        </w:rPr>
        <w:t>However, each of these covenants is subject to a number of significant exceptions. See “Description of Notes—Certain Covenants” in this prospectus supplement and “Description of Debt Securities—Covenants” in the accompanying prospectus.</w:t>
      </w:r>
    </w:p>
    <w:p>
      <w:pPr>
        <w:spacing w:after="0" w:line="28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S-3</w:t>
      </w:r>
    </w:p>
    <w:p>
      <w:pPr>
        <w:sectPr>
          <w:pgSz w:w="11900" w:h="16838" w:orient="portrait"/>
          <w:cols w:equalWidth="0" w:num="1">
            <w:col w:w="10940"/>
          </w:cols>
          <w:pgMar w:left="320" w:top="459" w:right="6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394"/>
        </w:trPr>
        <w:tc>
          <w:tcPr>
            <w:tcW w:w="3680" w:type="dxa"/>
            <w:vAlign w:val="bottom"/>
            <w:tcBorders>
              <w:top w:val="single" w:sz="8" w:color="auto"/>
              <w:left w:val="single" w:sz="8" w:color="auto"/>
            </w:tcBorders>
          </w:tcPr>
          <w:p>
            <w:pPr>
              <w:spacing w:after="0"/>
              <w:rPr>
                <w:sz w:val="24"/>
                <w:szCs w:val="24"/>
                <w:color w:val="auto"/>
              </w:rPr>
            </w:pPr>
          </w:p>
        </w:tc>
        <w:tc>
          <w:tcPr>
            <w:tcW w:w="7340" w:type="dxa"/>
            <w:vAlign w:val="bottom"/>
            <w:tcBorders>
              <w:top w:val="single" w:sz="8" w:color="auto"/>
              <w:right w:val="single" w:sz="8" w:color="auto"/>
            </w:tcBorders>
          </w:tcPr>
          <w:p>
            <w:pPr>
              <w:ind w:left="880"/>
              <w:spacing w:after="0"/>
              <w:rPr>
                <w:sz w:val="20"/>
                <w:szCs w:val="20"/>
                <w:color w:val="auto"/>
              </w:rPr>
            </w:pPr>
            <w:r>
              <w:rPr>
                <w:rFonts w:ascii="Arial" w:cs="Arial" w:eastAsia="Arial" w:hAnsi="Arial"/>
                <w:sz w:val="18"/>
                <w:szCs w:val="18"/>
                <w:color w:val="auto"/>
                <w:w w:val="98"/>
              </w:rPr>
              <w:t>Exceptions to these covenants will allow us and our subsidiaries to incur liens with</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respect to certain of our assets.</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Form and Minimum Denominations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5"/>
              </w:rPr>
              <w:t>The Notes will be represented by one or more global notes registered in the name of</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6"/>
              </w:rPr>
              <w:t>the nominee of DTC. The Notes will be issued in minimum denominations of $2,000</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and integral multiples of $1,000 in excess thereof.</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Further Issuances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9"/>
              </w:rPr>
              <w:t>We may, without the consent of existing holders of the applicable series of Notes,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3"/>
              </w:rPr>
              <w:t>create and issue additional notes ranking equally with such Notes (except for the issue</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date and, if applicable, the payment of interest accruing prior to the issue date of such</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additional notes and the first payment of interest following the issue date of such</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additional notes). Such additional notes may be consolidated and form a single series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 xml:space="preserve">with the applicable series of 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additional notes are not</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7"/>
              </w:rPr>
              <w:t>fungible with the outstanding Notes of the applicable series for U.S. federal income</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5"/>
              </w:rPr>
              <w:t>tax purposes, such additional notes will have one or more separate CUSIP numbers.</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Certain Covenants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The indenture governing the Notes (the “Indenture”) will contain covenants limiting</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our ability, the ability of our Guarantors, if any, and the ability of our restricted</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subsidiaries to, among other things:</w:t>
            </w:r>
          </w:p>
        </w:tc>
      </w:tr>
      <w:tr>
        <w:trPr>
          <w:trHeight w:val="324"/>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rPr>
              <w:t>•  create certain liens;</w:t>
            </w:r>
          </w:p>
        </w:tc>
      </w:tr>
      <w:tr>
        <w:trPr>
          <w:trHeight w:val="324"/>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rPr>
              <w:t>•  enter into certain sale and leaseback transactions; and</w:t>
            </w:r>
          </w:p>
        </w:tc>
      </w:tr>
      <w:tr>
        <w:trPr>
          <w:trHeight w:val="310"/>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w w:val="94"/>
              </w:rPr>
              <w:t>•  with respect to us, consolidate or merge with, or convey, transfer or lease all</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1600"/>
              <w:spacing w:after="0"/>
              <w:rPr>
                <w:sz w:val="20"/>
                <w:szCs w:val="20"/>
                <w:color w:val="auto"/>
              </w:rPr>
            </w:pPr>
            <w:r>
              <w:rPr>
                <w:rFonts w:ascii="Arial" w:cs="Arial" w:eastAsia="Arial" w:hAnsi="Arial"/>
                <w:sz w:val="18"/>
                <w:szCs w:val="18"/>
                <w:color w:val="auto"/>
              </w:rPr>
              <w:t>or substantially all of our assets to, another person.</w:t>
            </w:r>
          </w:p>
        </w:tc>
      </w:tr>
      <w:tr>
        <w:trPr>
          <w:trHeight w:val="310"/>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2"/>
              </w:rPr>
              <w:t>However, each of these covenants is subject to a number of significant exceptions. See</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Notes—Certain Covenants” in this prospectus supplement and</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Debt Securities—Covenants” in the accompanying prospectus.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Exceptions to these covenants will allow us and our subsidiaries to incur liens with</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respect to certain of our assets.</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No Public Market</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We have not applied and do not intend to apply for listing of the Notes on any national</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6"/>
              </w:rPr>
              <w:t>securities exchange or for inclusion of the Notes on any automated dealer quotation</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system.</w:t>
            </w:r>
          </w:p>
        </w:tc>
      </w:tr>
      <w:tr>
        <w:trPr>
          <w:trHeight w:val="324"/>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Trustee</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9"/>
              </w:rPr>
              <w:t>The trustee for the Notes will be U.S. Bank Trust Company, National Association.</w:t>
            </w:r>
          </w:p>
        </w:tc>
      </w:tr>
      <w:tr>
        <w:trPr>
          <w:trHeight w:val="324"/>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Governing Law</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State of New York.</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Risk Factors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You should carefully consider the risks discussed under “Risk Factors” in this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prospectus supplement, our Annual Report on Form 10-K for the fiscal year ended</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9"/>
              </w:rPr>
              <w:t>January 28, 2023 and our Quarterly Reports on Form 10-Q for the periods ended</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April 29, 2023 and July 29, 2023, as well as the other information included or</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incorporated by reference in this prospectus supplement and the accompanying</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3"/>
              </w:rPr>
              <w:t>prospectus, before deciding whether to invest in the Notes. See “Where You Can Find</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More Information” and “Documents Incorporated by Reference.”</w:t>
            </w:r>
          </w:p>
        </w:tc>
      </w:tr>
      <w:tr>
        <w:trPr>
          <w:trHeight w:val="159"/>
        </w:trPr>
        <w:tc>
          <w:tcPr>
            <w:tcW w:w="3680" w:type="dxa"/>
            <w:vAlign w:val="bottom"/>
            <w:tcBorders>
              <w:left w:val="single" w:sz="8" w:color="auto"/>
              <w:bottom w:val="single" w:sz="8" w:color="auto"/>
            </w:tcBorders>
          </w:tcPr>
          <w:p>
            <w:pPr>
              <w:spacing w:after="0"/>
              <w:rPr>
                <w:sz w:val="13"/>
                <w:szCs w:val="13"/>
                <w:color w:val="auto"/>
              </w:rPr>
            </w:pPr>
          </w:p>
        </w:tc>
        <w:tc>
          <w:tcPr>
            <w:tcW w:w="7340" w:type="dxa"/>
            <w:vAlign w:val="bottom"/>
            <w:tcBorders>
              <w:bottom w:val="single" w:sz="8" w:color="auto"/>
              <w:right w:val="single" w:sz="8" w:color="auto"/>
            </w:tcBorders>
          </w:tcPr>
          <w:p>
            <w:pPr>
              <w:spacing w:after="0"/>
              <w:rPr>
                <w:sz w:val="13"/>
                <w:szCs w:val="13"/>
                <w:color w:val="auto"/>
              </w:rPr>
            </w:pPr>
          </w:p>
        </w:tc>
      </w:tr>
      <w:tr>
        <w:trPr>
          <w:trHeight w:val="361"/>
        </w:trPr>
        <w:tc>
          <w:tcPr>
            <w:tcW w:w="3680" w:type="dxa"/>
            <w:vAlign w:val="bottom"/>
          </w:tcPr>
          <w:p>
            <w:pPr>
              <w:spacing w:after="0"/>
              <w:rPr>
                <w:sz w:val="24"/>
                <w:szCs w:val="24"/>
                <w:color w:val="auto"/>
              </w:rPr>
            </w:pPr>
          </w:p>
        </w:tc>
        <w:tc>
          <w:tcPr>
            <w:tcW w:w="7340" w:type="dxa"/>
            <w:vAlign w:val="bottom"/>
          </w:tcPr>
          <w:p>
            <w:pPr>
              <w:ind w:left="1700"/>
              <w:spacing w:after="0"/>
              <w:rPr>
                <w:sz w:val="20"/>
                <w:szCs w:val="20"/>
                <w:color w:val="auto"/>
              </w:rPr>
            </w:pPr>
            <w:r>
              <w:rPr>
                <w:rFonts w:ascii="Arial" w:cs="Arial" w:eastAsia="Arial" w:hAnsi="Arial"/>
                <w:sz w:val="18"/>
                <w:szCs w:val="18"/>
                <w:color w:val="auto"/>
              </w:rPr>
              <w:t>S-4</w:t>
            </w:r>
          </w:p>
        </w:tc>
      </w:tr>
    </w:tbl>
    <w:p>
      <w:pPr>
        <w:sectPr>
          <w:pgSz w:w="11900" w:h="16838" w:orient="portrait"/>
          <w:cols w:equalWidth="0" w:num="1">
            <w:col w:w="11140"/>
          </w:cols>
          <w:pgMar w:left="320" w:top="459" w:right="4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i w:val="1"/>
          <w:iCs w:val="1"/>
          <w:color w:val="auto"/>
        </w:rPr>
        <w:t>Investing in the Notes involves risks. You should consider carefully the risks set forth in this section and in our Annual Report on Form 10-K for the fiscal year ended January 28, 2023 and our Quarterly Reports on Form 10-Q for the periods ended April 29, 2023 and July 29, 2023, each of which is on file with the SEC and is incorporated by reference into this prospectus supplement, before deciding whether to invest in the Notes. You also should read and consider all the other information included or incorporated by reference in this prospectus supplement and the accompanying prospectus, including our consolidated financial statements. See “Where You Can Find More Information” and “Documents Incorporated by Reference.”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this Offering and the Notes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Notes will be structurally subordinated to the liabilities of our subsidiaries.</w:t>
      </w:r>
    </w:p>
    <w:p>
      <w:pPr>
        <w:spacing w:after="0" w:line="117" w:lineRule="exact"/>
        <w:rPr>
          <w:sz w:val="20"/>
          <w:szCs w:val="20"/>
          <w:color w:val="auto"/>
        </w:rPr>
      </w:pPr>
    </w:p>
    <w:p>
      <w:pPr>
        <w:ind w:left="120" w:right="100" w:firstLine="440"/>
        <w:spacing w:after="0" w:line="254" w:lineRule="auto"/>
        <w:rPr>
          <w:sz w:val="20"/>
          <w:szCs w:val="20"/>
          <w:color w:val="auto"/>
        </w:rPr>
      </w:pPr>
      <w:r>
        <w:rPr>
          <w:rFonts w:ascii="Arial" w:cs="Arial" w:eastAsia="Arial" w:hAnsi="Arial"/>
          <w:sz w:val="18"/>
          <w:szCs w:val="18"/>
          <w:color w:val="auto"/>
        </w:rPr>
        <w:t>A significant portion of our operations is conducted through our subsidiaries. Our subsidiaries are separate legal entities that will have no obligation to pay any amounts due under the Notes or to make any funds available therefor, whether by dividends, loans or other payments. Except to the extent we are a creditor with recognized claims against our subsidiaries, all claims of creditors (including trade creditors) and holders of preferred stock, if any, of our subsidiaries will have priority with respect to the assets of such subsidiaries over our claims (and therefore the claims of our creditors, including holders of the Notes). In addition, the Indenture will allow our subsidiaries to incur an unlimited amount of indebtedness. Consequently, the Notes will be effectively subordinated to all existing and future liabilities of any of our subsidiaries and any subsidiaries that we may in the future acquire or establish, and the Indenture will not restrict the ability of our subsidiaries to incur indebtedness that would be structurally senior to the Notes.</w:t>
      </w:r>
    </w:p>
    <w:p>
      <w:pPr>
        <w:spacing w:after="0" w:line="19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None of our subsidiaries will initially guarantee the Notes. In the future, however, any of our existing or future domestic subsidiaries that becomes a borrower or guarantor under the Revolving Credit Agreement or the 2024 and 2026 Term Loan Agreement will be required, jointly and severally, to fully and unconditionally guarantee the Notes on a senior, unsecured basis. Such guarantees (the “Guarantees”), if any, will be general, senior, unsecured obligations of each guarantor of the Notes (each, a “Guarantor”) that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subsidiaries (other than indebtedness and liabilities owed to such Guarantor, if any).</w:t>
      </w:r>
    </w:p>
    <w:p>
      <w:pPr>
        <w:spacing w:after="0" w:line="286"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The Notes are subject to prior claims of any secured creditors and, if a default occurs, we may not have sufficient funds to fulfill our obligations under the Notes.</w:t>
      </w:r>
    </w:p>
    <w:p>
      <w:pPr>
        <w:spacing w:after="0" w:line="62"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The Indenture will permit us and our subsidiaries to incur additional debt, including secured debt, subject to certain exceptions. If we incur any secured debt, our assets will be subject to prior claims by our secured creditors. In the event of our bankruptcy, liquidation, reorganization or other winding up, assets that secure debt will be available to pay obligations on the Notes only after all debt secured by those assets has been repaid in full. Holders of the Notes will participate in our remaining assets ratably with all of our unsecured and senior creditors, including our trade creditors. If we incur any additional obligations that rank equally with the Notes, including trade payables, the holders of those obligations will be entitled to share ratably with the holders of the Notes and the holders of our previously issued general, senior, unsecured obligations in any proceeds distributed upon our insolvency, liquidation, reorganization, dissolution or other winding up. This may have the effect of reducing the amount of proceeds paid to the holders of the Notes. If there are not sufficient assets remaining to pay all these creditors, all or a portion of the Notes then outstanding would remain unpaid.</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S-5</w:t>
      </w:r>
    </w:p>
    <w:p>
      <w:pPr>
        <w:sectPr>
          <w:pgSz w:w="11900" w:h="16838" w:orient="portrait"/>
          <w:cols w:equalWidth="0" w:num="1">
            <w:col w:w="11120"/>
          </w:cols>
          <w:pgMar w:left="320" w:top="459" w:right="45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 and further restrict our activities.</w:t>
      </w:r>
    </w:p>
    <w:p>
      <w:pPr>
        <w:spacing w:after="0" w:line="62"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As of July 29, 2023, we had $4.18 billion of indebtedness outstanding and $800.0 million of unused borrowing capacity under our credit facilities. We may incur additional debt in the future, including by borrowing under our existing credit facilities, and our future levels of indebtedness may adversely affect our financial condition and financial results by, among other things:</w:t>
      </w:r>
    </w:p>
    <w:p>
      <w:pPr>
        <w:spacing w:after="0" w:line="89" w:lineRule="exact"/>
        <w:rPr>
          <w:sz w:val="20"/>
          <w:szCs w:val="20"/>
          <w:color w:val="auto"/>
        </w:rPr>
      </w:pPr>
    </w:p>
    <w:p>
      <w:pPr>
        <w:ind w:left="1540" w:hanging="331"/>
        <w:spacing w:after="0"/>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jc w:val="both"/>
        <w:ind w:left="1540" w:hanging="331"/>
        <w:spacing w:after="0" w:line="263" w:lineRule="auto"/>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our competitive conditions and our industry.</w:t>
      </w:r>
    </w:p>
    <w:p>
      <w:pPr>
        <w:spacing w:after="0" w:line="225"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for long-term debt, which may increase our indebtedness and result in additional restrictions upon our business.</w:t>
      </w:r>
    </w:p>
    <w:p>
      <w:pPr>
        <w:spacing w:after="0" w:line="170"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We will be required to comply with the covenants set forth in the Indenture. Our ability to comply with these covenants may be affected by events beyond our control. If we breach any of the covenants and do not obtain a waiver from the holders of the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Notes.</w:t>
      </w:r>
    </w:p>
    <w:p>
      <w:pPr>
        <w:spacing w:after="0" w:line="117"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our indebtedness, including the Notes. However,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funds on terms acceptable to us, if at all.</w:t>
      </w:r>
    </w:p>
    <w:p>
      <w:pPr>
        <w:spacing w:after="0" w:line="273"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The Indenture will not contain financial covenants and only provides limited protection against significant corporate events and other actions we may take that could adversely impact your investment in the Notes.</w:t>
      </w:r>
    </w:p>
    <w:p>
      <w:pPr>
        <w:spacing w:after="0" w:line="62"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While the Indenture will contain terms intended to provide protection to the holders of the Notes upon the occurrence of certain events involving significant corporate transactions, such terms are limited and may not be sufficient to protect your investment in the Notes. For example, among other things, the Indenture will not contain covenants designed to afford holders of the Notes any protections in the event of a highly leveraged transaction involving us that may adversely affect holders of the Notes except to the limited extent provided under “Description of Notes—Purchase of Notes upon a Change of Control Repurchase Event.”</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S-6</w:t>
      </w:r>
    </w:p>
    <w:p>
      <w:pPr>
        <w:sectPr>
          <w:pgSz w:w="11900" w:h="16838" w:orient="portrait"/>
          <w:cols w:equalWidth="0" w:num="1">
            <w:col w:w="11100"/>
          </w:cols>
          <w:pgMar w:left="320" w:top="459" w:right="47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Additionally, the Indenture will not:</w:t>
      </w:r>
    </w:p>
    <w:p>
      <w:pPr>
        <w:spacing w:after="0" w:line="131" w:lineRule="exact"/>
        <w:rPr>
          <w:sz w:val="20"/>
          <w:szCs w:val="20"/>
          <w:color w:val="auto"/>
        </w:rPr>
      </w:pPr>
    </w:p>
    <w:p>
      <w:pPr>
        <w:jc w:val="both"/>
        <w:ind w:left="1540" w:right="140" w:hanging="331"/>
        <w:spacing w:after="0" w:line="263"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require us to maintain any financial ratios or specific levels of net worth, revenues, income, cash flow or liquidity and, accordingly, does not protect holders of the Notes in the event we experience significant adverse changes in our financial condition or results of operations;</w:t>
      </w:r>
    </w:p>
    <w:p>
      <w:pPr>
        <w:spacing w:after="0" w:line="89" w:lineRule="exact"/>
        <w:rPr>
          <w:rFonts w:ascii="Arial" w:cs="Arial" w:eastAsia="Arial" w:hAnsi="Arial"/>
          <w:sz w:val="18"/>
          <w:szCs w:val="18"/>
          <w:color w:val="auto"/>
        </w:rPr>
      </w:pPr>
    </w:p>
    <w:p>
      <w:pPr>
        <w:ind w:left="1540" w:right="60" w:hanging="331"/>
        <w:spacing w:after="0" w:line="277"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subject to certain exceptions, restrict our subsidiaries’ ability to issue securities or otherwise incur indebtedness that would be senior to our equity interests in our subsidiaries and therefore rank effectively senior to the Notes;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 or</w:t>
      </w:r>
    </w:p>
    <w:p>
      <w:pPr>
        <w:spacing w:after="0" w:line="130" w:lineRule="exact"/>
        <w:rPr>
          <w:rFonts w:ascii="Arial" w:cs="Arial" w:eastAsia="Arial" w:hAnsi="Arial"/>
          <w:sz w:val="18"/>
          <w:szCs w:val="18"/>
          <w:color w:val="auto"/>
        </w:rPr>
      </w:pPr>
    </w:p>
    <w:p>
      <w:pPr>
        <w:ind w:left="1540" w:right="40" w:hanging="331"/>
        <w:spacing w:after="0" w:line="277"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stock or other securities ranking junior to the Notes.</w:t>
      </w:r>
    </w:p>
    <w:p>
      <w:pPr>
        <w:spacing w:after="0" w:line="170"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As a result of the foregoing, when evaluating the terms of the Notes, you should be aware that the terms of the Indenture and the Notes do not restrict our ability to engage in, or to otherwise be a party to, a variety of corporate transactions, circumstances and events, including highly leveraged transactions, that could have an adverse impact on your investment in the Notes.</w:t>
      </w:r>
    </w:p>
    <w:p>
      <w:pPr>
        <w:spacing w:after="0" w:line="292"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will be subject to limitations, qualifications and exceptions and, as a result, will have a limited effect and may not protect your investment in the Notes.</w:t>
      </w:r>
    </w:p>
    <w:p>
      <w:pPr>
        <w:spacing w:after="0" w:line="62" w:lineRule="exact"/>
        <w:rPr>
          <w:sz w:val="20"/>
          <w:szCs w:val="20"/>
          <w:color w:val="auto"/>
        </w:rPr>
      </w:pPr>
    </w:p>
    <w:p>
      <w:pPr>
        <w:ind w:left="120" w:firstLine="440"/>
        <w:spacing w:after="0" w:line="267" w:lineRule="auto"/>
        <w:rPr>
          <w:sz w:val="20"/>
          <w:szCs w:val="20"/>
          <w:color w:val="auto"/>
        </w:rPr>
      </w:pPr>
      <w:r>
        <w:rPr>
          <w:rFonts w:ascii="Arial" w:cs="Arial" w:eastAsia="Arial" w:hAnsi="Arial"/>
          <w:sz w:val="17"/>
          <w:szCs w:val="17"/>
          <w:color w:val="auto"/>
        </w:rPr>
        <w:t>The Indenture will contain covenants limiting our ability and the ability of our restricted subsidiaries to create certain liens, enter into certain sale and leaseback transactions and, with respect to us, consolidate or merge with, or sell, assign, convey, lease, transfer or otherwise dispose of all or substantially all our assets, taken as a whole, to another person. However, the covenants limiting liens and sale and leaseback transactions will be of limited scope and will contain exceptions that will allow us and our restricted subsidiaries to incur liens with respect to certain of our material assets. Only our subsidiaries that have substantially all of their property located, or substantially all of their business conducted, in the United States will be deemed restricted subsidiaries that are subject to the aforementioned covenants. Moreover, the Indenture will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will apply only to a subset of our assets and will not apply to any of our intellectual property, which constitutes a significant portion of our material assets. As of the date of this prospectus supplement, we and our subsidiaries only have a limited amount of assets that are subject to the scope of the covenants limiting liens and sale and leaseback transactions. In addition, the limitation on liens covenant will not prohibit us or our restricted subsidiaries from securing future indebtedness with pledges of the capital stock of foreign subsidiaries that conduct substantially all of our business operations (or the capital stock of any United States subsidiaries owned by unrestricted subsidiaries) without equally and ratably securing the Notes. As a result, the negative covenants in the Indenture will have a limited effect on our ability and the ability of our restricted subsidiaries to incur new secured indebtedness that would be effectively senior to the Notes to the extent of the value of the collateral pledged to secure such indebtedness. In addition, the covenant limiting sale and leaseback transactions will contain an exception that will allow us to consummate a sale and leaseback of our Santa Clara, California campus, which is our only material piece of real property located in the United States. In light of these exceptions and other factors described above, the negative covenants in the Indenture will have a limited effect and may not protect your investment in the Notes. See “Description of Notes— Certain Covenants” in this prospectus supplement and “Description of Debt Securities—Covenants—Consolidation, Merger and Sale of Assets” in the accompanying prospectus.</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S-7</w:t>
      </w:r>
    </w:p>
    <w:p>
      <w:pPr>
        <w:sectPr>
          <w:pgSz w:w="11900" w:h="16838" w:orient="portrait"/>
          <w:cols w:equalWidth="0" w:num="1">
            <w:col w:w="11120"/>
          </w:cols>
          <w:pgMar w:left="320" w:top="459" w:right="459" w:bottom="1440" w:gutter="0" w:footer="0" w:header="0"/>
        </w:sectPr>
      </w:pPr>
    </w:p>
    <w:bookmarkStart w:id="13" w:name="page14"/>
    <w:bookmarkEnd w:id="1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b w:val="1"/>
          <w:bCs w:val="1"/>
          <w:i w:val="1"/>
          <w:iCs w:val="1"/>
          <w:color w:val="auto"/>
        </w:rPr>
        <w:t>There may not be any trading market for the Notes and we cannot assure you that an active trading market will develop for the Notes.</w:t>
      </w:r>
    </w:p>
    <w:p>
      <w:pPr>
        <w:spacing w:after="0" w:line="1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Notes will be new issues of securities and, upon issuance, neither series of the Notes will have an established trading market. We have not and do not intend to apply for listing or quotation of the Notes on any securities exchange or on any automated quotation system. We cannot assure you a trading market for the Notes will ever develop or, if developed, be maintained. Furthermore, we cannot assure you as to the liquidity of any trading market that may develop for the Notes, whether you will be able to sell the Notes, or the prices at which you may be able to sell the Notes. The prices at which the Notes may trade will depend on many factors, including, but not limited to, prevailing interest rates, general economic conditions, our performance and financial results and markets for similar securities. Historically, the markets for debt such as the Notes have been subject to disruptions that have caused substantial volatility in their prices. The market, if any, for the Notes may be subject to similar disruptions that may have an adverse effect on the holders of the Notes.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market prices of the Notes may be volatile.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market prices of the Notes will depend on many factors, including, but not limited to, the following:</w:t>
      </w:r>
    </w:p>
    <w:p>
      <w:pPr>
        <w:spacing w:after="0" w:line="131" w:lineRule="exact"/>
        <w:rPr>
          <w:sz w:val="20"/>
          <w:szCs w:val="20"/>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time remaining until maturity of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redemption of the Notes by us pursuant to the terms of the Indenture and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results of operations, financial condition and prospects;</w:t>
      </w:r>
    </w:p>
    <w:p>
      <w:pPr>
        <w:spacing w:after="0" w:line="130" w:lineRule="exact"/>
        <w:rPr>
          <w:rFonts w:ascii="Arial" w:cs="Arial" w:eastAsia="Arial" w:hAnsi="Arial"/>
          <w:sz w:val="18"/>
          <w:szCs w:val="18"/>
          <w:color w:val="auto"/>
        </w:rPr>
      </w:pPr>
    </w:p>
    <w:p>
      <w:pPr>
        <w:ind w:left="1540" w:right="80" w:hanging="331"/>
        <w:spacing w:after="0" w:line="277" w:lineRule="auto"/>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volatility and cyclicality in the technology sector and semiconductor industry; and</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Notes. In particular, all other factors being constant, an increase in prevailing interest rates will cause the market price of the Notes to decline.</w:t>
      </w:r>
    </w:p>
    <w:p>
      <w:pPr>
        <w:spacing w:after="0" w:line="184" w:lineRule="exact"/>
        <w:rPr>
          <w:sz w:val="20"/>
          <w:szCs w:val="20"/>
          <w:color w:val="auto"/>
        </w:rPr>
      </w:pPr>
    </w:p>
    <w:p>
      <w:pPr>
        <w:ind w:left="120" w:right="240" w:firstLine="440"/>
        <w:spacing w:after="0" w:line="308" w:lineRule="auto"/>
        <w:rPr>
          <w:sz w:val="20"/>
          <w:szCs w:val="20"/>
          <w:color w:val="auto"/>
        </w:rPr>
      </w:pPr>
      <w:r>
        <w:rPr>
          <w:rFonts w:ascii="Arial" w:cs="Arial" w:eastAsia="Arial" w:hAnsi="Arial"/>
          <w:sz w:val="17"/>
          <w:szCs w:val="17"/>
          <w:color w:val="auto"/>
        </w:rPr>
        <w:t>Furthermore, rating agencies continually review the credit ratings they have assigned to companies and debt securities. Negative changes in the credit ratings assigned to us or our debt securities would likely have an adverse effect on the market prices of the Notes.</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Notes.</w:t>
      </w:r>
    </w:p>
    <w:p>
      <w:pPr>
        <w:spacing w:after="0" w:line="117" w:lineRule="exact"/>
        <w:rPr>
          <w:sz w:val="20"/>
          <w:szCs w:val="20"/>
          <w:color w:val="auto"/>
        </w:rPr>
      </w:pPr>
    </w:p>
    <w:p>
      <w:pPr>
        <w:ind w:left="120" w:right="180" w:firstLine="440"/>
        <w:spacing w:after="0" w:line="275" w:lineRule="auto"/>
        <w:rPr>
          <w:sz w:val="20"/>
          <w:szCs w:val="20"/>
          <w:color w:val="auto"/>
        </w:rPr>
      </w:pPr>
      <w:r>
        <w:rPr>
          <w:rFonts w:ascii="Arial" w:cs="Arial" w:eastAsia="Arial" w:hAnsi="Arial"/>
          <w:sz w:val="17"/>
          <w:szCs w:val="17"/>
          <w:color w:val="auto"/>
        </w:rPr>
        <w:t>Our credit ratings are an assessment by rating agencies of our ability to pay our debts when due only as of the time of such assessment. Consequently, real or anticipated changes in our credit ratings will generally affect the market value of the Notes. These credit ratings do not comment as to market price or suitability for a particular investor, are limited in scope and do not reflect the potential impact of all risks relating to the Notes. Agency credit ratings are not a recommendation to buy, sell or hold any security, and may be revised or withdrawn at any time by the issuing organization. Each agency’s rating should be evaluated independently of any other agency’s credit rating.</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S-8</w:t>
      </w:r>
    </w:p>
    <w:p>
      <w:pPr>
        <w:sectPr>
          <w:pgSz w:w="11900" w:h="16838" w:orient="portrait"/>
          <w:cols w:equalWidth="0" w:num="1">
            <w:col w:w="11120"/>
          </w:cols>
          <w:pgMar w:left="320" w:top="459" w:right="459" w:bottom="144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may adversely affect your return on the Notes.</w:t>
      </w:r>
    </w:p>
    <w:p>
      <w:pPr>
        <w:spacing w:after="0" w:line="117"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We have the right to redeem the Notes, in whole or in part, at any time and from time to time, prior to maturity. We may redeem the Notes at times when prevailing interest rates may be relatively low. Accordingly, you may not be able to reinvest the amount received upon a redemption in a comparable security at an effective interest rate as high as that of the Notes.</w:t>
      </w:r>
    </w:p>
    <w:p>
      <w:pPr>
        <w:spacing w:after="0" w:line="292" w:lineRule="exact"/>
        <w:rPr>
          <w:sz w:val="20"/>
          <w:szCs w:val="20"/>
          <w:color w:val="auto"/>
        </w:rPr>
      </w:pPr>
    </w:p>
    <w:p>
      <w:pPr>
        <w:ind w:left="120" w:right="70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relating to change of control transactions will not necessarily protect you in the event of a highly leveraged transaction.</w:t>
      </w:r>
    </w:p>
    <w:p>
      <w:pPr>
        <w:spacing w:after="0" w:line="62"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The provisions in the Indenture relating to change of control transactions will not necessarily afford you protection in the event of a highly leveraged transaction that may adversely affect you, including a 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Notes, following which the Notes are no longer rated “investment grade.” Except as described under “Description of Notes—Purchase of Notes upon a Change of Control Repurchase Event,” the Indenture will not contain provisions that permit the holders of the Notes to require us to repurchase the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Notes as a result of a sale, transfer, conveyance or other disposition of less than all of our assets to another individual, group or entity may be uncertain.</w:t>
      </w:r>
    </w:p>
    <w:p>
      <w:pPr>
        <w:spacing w:after="0" w:line="280"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Notes upon a change of control repurchase event, which would result in a default under the Notes and may constitute an event of default under our future indebtedness.</w:t>
      </w:r>
    </w:p>
    <w:p>
      <w:pPr>
        <w:spacing w:after="0" w:line="62"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will be required to repurchase the Notes at the option of each holder upon the occurrence of a change of control repurchase event as provided in the Indenture. However, we may not have sufficient funds to repurchase the Notes in cash at the time of any change of control repurchase event. In addition, our ability to repurchase the Notes for cash may be limited by law or the terms of other agreements relating to our indebtedness outstanding at the time. Accordingly, we may not be able to satisfy our obligations to repurchase your Notes unless we are able to refinance or obtain consents from the holders of such indebtedness. Our failure to repurchase your Notes at your option upon a change of control repurchase event would be an event of default under the Indenture and could cause a cross-default or acceleration under certain future agreements governing our other indebtedness.</w:t>
      </w:r>
    </w:p>
    <w:p>
      <w:pPr>
        <w:spacing w:after="0" w:line="272"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b w:val="1"/>
          <w:bCs w:val="1"/>
          <w:i w:val="1"/>
          <w:iCs w:val="1"/>
          <w:color w:val="auto"/>
        </w:rPr>
        <w:t>Federal and state fraudulent transfer laws may permit a court to void the Notes and any Guarantees thereto, subordinate claims in respect of the Notes and any Guarantees and require holders of the Notes to return payments received, and if that occurs, you may not receive any payments on the Notes.</w:t>
      </w:r>
    </w:p>
    <w:p>
      <w:pPr>
        <w:spacing w:after="0" w:line="76"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Federal and state fraudulent transfer laws may permit a court to void the Notes and any Guarantees thereto, subordinate claims in respect of the Notes and any Guarantees thereto and require holders of the Notes to return payments received. If that occurs, you may not receive any payments on the Notes. Federal and state fraudulent transfer and conveyance statutes may apply to the issuance of the Notes and any Guarantees thereto. Under federal bankruptcy law and comparable provisions of state fraudulent transfer or conveyance laws, which may vary from state to state, the Notes or any Guarantees thereto could be voided as a fraudulent transfer or conveyance if (i) we or any Guarantor, as applicable, issued the Notes or incurred such Guarantees with the intent of hindering, delaying or defrauding creditors or (ii) we or any Guarantor, as applicable, received less than</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S-9</w:t>
      </w:r>
    </w:p>
    <w:p>
      <w:pPr>
        <w:sectPr>
          <w:pgSz w:w="11900" w:h="16838" w:orient="portrait"/>
          <w:cols w:equalWidth="0" w:num="1">
            <w:col w:w="11120"/>
          </w:cols>
          <w:pgMar w:left="320" w:top="459" w:right="459" w:bottom="1440" w:gutter="0" w:footer="0" w:header="0"/>
        </w:sectPr>
      </w:pPr>
    </w:p>
    <w:bookmarkStart w:id="15" w:name="page16"/>
    <w:bookmarkEnd w:id="1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reasonably equivalent value or fair consideration in return for either issuing the Notes or incurring such Guarantees and, in the case of (ii) only, one of the following was also true at the time thereof:</w:t>
      </w:r>
    </w:p>
    <w:p>
      <w:pPr>
        <w:spacing w:after="0" w:line="76" w:lineRule="exact"/>
        <w:rPr>
          <w:sz w:val="20"/>
          <w:szCs w:val="20"/>
          <w:color w:val="auto"/>
        </w:rPr>
      </w:pPr>
    </w:p>
    <w:p>
      <w:pPr>
        <w:ind w:left="1540" w:right="160" w:hanging="331"/>
        <w:spacing w:after="0" w:line="277" w:lineRule="auto"/>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or any Guarantor, as applicable, were insolvent on the date of the issuance of the Notes or the incurrence of such Guarantees or rendered insolvent by reason of the issuance of the Notes or the incurrence of such Guarantees;</w:t>
      </w:r>
    </w:p>
    <w:p>
      <w:pPr>
        <w:spacing w:after="0" w:line="75" w:lineRule="exact"/>
        <w:rPr>
          <w:rFonts w:ascii="Arial" w:cs="Arial" w:eastAsia="Arial" w:hAnsi="Arial"/>
          <w:sz w:val="18"/>
          <w:szCs w:val="18"/>
          <w:color w:val="auto"/>
        </w:rPr>
      </w:pPr>
    </w:p>
    <w:p>
      <w:pPr>
        <w:ind w:left="1540" w:right="240" w:hanging="331"/>
        <w:spacing w:after="0" w:line="277" w:lineRule="auto"/>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issuance of the Notes or the incurrence of such Guarantees left us or any Guarantor, as applicable, with an unreasonably small amount of capital to carry on the business; or</w:t>
      </w:r>
    </w:p>
    <w:p>
      <w:pPr>
        <w:spacing w:after="0" w:line="75" w:lineRule="exact"/>
        <w:rPr>
          <w:rFonts w:ascii="Arial" w:cs="Arial" w:eastAsia="Arial" w:hAnsi="Arial"/>
          <w:sz w:val="18"/>
          <w:szCs w:val="18"/>
          <w:color w:val="auto"/>
        </w:rPr>
      </w:pPr>
    </w:p>
    <w:p>
      <w:pPr>
        <w:ind w:left="1540" w:right="20" w:hanging="331"/>
        <w:spacing w:after="0" w:line="277" w:lineRule="auto"/>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or any Guarantor intended to, or believed that we or such Guarantor would, incur debts beyond our or such Guarantor’s ability to pay such debts as they mature.</w:t>
      </w:r>
    </w:p>
    <w:p>
      <w:pPr>
        <w:spacing w:after="0" w:line="170" w:lineRule="exact"/>
        <w:rPr>
          <w:sz w:val="20"/>
          <w:szCs w:val="20"/>
          <w:color w:val="auto"/>
        </w:rPr>
      </w:pPr>
    </w:p>
    <w:p>
      <w:pPr>
        <w:ind w:left="120" w:right="120" w:firstLine="440"/>
        <w:spacing w:after="0" w:line="254" w:lineRule="auto"/>
        <w:rPr>
          <w:sz w:val="20"/>
          <w:szCs w:val="20"/>
          <w:color w:val="auto"/>
        </w:rPr>
      </w:pPr>
      <w:r>
        <w:rPr>
          <w:rFonts w:ascii="Arial" w:cs="Arial" w:eastAsia="Arial" w:hAnsi="Arial"/>
          <w:sz w:val="18"/>
          <w:szCs w:val="18"/>
          <w:color w:val="auto"/>
        </w:rPr>
        <w:t>Enforcement of any Guarantee of the Notes against any Guarantor will be subject to certain defenses available to Guarantors in the relevant jurisdiction. These laws and defenses generally include those that relate to corporate purpose or benefit, fraudulent conveyance or transfer, voidable preference, insolvency or bankruptcy challenges, financial assistance, preservation of share capital, thin capitalization, capital maintenance or similar laws, regulations or defenses affecting the rights of creditors generally. If one or more of these laws and defenses are applicable, a Guarantor may have no liability or decreased liability under its Guarantee depending on the amounts of its other obligations and applicable law. Limitations on the enforceability of judgments obtained in New York courts in such jurisdictions could also limit the enforceability of any Guarantee against any Guarantor.</w:t>
      </w:r>
    </w:p>
    <w:p>
      <w:pPr>
        <w:spacing w:after="0" w:line="195"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As a general matter, value is given for a transfer or an obligation if, in exchange for the transfer or obligation, property is transferred or a valid antecedent debt is secured or satisfied. A court could find that by virtue of the fact that the Notes were issued by us for its direct benefit, and only indirectly for any Guarantor’s benefit, that a Guarantor did not receive reasonably equivalent benefit directly or indirectly from the issuance of the Notes.</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We cannot be certain as to the standards that a court would use to determine whether or not we or any Guarantor were solvent at the relevant time or, regardless of the standard that a court uses, that the issuance of such Guarantee would not be subordinated to our or any Guarantor’s other debt. Generally, however, an entity would be considered insolvent if, at the time it incurred indebtedness:</w:t>
      </w:r>
    </w:p>
    <w:p>
      <w:pPr>
        <w:spacing w:after="0" w:line="89" w:lineRule="exact"/>
        <w:rPr>
          <w:sz w:val="20"/>
          <w:szCs w:val="20"/>
          <w:color w:val="auto"/>
        </w:rPr>
      </w:pPr>
    </w:p>
    <w:p>
      <w:pPr>
        <w:ind w:left="1540" w:hanging="331"/>
        <w:spacing w:after="0"/>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sum of its debts, including contingent liabilities, was greater than the fair value of all its assets;</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present fair saleable value of its assets was less than the amount that would be required to pay its probable liability on its existing debts, including contingent liabilities, as they become absolute and mature; or</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it could not pay its debts as they become due.</w:t>
      </w:r>
    </w:p>
    <w:p>
      <w:pPr>
        <w:spacing w:after="0" w:line="225"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If a court were to find that the issuance of the Notes or the incurrence of a Guarantee was a fraudulent transfer or conveyance, the court could void the payment obligations under the Notes or such Guarantee or subordinate the Notes or such Guarantee to our presently existing and future indebtedness or that of the related Guarantor, or require the holders of the Notes to repay any amounts received with respect to such Guarantee. In the event of a finding that a fraudulent transfer or conveyance occurred, you may not receive any repayment on the Notes (or any Guarantee thereto).</w:t>
      </w:r>
    </w:p>
    <w:p>
      <w:pPr>
        <w:spacing w:after="0" w:line="157" w:lineRule="exact"/>
        <w:rPr>
          <w:sz w:val="20"/>
          <w:szCs w:val="20"/>
          <w:color w:val="auto"/>
        </w:rPr>
      </w:pPr>
    </w:p>
    <w:p>
      <w:pPr>
        <w:ind w:left="120" w:right="20" w:firstLine="440"/>
        <w:spacing w:after="0" w:line="311" w:lineRule="auto"/>
        <w:rPr>
          <w:sz w:val="20"/>
          <w:szCs w:val="20"/>
          <w:color w:val="auto"/>
        </w:rPr>
      </w:pPr>
      <w:r>
        <w:rPr>
          <w:rFonts w:ascii="Arial" w:cs="Arial" w:eastAsia="Arial" w:hAnsi="Arial"/>
          <w:sz w:val="16"/>
          <w:szCs w:val="16"/>
          <w:color w:val="auto"/>
        </w:rPr>
        <w:t>Although any Guarantees will contain a provision intended to limit any Guarantor’s liability to the maximum amount that it could incur without causing the incurrence of obligations under any Guarantee to be a fraudulent transfer, this provision may not be effective to protect any Guarantees from being voided under fraudulent transfer law, or may reduce any Guarantor’s obligation to an amount that effectively makes its Guarantee worthless.</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S-10</w:t>
      </w:r>
    </w:p>
    <w:p>
      <w:pPr>
        <w:sectPr>
          <w:pgSz w:w="11900" w:h="16838" w:orient="portrait"/>
          <w:cols w:equalWidth="0" w:num="1">
            <w:col w:w="11100"/>
          </w:cols>
          <w:pgMar w:left="320" w:top="459" w:right="479" w:bottom="1440" w:gutter="0" w:footer="0" w:header="0"/>
        </w:sectPr>
      </w:pPr>
    </w:p>
    <w:bookmarkStart w:id="16" w:name="page17"/>
    <w:bookmarkEnd w:id="1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Furthermore, in the event that a bankruptcy case were to be commenced under the bankruptcy code, we could be subject to claims, with respect to any payments made within 90 days prior to the commencement of such a case, that we or any Guarantor were insolvent at the time any such payments were made and that all or a portion of such payments, which could include repayments of amounts due under the Notes or any Guarantee thereto, might be deemed to constitute a preference under the bankruptcy code, and that such payments should be voided by the bankruptcy court and recovered from the recipients for the benefit of the entire bankruptcy estate.</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S-11</w:t>
      </w:r>
    </w:p>
    <w:p>
      <w:pPr>
        <w:sectPr>
          <w:pgSz w:w="11900" w:h="16838" w:orient="portrait"/>
          <w:cols w:equalWidth="0" w:num="1">
            <w:col w:w="11060"/>
          </w:cols>
          <w:pgMar w:left="320" w:top="459" w:right="519" w:bottom="1440" w:gutter="0" w:footer="0" w:header="0"/>
        </w:sectPr>
      </w:pPr>
    </w:p>
    <w:bookmarkStart w:id="17" w:name="page18"/>
    <w:bookmarkEnd w:id="17"/>
    <w:tbl>
      <w:tblPr>
        <w:tblLayout w:type="fixed"/>
        <w:tblInd w:w="0" w:type="dxa"/>
        <w:tblCellMar>
          <w:top w:w="0" w:type="dxa"/>
          <w:left w:w="0" w:type="dxa"/>
          <w:bottom w:w="0" w:type="dxa"/>
          <w:right w:w="0" w:type="dxa"/>
        </w:tblCellMar>
      </w:tblPr>
      <w:tr>
        <w:trPr>
          <w:trHeight w:val="207"/>
        </w:trPr>
        <w:tc>
          <w:tcPr>
            <w:tcW w:w="9580" w:type="dxa"/>
            <w:vAlign w:val="bottom"/>
            <w:gridSpan w:val="2"/>
          </w:tcPr>
          <w:p>
            <w:pPr>
              <w:spacing w:after="0"/>
              <w:rPr>
                <w:sz w:val="20"/>
                <w:szCs w:val="20"/>
                <w:color w:val="auto"/>
              </w:rPr>
            </w:pPr>
            <w:r>
              <w:rPr>
                <w:rFonts w:ascii="Arial" w:cs="Arial" w:eastAsia="Arial" w:hAnsi="Arial"/>
                <w:sz w:val="18"/>
                <w:szCs w:val="18"/>
                <w:b w:val="1"/>
                <w:bCs w:val="1"/>
                <w:color w:val="0000EE"/>
              </w:rPr>
              <w:t>Table of Contents</w:t>
            </w:r>
          </w:p>
        </w:tc>
        <w:tc>
          <w:tcPr>
            <w:tcW w:w="1300" w:type="dxa"/>
            <w:vAlign w:val="bottom"/>
          </w:tcPr>
          <w:p>
            <w:pPr>
              <w:spacing w:after="0"/>
              <w:rPr>
                <w:sz w:val="17"/>
                <w:szCs w:val="17"/>
                <w:color w:val="auto"/>
              </w:rPr>
            </w:pPr>
          </w:p>
        </w:tc>
      </w:tr>
      <w:tr>
        <w:trPr>
          <w:trHeight w:val="534"/>
        </w:trPr>
        <w:tc>
          <w:tcPr>
            <w:tcW w:w="1360" w:type="dxa"/>
            <w:vAlign w:val="bottom"/>
            <w:tcBorders>
              <w:top w:val="single" w:sz="8" w:color="0000EE"/>
            </w:tcBorders>
          </w:tcPr>
          <w:p>
            <w:pPr>
              <w:spacing w:after="0"/>
              <w:rPr>
                <w:sz w:val="24"/>
                <w:szCs w:val="24"/>
                <w:color w:val="auto"/>
              </w:rPr>
            </w:pPr>
          </w:p>
        </w:tc>
        <w:tc>
          <w:tcPr>
            <w:tcW w:w="8220" w:type="dxa"/>
            <w:vAlign w:val="bottom"/>
          </w:tcPr>
          <w:p>
            <w:pPr>
              <w:ind w:left="3420"/>
              <w:spacing w:after="0"/>
              <w:rPr>
                <w:sz w:val="20"/>
                <w:szCs w:val="20"/>
                <w:color w:val="auto"/>
              </w:rPr>
            </w:pPr>
            <w:r>
              <w:rPr>
                <w:rFonts w:ascii="Arial" w:cs="Arial" w:eastAsia="Arial" w:hAnsi="Arial"/>
                <w:sz w:val="18"/>
                <w:szCs w:val="18"/>
                <w:b w:val="1"/>
                <w:bCs w:val="1"/>
                <w:color w:val="auto"/>
              </w:rPr>
              <w:t>USE OF PROCEEDS</w:t>
            </w:r>
          </w:p>
        </w:tc>
        <w:tc>
          <w:tcPr>
            <w:tcW w:w="1300" w:type="dxa"/>
            <w:vAlign w:val="bottom"/>
          </w:tcPr>
          <w:p>
            <w:pPr>
              <w:spacing w:after="0"/>
              <w:rPr>
                <w:sz w:val="24"/>
                <w:szCs w:val="24"/>
                <w:color w:val="auto"/>
              </w:rPr>
            </w:pPr>
          </w:p>
        </w:tc>
      </w:tr>
      <w:tr>
        <w:trPr>
          <w:trHeight w:val="418"/>
        </w:trPr>
        <w:tc>
          <w:tcPr>
            <w:tcW w:w="9580" w:type="dxa"/>
            <w:vAlign w:val="bottom"/>
            <w:gridSpan w:val="2"/>
          </w:tcPr>
          <w:p>
            <w:pPr>
              <w:ind w:left="560"/>
              <w:spacing w:after="0"/>
              <w:rPr>
                <w:sz w:val="20"/>
                <w:szCs w:val="20"/>
                <w:color w:val="auto"/>
              </w:rPr>
            </w:pPr>
            <w:r>
              <w:rPr>
                <w:rFonts w:ascii="Arial" w:cs="Arial" w:eastAsia="Arial" w:hAnsi="Arial"/>
                <w:sz w:val="18"/>
                <w:szCs w:val="18"/>
                <w:color w:val="auto"/>
                <w:w w:val="93"/>
              </w:rPr>
              <w:t>We estimate that the net proceeds to be received by us from the sale of the Notes offered hereby will be approximately $</w:t>
            </w:r>
          </w:p>
        </w:tc>
        <w:tc>
          <w:tcPr>
            <w:tcW w:w="1300" w:type="dxa"/>
            <w:vAlign w:val="bottom"/>
          </w:tcPr>
          <w:p>
            <w:pPr>
              <w:ind w:left="360"/>
              <w:spacing w:after="0"/>
              <w:rPr>
                <w:sz w:val="20"/>
                <w:szCs w:val="20"/>
                <w:color w:val="auto"/>
              </w:rPr>
            </w:pPr>
            <w:r>
              <w:rPr>
                <w:rFonts w:ascii="Arial" w:cs="Arial" w:eastAsia="Arial" w:hAnsi="Arial"/>
                <w:sz w:val="18"/>
                <w:szCs w:val="18"/>
                <w:color w:val="auto"/>
                <w:w w:val="94"/>
              </w:rPr>
              <w:t>million, after</w:t>
            </w:r>
          </w:p>
        </w:tc>
      </w:tr>
      <w:tr>
        <w:trPr>
          <w:trHeight w:val="230"/>
        </w:trPr>
        <w:tc>
          <w:tcPr>
            <w:tcW w:w="9580" w:type="dxa"/>
            <w:vAlign w:val="bottom"/>
            <w:gridSpan w:val="2"/>
          </w:tcPr>
          <w:p>
            <w:pPr>
              <w:ind w:left="120"/>
              <w:spacing w:after="0"/>
              <w:rPr>
                <w:sz w:val="20"/>
                <w:szCs w:val="20"/>
                <w:color w:val="auto"/>
              </w:rPr>
            </w:pPr>
            <w:r>
              <w:rPr>
                <w:rFonts w:ascii="Arial" w:cs="Arial" w:eastAsia="Arial" w:hAnsi="Arial"/>
                <w:sz w:val="18"/>
                <w:szCs w:val="18"/>
                <w:color w:val="auto"/>
              </w:rPr>
              <w:t>deducting the underwriting discounts and estimated offering expenses and fees payable by us.</w:t>
            </w:r>
          </w:p>
        </w:tc>
        <w:tc>
          <w:tcPr>
            <w:tcW w:w="1300" w:type="dxa"/>
            <w:vAlign w:val="bottom"/>
          </w:tcPr>
          <w:p>
            <w:pPr>
              <w:spacing w:after="0"/>
              <w:rPr>
                <w:sz w:val="20"/>
                <w:szCs w:val="20"/>
                <w:color w:val="auto"/>
              </w:rPr>
            </w:pP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ind w:left="120" w:firstLine="440"/>
        <w:spacing w:after="0" w:line="301" w:lineRule="auto"/>
        <w:rPr>
          <w:sz w:val="20"/>
          <w:szCs w:val="20"/>
          <w:color w:val="auto"/>
        </w:rPr>
      </w:pPr>
      <w:r>
        <w:rPr>
          <w:rFonts w:ascii="Arial" w:cs="Arial" w:eastAsia="Arial" w:hAnsi="Arial"/>
          <w:sz w:val="16"/>
          <w:szCs w:val="16"/>
          <w:color w:val="auto"/>
        </w:rPr>
        <w:t>We intend to use the net proceeds of this offering for repayment of debt, including amounts outstanding under our term loans due 2024 and the Revolving Credit Agreement. Any remaining funds will be used for general corporate purposes, which may include, but are not limited to, funding for working capital, payment of dividends, capital expenditures, repurchases of our common shares and acquisitions. We may temporarily invest funds that are not immediately needed for these purposes in short-term investments, including, but not limited to, marketable securities.</w:t>
      </w:r>
    </w:p>
    <w:p>
      <w:pPr>
        <w:spacing w:after="0" w:line="15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3-year tranche of our term loans due 2024 matures on April 20, 2024, and its effective interest rate was 4.292% as of July 29, 2023. Borrowings under our Revolving Credit Agreement mature on April 14, 2028, and the effective weighted average interest rate on borrowings under our Revolving Credit Agreement was 6.697% as of July 29, 2023. The proceeds of the Revolving Credit Agreement were used for general corporate purposes of Marvell and its subsidiaries.</w:t>
      </w:r>
    </w:p>
    <w:p>
      <w:pPr>
        <w:spacing w:after="0" w:line="187"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As a result of our intended use of proceeds for the repayment of debt, including amounts outstanding under our term loans due 2024 and the Revolving Credit Agreement, certain underwriters (or their respective affiliates) may receive more than 5% of the net proceeds of this offering, not including underwriting compensation, thus creating a conflict of interest within the meaning of FINRA Rule 5121. Accordingly, this offering is being made in compliance with the requirements of FINRA Rule 5121. The appointment of a “qualified independent underwriter” is not necessary in connection with this offering as the Notes are investment grade-rated securities. See “Underwriting; Conflicts of Interest—Conflicts of Interest.”</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S-12</w:t>
      </w:r>
    </w:p>
    <w:p>
      <w:pPr>
        <w:sectPr>
          <w:pgSz w:w="11900" w:h="16838" w:orient="portrait"/>
          <w:cols w:equalWidth="0" w:num="1">
            <w:col w:w="11020"/>
          </w:cols>
          <w:pgMar w:left="320" w:top="446" w:right="55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CAPITALIZATION</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following table sets forth our cash and cash equivalents, short-term debt and capitalization as of July 29, 2023 on (i) an actual basis and (ii) on an as adjusted basis to give effect to this offering and the application of the net proceeds therefrom to repay the amounts outstanding under our term loans due 2024 and the Revolving Credit Agreement, as described in “Use of Proceeds” (after deducting the underwriting discounts and estimated offering expenses payable by us).</w:t>
      </w:r>
    </w:p>
    <w:p>
      <w:pPr>
        <w:spacing w:after="0" w:line="187"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You should read the data set forth in the table below in conjunction with “Use of Proceeds” as well as our unaudited condensed consolidated financial statements, including the related notes, and the section entitled “Management’s Discussion and Analysis of Financial Condition and Results of Operations” in our Quarterly Report on Form 10-Q for the period ended July 29, 2023, which is incorporated by reference in this prospectus supplement and the accompanying prospectus. See “Where You Can Find More Information” and “Documents Incorporated by Reference.”</w:t>
      </w:r>
    </w:p>
    <w:p>
      <w:pPr>
        <w:spacing w:after="0" w:line="176"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As of July 29, 2023</w:t>
            </w:r>
          </w:p>
        </w:tc>
        <w:tc>
          <w:tcPr>
            <w:tcW w:w="46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7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720" w:type="dxa"/>
            <w:vAlign w:val="bottom"/>
          </w:tcPr>
          <w:p>
            <w:pPr>
              <w:spacing w:after="0"/>
              <w:rPr>
                <w:sz w:val="10"/>
                <w:szCs w:val="10"/>
                <w:color w:val="auto"/>
              </w:rPr>
            </w:pPr>
          </w:p>
        </w:tc>
        <w:tc>
          <w:tcPr>
            <w:tcW w:w="15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2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Actual</w:t>
            </w:r>
          </w:p>
        </w:tc>
        <w:tc>
          <w:tcPr>
            <w:tcW w:w="620" w:type="dxa"/>
            <w:vAlign w:val="bottom"/>
            <w:vMerge w:val="restart"/>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jc w:val="center"/>
              <w:ind w:right="173"/>
              <w:spacing w:after="0" w:line="119" w:lineRule="exact"/>
              <w:rPr>
                <w:sz w:val="20"/>
                <w:szCs w:val="20"/>
                <w:color w:val="auto"/>
              </w:rPr>
            </w:pPr>
            <w:r>
              <w:rPr>
                <w:rFonts w:ascii="Arial" w:cs="Arial" w:eastAsia="Arial" w:hAnsi="Arial"/>
                <w:sz w:val="13"/>
                <w:szCs w:val="13"/>
                <w:b w:val="1"/>
                <w:bCs w:val="1"/>
                <w:color w:val="auto"/>
                <w:w w:val="96"/>
              </w:rPr>
              <w:t>As</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7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Adjusted</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40" w:type="dxa"/>
            <w:vAlign w:val="bottom"/>
            <w:gridSpan w:val="2"/>
          </w:tcPr>
          <w:p>
            <w:pPr>
              <w:jc w:val="right"/>
              <w:spacing w:after="0" w:line="155" w:lineRule="exact"/>
              <w:rPr>
                <w:sz w:val="20"/>
                <w:szCs w:val="20"/>
                <w:color w:val="auto"/>
              </w:rPr>
            </w:pPr>
            <w:r>
              <w:rPr>
                <w:rFonts w:ascii="Arial" w:cs="Arial" w:eastAsia="Arial" w:hAnsi="Arial"/>
                <w:sz w:val="14"/>
                <w:szCs w:val="14"/>
                <w:b w:val="1"/>
                <w:bCs w:val="1"/>
                <w:color w:val="auto"/>
              </w:rPr>
              <w:t>(in millions)</w:t>
            </w: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66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Cash and cash equivalents</w:t>
            </w:r>
          </w:p>
        </w:tc>
        <w:tc>
          <w:tcPr>
            <w:tcW w:w="1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423.4</w:t>
            </w:r>
          </w:p>
        </w:tc>
        <w:tc>
          <w:tcPr>
            <w:tcW w:w="28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0" w:type="dxa"/>
            <w:vAlign w:val="bottom"/>
            <w:vMerge w:val="restart"/>
          </w:tcPr>
          <w:p>
            <w:pPr>
              <w:spacing w:after="0"/>
              <w:rPr>
                <w:sz w:val="20"/>
                <w:szCs w:val="20"/>
                <w:color w:val="auto"/>
              </w:rPr>
            </w:pPr>
            <w:r>
              <w:rPr>
                <w:rFonts w:ascii="Arial" w:cs="Arial" w:eastAsia="Arial" w:hAnsi="Arial"/>
                <w:sz w:val="18"/>
                <w:szCs w:val="18"/>
                <w:b w:val="1"/>
                <w:bCs w:val="1"/>
                <w:color w:val="auto"/>
              </w:rPr>
              <w:t>Debt:</w:t>
            </w:r>
          </w:p>
        </w:tc>
        <w:tc>
          <w:tcPr>
            <w:tcW w:w="20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40" w:type="dxa"/>
            <w:vAlign w:val="bottom"/>
            <w:vMerge w:val="continue"/>
          </w:tcPr>
          <w:p>
            <w:pPr>
              <w:spacing w:after="0"/>
              <w:rPr>
                <w:sz w:val="18"/>
                <w:szCs w:val="18"/>
                <w:color w:val="auto"/>
              </w:rPr>
            </w:pPr>
          </w:p>
        </w:tc>
        <w:tc>
          <w:tcPr>
            <w:tcW w:w="200" w:type="dxa"/>
            <w:vAlign w:val="bottom"/>
          </w:tcPr>
          <w:p>
            <w:pPr>
              <w:spacing w:after="0"/>
              <w:rPr>
                <w:sz w:val="18"/>
                <w:szCs w:val="18"/>
                <w:color w:val="auto"/>
              </w:rPr>
            </w:pPr>
          </w:p>
        </w:tc>
        <w:tc>
          <w:tcPr>
            <w:tcW w:w="372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89"/>
              </w:rPr>
              <w:t>2024</w:t>
            </w:r>
          </w:p>
        </w:tc>
        <w:tc>
          <w:tcPr>
            <w:tcW w:w="39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Term Loan - 3-Year Tranche</w:t>
            </w:r>
          </w:p>
        </w:tc>
        <w:tc>
          <w:tcPr>
            <w:tcW w:w="1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735.0</w:t>
            </w:r>
          </w:p>
        </w:tc>
        <w:tc>
          <w:tcPr>
            <w:tcW w:w="28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w w:val="79"/>
              </w:rPr>
              <w:t>$</w:t>
            </w:r>
          </w:p>
        </w:tc>
        <w:tc>
          <w:tcPr>
            <w:tcW w:w="5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16"/>
        </w:trPr>
        <w:tc>
          <w:tcPr>
            <w:tcW w:w="740" w:type="dxa"/>
            <w:vAlign w:val="bottom"/>
          </w:tcPr>
          <w:p>
            <w:pPr>
              <w:ind w:left="360"/>
              <w:spacing w:after="0"/>
              <w:rPr>
                <w:sz w:val="20"/>
                <w:szCs w:val="20"/>
                <w:color w:val="auto"/>
              </w:rPr>
            </w:pPr>
            <w:r>
              <w:rPr>
                <w:rFonts w:ascii="Arial" w:cs="Arial" w:eastAsia="Arial" w:hAnsi="Arial"/>
                <w:sz w:val="18"/>
                <w:szCs w:val="18"/>
                <w:color w:val="auto"/>
                <w:w w:val="89"/>
              </w:rPr>
              <w:t>2026</w:t>
            </w:r>
          </w:p>
        </w:tc>
        <w:tc>
          <w:tcPr>
            <w:tcW w:w="3920" w:type="dxa"/>
            <w:vAlign w:val="bottom"/>
            <w:gridSpan w:val="2"/>
          </w:tcPr>
          <w:p>
            <w:pPr>
              <w:ind w:left="20"/>
              <w:spacing w:after="0"/>
              <w:rPr>
                <w:sz w:val="20"/>
                <w:szCs w:val="20"/>
                <w:color w:val="auto"/>
              </w:rPr>
            </w:pPr>
            <w:r>
              <w:rPr>
                <w:rFonts w:ascii="Arial" w:cs="Arial" w:eastAsia="Arial" w:hAnsi="Arial"/>
                <w:sz w:val="18"/>
                <w:szCs w:val="18"/>
                <w:color w:val="auto"/>
              </w:rPr>
              <w:t>Term Loan - 5-Year Tranche</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743.8</w:t>
            </w:r>
          </w:p>
        </w:tc>
        <w:tc>
          <w:tcPr>
            <w:tcW w:w="280" w:type="dxa"/>
            <w:vAlign w:val="bottom"/>
          </w:tcPr>
          <w:p>
            <w:pPr>
              <w:spacing w:after="0"/>
              <w:rPr>
                <w:sz w:val="18"/>
                <w:szCs w:val="18"/>
                <w:color w:val="auto"/>
              </w:rPr>
            </w:pPr>
          </w:p>
        </w:tc>
        <w:tc>
          <w:tcPr>
            <w:tcW w:w="500" w:type="dxa"/>
            <w:vAlign w:val="bottom"/>
            <w:gridSpan w:val="2"/>
          </w:tcPr>
          <w:p>
            <w:pPr>
              <w:jc w:val="center"/>
              <w:spacing w:after="0"/>
              <w:rPr>
                <w:sz w:val="20"/>
                <w:szCs w:val="20"/>
                <w:color w:val="auto"/>
              </w:rPr>
            </w:pPr>
            <w:r>
              <w:rPr>
                <w:rFonts w:ascii="Arial" w:cs="Arial" w:eastAsia="Arial" w:hAnsi="Arial"/>
                <w:sz w:val="18"/>
                <w:szCs w:val="18"/>
                <w:color w:val="auto"/>
                <w:w w:val="88"/>
              </w:rPr>
              <w:t>743.8</w:t>
            </w:r>
          </w:p>
        </w:tc>
        <w:tc>
          <w:tcPr>
            <w:tcW w:w="0" w:type="dxa"/>
            <w:vAlign w:val="bottom"/>
          </w:tcPr>
          <w:p>
            <w:pPr>
              <w:spacing w:after="0"/>
              <w:rPr>
                <w:sz w:val="1"/>
                <w:szCs w:val="1"/>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89"/>
              </w:rPr>
              <w:t>2023</w:t>
            </w:r>
          </w:p>
        </w:tc>
        <w:tc>
          <w:tcPr>
            <w:tcW w:w="3920" w:type="dxa"/>
            <w:vAlign w:val="bottom"/>
            <w:gridSpan w:val="2"/>
            <w:shd w:val="clear" w:color="auto" w:fill="CCEEFF"/>
          </w:tcPr>
          <w:p>
            <w:pPr>
              <w:ind w:left="20"/>
              <w:spacing w:after="0" w:line="216" w:lineRule="exact"/>
              <w:rPr>
                <w:sz w:val="20"/>
                <w:szCs w:val="20"/>
                <w:color w:val="auto"/>
              </w:rPr>
            </w:pPr>
            <w:r>
              <w:rPr>
                <w:rFonts w:ascii="Arial" w:cs="Arial" w:eastAsia="Arial" w:hAnsi="Arial"/>
                <w:sz w:val="17"/>
                <w:szCs w:val="17"/>
                <w:color w:val="auto"/>
              </w:rPr>
              <w:t>Revolving Credit Facility</w:t>
            </w:r>
            <w:r>
              <w:rPr>
                <w:rFonts w:ascii="Arial" w:cs="Arial" w:eastAsia="Arial" w:hAnsi="Arial"/>
                <w:sz w:val="25"/>
                <w:szCs w:val="25"/>
                <w:color w:val="auto"/>
                <w:vertAlign w:val="superscript"/>
              </w:rPr>
              <w:t>(1)</w:t>
            </w:r>
          </w:p>
        </w:tc>
        <w:tc>
          <w:tcPr>
            <w:tcW w:w="1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200.0</w:t>
            </w:r>
          </w:p>
        </w:tc>
        <w:tc>
          <w:tcPr>
            <w:tcW w:w="2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16"/>
        </w:trPr>
        <w:tc>
          <w:tcPr>
            <w:tcW w:w="940" w:type="dxa"/>
            <w:vAlign w:val="bottom"/>
            <w:gridSpan w:val="2"/>
          </w:tcPr>
          <w:p>
            <w:pPr>
              <w:ind w:left="360"/>
              <w:spacing w:after="0"/>
              <w:rPr>
                <w:sz w:val="20"/>
                <w:szCs w:val="20"/>
                <w:color w:val="auto"/>
              </w:rPr>
            </w:pPr>
            <w:r>
              <w:rPr>
                <w:rFonts w:ascii="Arial" w:cs="Arial" w:eastAsia="Arial" w:hAnsi="Arial"/>
                <w:sz w:val="18"/>
                <w:szCs w:val="18"/>
                <w:color w:val="auto"/>
                <w:w w:val="91"/>
              </w:rPr>
              <w:t>4.875%</w:t>
            </w:r>
          </w:p>
        </w:tc>
        <w:tc>
          <w:tcPr>
            <w:tcW w:w="372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499.9</w:t>
            </w:r>
          </w:p>
        </w:tc>
        <w:tc>
          <w:tcPr>
            <w:tcW w:w="280" w:type="dxa"/>
            <w:vAlign w:val="bottom"/>
          </w:tcPr>
          <w:p>
            <w:pPr>
              <w:spacing w:after="0"/>
              <w:rPr>
                <w:sz w:val="18"/>
                <w:szCs w:val="18"/>
                <w:color w:val="auto"/>
              </w:rPr>
            </w:pPr>
          </w:p>
        </w:tc>
        <w:tc>
          <w:tcPr>
            <w:tcW w:w="500" w:type="dxa"/>
            <w:vAlign w:val="bottom"/>
            <w:gridSpan w:val="2"/>
          </w:tcPr>
          <w:p>
            <w:pPr>
              <w:jc w:val="center"/>
              <w:spacing w:after="0"/>
              <w:rPr>
                <w:sz w:val="20"/>
                <w:szCs w:val="20"/>
                <w:color w:val="auto"/>
              </w:rPr>
            </w:pPr>
            <w:r>
              <w:rPr>
                <w:rFonts w:ascii="Arial" w:cs="Arial" w:eastAsia="Arial" w:hAnsi="Arial"/>
                <w:sz w:val="18"/>
                <w:szCs w:val="18"/>
                <w:color w:val="auto"/>
                <w:w w:val="88"/>
              </w:rPr>
              <w:t>499.9</w:t>
            </w:r>
          </w:p>
        </w:tc>
        <w:tc>
          <w:tcPr>
            <w:tcW w:w="0" w:type="dxa"/>
            <w:vAlign w:val="bottom"/>
          </w:tcPr>
          <w:p>
            <w:pPr>
              <w:spacing w:after="0"/>
              <w:rPr>
                <w:sz w:val="1"/>
                <w:szCs w:val="1"/>
                <w:color w:val="auto"/>
              </w:rPr>
            </w:pPr>
          </w:p>
        </w:tc>
      </w:tr>
      <w:tr>
        <w:trPr>
          <w:trHeight w:val="216"/>
        </w:trPr>
        <w:tc>
          <w:tcPr>
            <w:tcW w:w="9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91"/>
              </w:rPr>
              <w:t>1.650%</w:t>
            </w:r>
          </w:p>
        </w:tc>
        <w:tc>
          <w:tcPr>
            <w:tcW w:w="3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1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500.0</w:t>
            </w:r>
          </w:p>
        </w:tc>
        <w:tc>
          <w:tcPr>
            <w:tcW w:w="2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8"/>
              </w:rPr>
              <w:t>500.0</w:t>
            </w:r>
          </w:p>
        </w:tc>
        <w:tc>
          <w:tcPr>
            <w:tcW w:w="0" w:type="dxa"/>
            <w:vAlign w:val="bottom"/>
          </w:tcPr>
          <w:p>
            <w:pPr>
              <w:spacing w:after="0"/>
              <w:rPr>
                <w:sz w:val="1"/>
                <w:szCs w:val="1"/>
                <w:color w:val="auto"/>
              </w:rPr>
            </w:pPr>
          </w:p>
        </w:tc>
      </w:tr>
      <w:tr>
        <w:trPr>
          <w:trHeight w:val="216"/>
        </w:trPr>
        <w:tc>
          <w:tcPr>
            <w:tcW w:w="940" w:type="dxa"/>
            <w:vAlign w:val="bottom"/>
            <w:gridSpan w:val="2"/>
          </w:tcPr>
          <w:p>
            <w:pPr>
              <w:ind w:left="360"/>
              <w:spacing w:after="0"/>
              <w:rPr>
                <w:sz w:val="20"/>
                <w:szCs w:val="20"/>
                <w:color w:val="auto"/>
              </w:rPr>
            </w:pPr>
            <w:r>
              <w:rPr>
                <w:rFonts w:ascii="Arial" w:cs="Arial" w:eastAsia="Arial" w:hAnsi="Arial"/>
                <w:sz w:val="18"/>
                <w:szCs w:val="18"/>
                <w:color w:val="auto"/>
                <w:w w:val="91"/>
              </w:rPr>
              <w:t>2.450%</w:t>
            </w:r>
          </w:p>
        </w:tc>
        <w:tc>
          <w:tcPr>
            <w:tcW w:w="372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750.0</w:t>
            </w:r>
          </w:p>
        </w:tc>
        <w:tc>
          <w:tcPr>
            <w:tcW w:w="280" w:type="dxa"/>
            <w:vAlign w:val="bottom"/>
          </w:tcPr>
          <w:p>
            <w:pPr>
              <w:spacing w:after="0"/>
              <w:rPr>
                <w:sz w:val="18"/>
                <w:szCs w:val="18"/>
                <w:color w:val="auto"/>
              </w:rPr>
            </w:pPr>
          </w:p>
        </w:tc>
        <w:tc>
          <w:tcPr>
            <w:tcW w:w="500" w:type="dxa"/>
            <w:vAlign w:val="bottom"/>
            <w:gridSpan w:val="2"/>
          </w:tcPr>
          <w:p>
            <w:pPr>
              <w:jc w:val="center"/>
              <w:spacing w:after="0"/>
              <w:rPr>
                <w:sz w:val="20"/>
                <w:szCs w:val="20"/>
                <w:color w:val="auto"/>
              </w:rPr>
            </w:pPr>
            <w:r>
              <w:rPr>
                <w:rFonts w:ascii="Arial" w:cs="Arial" w:eastAsia="Arial" w:hAnsi="Arial"/>
                <w:sz w:val="18"/>
                <w:szCs w:val="18"/>
                <w:color w:val="auto"/>
                <w:w w:val="88"/>
              </w:rPr>
              <w:t>750.0</w:t>
            </w:r>
          </w:p>
        </w:tc>
        <w:tc>
          <w:tcPr>
            <w:tcW w:w="0" w:type="dxa"/>
            <w:vAlign w:val="bottom"/>
          </w:tcPr>
          <w:p>
            <w:pPr>
              <w:spacing w:after="0"/>
              <w:rPr>
                <w:sz w:val="1"/>
                <w:szCs w:val="1"/>
                <w:color w:val="auto"/>
              </w:rPr>
            </w:pPr>
          </w:p>
        </w:tc>
      </w:tr>
      <w:tr>
        <w:trPr>
          <w:trHeight w:val="216"/>
        </w:trPr>
        <w:tc>
          <w:tcPr>
            <w:tcW w:w="9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91"/>
              </w:rPr>
              <w:t>2.950%</w:t>
            </w:r>
          </w:p>
        </w:tc>
        <w:tc>
          <w:tcPr>
            <w:tcW w:w="3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1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750.0</w:t>
            </w:r>
          </w:p>
        </w:tc>
        <w:tc>
          <w:tcPr>
            <w:tcW w:w="2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8"/>
              </w:rPr>
              <w:t>750.0</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2500" w:type="dxa"/>
            <w:vAlign w:val="bottom"/>
          </w:tcPr>
          <w:p>
            <w:pPr>
              <w:ind w:left="720"/>
              <w:spacing w:after="0"/>
              <w:rPr>
                <w:sz w:val="20"/>
                <w:szCs w:val="20"/>
                <w:color w:val="auto"/>
              </w:rPr>
            </w:pPr>
            <w:r>
              <w:rPr>
                <w:rFonts w:ascii="Arial" w:cs="Arial" w:eastAsia="Arial" w:hAnsi="Arial"/>
                <w:sz w:val="18"/>
                <w:szCs w:val="18"/>
                <w:color w:val="auto"/>
                <w:w w:val="95"/>
              </w:rPr>
              <w:t>% Senior Notes due 20</w:t>
            </w:r>
          </w:p>
        </w:tc>
        <w:tc>
          <w:tcPr>
            <w:tcW w:w="3700" w:type="dxa"/>
            <w:vAlign w:val="bottom"/>
          </w:tcPr>
          <w:p>
            <w:pPr>
              <w:ind w:left="100"/>
              <w:spacing w:after="0"/>
              <w:rPr>
                <w:sz w:val="20"/>
                <w:szCs w:val="20"/>
                <w:color w:val="auto"/>
              </w:rPr>
            </w:pPr>
            <w:r>
              <w:rPr>
                <w:rFonts w:ascii="Arial" w:cs="Arial" w:eastAsia="Arial" w:hAnsi="Arial"/>
                <w:sz w:val="18"/>
                <w:szCs w:val="18"/>
                <w:color w:val="auto"/>
              </w:rPr>
              <w:t>offered hereby</w:t>
            </w:r>
          </w:p>
        </w:tc>
        <w:tc>
          <w:tcPr>
            <w:tcW w:w="20" w:type="dxa"/>
            <w:vAlign w:val="bottom"/>
          </w:tcPr>
          <w:p>
            <w:pPr>
              <w:spacing w:after="0"/>
              <w:rPr>
                <w:sz w:val="18"/>
                <w:szCs w:val="18"/>
                <w:color w:val="auto"/>
              </w:rPr>
            </w:pPr>
          </w:p>
        </w:tc>
        <w:tc>
          <w:tcPr>
            <w:tcW w:w="1360" w:type="dxa"/>
            <w:vAlign w:val="bottom"/>
            <w:gridSpan w:val="3"/>
          </w:tcPr>
          <w:p>
            <w:pPr>
              <w:ind w:left="48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500" w:type="dxa"/>
            <w:vAlign w:val="bottom"/>
            <w:shd w:val="clear" w:color="auto" w:fill="CCEEFF"/>
          </w:tcPr>
          <w:p>
            <w:pPr>
              <w:ind w:left="720"/>
              <w:spacing w:after="0"/>
              <w:rPr>
                <w:sz w:val="20"/>
                <w:szCs w:val="20"/>
                <w:color w:val="auto"/>
              </w:rPr>
            </w:pPr>
            <w:r>
              <w:rPr>
                <w:rFonts w:ascii="Arial" w:cs="Arial" w:eastAsia="Arial" w:hAnsi="Arial"/>
                <w:sz w:val="18"/>
                <w:szCs w:val="18"/>
                <w:color w:val="auto"/>
                <w:w w:val="95"/>
              </w:rPr>
              <w:t>% Senior Notes due 20</w:t>
            </w:r>
          </w:p>
        </w:tc>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offered hereby</w:t>
            </w:r>
          </w:p>
        </w:tc>
        <w:tc>
          <w:tcPr>
            <w:tcW w:w="20" w:type="dxa"/>
            <w:vAlign w:val="bottom"/>
            <w:shd w:val="clear" w:color="auto" w:fill="CCEEFF"/>
          </w:tcPr>
          <w:p>
            <w:pPr>
              <w:spacing w:after="0"/>
              <w:rPr>
                <w:sz w:val="18"/>
                <w:szCs w:val="18"/>
                <w:color w:val="auto"/>
              </w:rPr>
            </w:pPr>
          </w:p>
        </w:tc>
        <w:tc>
          <w:tcPr>
            <w:tcW w:w="1360" w:type="dxa"/>
            <w:vAlign w:val="bottom"/>
            <w:gridSpan w:val="3"/>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23"/>
        </w:trPr>
        <w:tc>
          <w:tcPr>
            <w:tcW w:w="2500" w:type="dxa"/>
            <w:vAlign w:val="bottom"/>
          </w:tcPr>
          <w:p>
            <w:pPr>
              <w:spacing w:after="0" w:line="223" w:lineRule="exact"/>
              <w:rPr>
                <w:sz w:val="20"/>
                <w:szCs w:val="20"/>
                <w:color w:val="auto"/>
              </w:rPr>
            </w:pPr>
            <w:r>
              <w:rPr>
                <w:rFonts w:ascii="Arial" w:cs="Arial" w:eastAsia="Arial" w:hAnsi="Arial"/>
                <w:sz w:val="17"/>
                <w:szCs w:val="17"/>
                <w:b w:val="1"/>
                <w:bCs w:val="1"/>
                <w:color w:val="auto"/>
              </w:rPr>
              <w:t>Total borrowings</w:t>
            </w:r>
            <w:r>
              <w:rPr>
                <w:rFonts w:ascii="Arial" w:cs="Arial" w:eastAsia="Arial" w:hAnsi="Arial"/>
                <w:sz w:val="25"/>
                <w:szCs w:val="25"/>
                <w:color w:val="auto"/>
                <w:vertAlign w:val="superscript"/>
              </w:rPr>
              <w:t>(2)</w:t>
            </w:r>
          </w:p>
        </w:tc>
        <w:tc>
          <w:tcPr>
            <w:tcW w:w="3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4,178.7</w:t>
            </w:r>
          </w:p>
        </w:tc>
        <w:tc>
          <w:tcPr>
            <w:tcW w:w="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16"/>
        </w:trPr>
        <w:tc>
          <w:tcPr>
            <w:tcW w:w="25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stockholders’ equity</w:t>
            </w:r>
          </w:p>
        </w:tc>
        <w:tc>
          <w:tcPr>
            <w:tcW w:w="37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15,389.5</w:t>
            </w:r>
          </w:p>
        </w:tc>
        <w:tc>
          <w:tcPr>
            <w:tcW w:w="6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15,389.5</w:t>
            </w:r>
          </w:p>
        </w:tc>
      </w:tr>
      <w:tr>
        <w:trPr>
          <w:trHeight w:val="223"/>
        </w:trPr>
        <w:tc>
          <w:tcPr>
            <w:tcW w:w="2500" w:type="dxa"/>
            <w:vAlign w:val="bottom"/>
          </w:tcPr>
          <w:p>
            <w:pPr>
              <w:spacing w:after="0"/>
              <w:rPr>
                <w:sz w:val="20"/>
                <w:szCs w:val="20"/>
                <w:color w:val="auto"/>
              </w:rPr>
            </w:pPr>
            <w:r>
              <w:rPr>
                <w:rFonts w:ascii="Arial" w:cs="Arial" w:eastAsia="Arial" w:hAnsi="Arial"/>
                <w:sz w:val="18"/>
                <w:szCs w:val="18"/>
                <w:b w:val="1"/>
                <w:bCs w:val="1"/>
                <w:color w:val="auto"/>
              </w:rPr>
              <w:t>Total capitalization</w:t>
            </w:r>
          </w:p>
        </w:tc>
        <w:tc>
          <w:tcPr>
            <w:tcW w:w="37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$ 19,568.2</w:t>
            </w:r>
          </w:p>
        </w:tc>
        <w:tc>
          <w:tcPr>
            <w:tcW w:w="20" w:type="dxa"/>
            <w:vAlign w:val="bottom"/>
            <w:tcBorders>
              <w:bottom w:val="single" w:sz="8" w:color="auto"/>
            </w:tcBorders>
          </w:tcPr>
          <w:p>
            <w:pPr>
              <w:spacing w:after="0"/>
              <w:rPr>
                <w:sz w:val="19"/>
                <w:szCs w:val="19"/>
                <w:color w:val="auto"/>
              </w:rPr>
            </w:pPr>
          </w:p>
        </w:tc>
        <w:tc>
          <w:tcPr>
            <w:tcW w:w="60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ind w:right="550"/>
              <w:spacing w:after="0"/>
              <w:rPr>
                <w:sz w:val="20"/>
                <w:szCs w:val="20"/>
                <w:color w:val="auto"/>
              </w:rPr>
            </w:pPr>
            <w:r>
              <w:rPr>
                <w:rFonts w:ascii="Arial" w:cs="Arial" w:eastAsia="Arial" w:hAnsi="Arial"/>
                <w:sz w:val="18"/>
                <w:szCs w:val="18"/>
                <w:color w:val="auto"/>
                <w:w w:val="79"/>
              </w:rPr>
              <w:t>$</w:t>
            </w:r>
          </w:p>
        </w:tc>
        <w:tc>
          <w:tcPr>
            <w:tcW w:w="40" w:type="dxa"/>
            <w:vAlign w:val="bottom"/>
          </w:tcPr>
          <w:p>
            <w:pPr>
              <w:spacing w:after="0"/>
              <w:rPr>
                <w:sz w:val="19"/>
                <w:szCs w:val="19"/>
                <w:color w:val="auto"/>
              </w:rPr>
            </w:pPr>
          </w:p>
        </w:tc>
      </w:tr>
      <w:tr>
        <w:trPr>
          <w:trHeight w:val="20"/>
        </w:trPr>
        <w:tc>
          <w:tcPr>
            <w:tcW w:w="250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42" w:lineRule="exact"/>
        <w:rPr>
          <w:sz w:val="20"/>
          <w:szCs w:val="20"/>
          <w:color w:val="auto"/>
        </w:rPr>
      </w:pPr>
    </w:p>
    <w:p>
      <w:pPr>
        <w:ind w:left="540" w:right="160" w:hanging="424"/>
        <w:spacing w:after="0" w:line="291" w:lineRule="auto"/>
        <w:tabs>
          <w:tab w:leader="none" w:pos="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As of July 29, 2023, we had $200.0 million outstanding under our $1.0 billion Revolving Credit Agreement. The Revolving Credit Agreement is set to expire April 14, 2028. As of September 1, 2023, there was $200.0 million outstanding under our Revolving Credit Agreement.</w:t>
      </w:r>
    </w:p>
    <w:p>
      <w:pPr>
        <w:ind w:left="540" w:hanging="424"/>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Does not reflect unamortized debt discount and issuance cost.</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S-13</w:t>
      </w:r>
    </w:p>
    <w:p>
      <w:pPr>
        <w:sectPr>
          <w:pgSz w:w="11900" w:h="16838" w:orient="portrait"/>
          <w:cols w:equalWidth="0" w:num="1">
            <w:col w:w="11120"/>
          </w:cols>
          <w:pgMar w:left="320" w:top="459" w:right="459" w:bottom="1440" w:gutter="0" w:footer="0" w:header="0"/>
        </w:sectPr>
      </w:pPr>
    </w:p>
    <w:bookmarkStart w:id="19" w:name="page20"/>
    <w:bookmarkEnd w:id="19"/>
    <w:tbl>
      <w:tblPr>
        <w:tblLayout w:type="fixed"/>
        <w:tblInd w:w="0" w:type="dxa"/>
        <w:tblCellMar>
          <w:top w:w="0" w:type="dxa"/>
          <w:left w:w="0" w:type="dxa"/>
          <w:bottom w:w="0" w:type="dxa"/>
          <w:right w:w="0" w:type="dxa"/>
        </w:tblCellMar>
      </w:tblPr>
      <w:tr>
        <w:trPr>
          <w:trHeight w:val="207"/>
        </w:trPr>
        <w:tc>
          <w:tcPr>
            <w:tcW w:w="3560" w:type="dxa"/>
            <w:vAlign w:val="bottom"/>
            <w:gridSpan w:val="3"/>
          </w:tcPr>
          <w:p>
            <w:pPr>
              <w:spacing w:after="0"/>
              <w:rPr>
                <w:sz w:val="20"/>
                <w:szCs w:val="20"/>
                <w:color w:val="auto"/>
              </w:rPr>
            </w:pPr>
            <w:r>
              <w:rPr>
                <w:rFonts w:ascii="Arial" w:cs="Arial" w:eastAsia="Arial" w:hAnsi="Arial"/>
                <w:sz w:val="18"/>
                <w:szCs w:val="18"/>
                <w:b w:val="1"/>
                <w:bCs w:val="1"/>
                <w:color w:val="0000EE"/>
              </w:rPr>
              <w:t>Table of Contents</w:t>
            </w:r>
          </w:p>
        </w:tc>
        <w:tc>
          <w:tcPr>
            <w:tcW w:w="25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180" w:type="dxa"/>
            <w:vAlign w:val="bottom"/>
          </w:tcPr>
          <w:p>
            <w:pPr>
              <w:spacing w:after="0"/>
              <w:rPr>
                <w:sz w:val="17"/>
                <w:szCs w:val="17"/>
                <w:color w:val="auto"/>
              </w:rPr>
            </w:pPr>
          </w:p>
        </w:tc>
      </w:tr>
      <w:tr>
        <w:trPr>
          <w:trHeight w:val="534"/>
        </w:trPr>
        <w:tc>
          <w:tcPr>
            <w:tcW w:w="520" w:type="dxa"/>
            <w:vAlign w:val="bottom"/>
            <w:tcBorders>
              <w:top w:val="single" w:sz="8" w:color="0000EE"/>
            </w:tcBorders>
          </w:tcPr>
          <w:p>
            <w:pPr>
              <w:spacing w:after="0"/>
              <w:rPr>
                <w:sz w:val="24"/>
                <w:szCs w:val="24"/>
                <w:color w:val="auto"/>
              </w:rPr>
            </w:pPr>
          </w:p>
        </w:tc>
        <w:tc>
          <w:tcPr>
            <w:tcW w:w="840" w:type="dxa"/>
            <w:vAlign w:val="bottom"/>
            <w:tcBorders>
              <w:top w:val="single" w:sz="8" w:color="0000EE"/>
            </w:tcBorders>
          </w:tcPr>
          <w:p>
            <w:pPr>
              <w:spacing w:after="0"/>
              <w:rPr>
                <w:sz w:val="24"/>
                <w:szCs w:val="24"/>
                <w:color w:val="auto"/>
              </w:rPr>
            </w:pPr>
          </w:p>
        </w:tc>
        <w:tc>
          <w:tcPr>
            <w:tcW w:w="2200" w:type="dxa"/>
            <w:vAlign w:val="bottom"/>
          </w:tcPr>
          <w:p>
            <w:pPr>
              <w:spacing w:after="0"/>
              <w:rPr>
                <w:sz w:val="24"/>
                <w:szCs w:val="24"/>
                <w:color w:val="auto"/>
              </w:rPr>
            </w:pPr>
          </w:p>
        </w:tc>
        <w:tc>
          <w:tcPr>
            <w:tcW w:w="3400" w:type="dxa"/>
            <w:vAlign w:val="bottom"/>
            <w:gridSpan w:val="2"/>
          </w:tcPr>
          <w:p>
            <w:pPr>
              <w:ind w:left="960"/>
              <w:spacing w:after="0"/>
              <w:rPr>
                <w:sz w:val="20"/>
                <w:szCs w:val="20"/>
                <w:color w:val="auto"/>
              </w:rPr>
            </w:pPr>
            <w:r>
              <w:rPr>
                <w:rFonts w:ascii="Arial" w:cs="Arial" w:eastAsia="Arial" w:hAnsi="Arial"/>
                <w:sz w:val="18"/>
                <w:szCs w:val="18"/>
                <w:b w:val="1"/>
                <w:bCs w:val="1"/>
                <w:color w:val="auto"/>
              </w:rPr>
              <w:t>DESCRIPTION OF NOTES</w:t>
            </w:r>
          </w:p>
        </w:tc>
        <w:tc>
          <w:tcPr>
            <w:tcW w:w="16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418"/>
        </w:trPr>
        <w:tc>
          <w:tcPr>
            <w:tcW w:w="520" w:type="dxa"/>
            <w:vAlign w:val="bottom"/>
          </w:tcPr>
          <w:p>
            <w:pPr>
              <w:spacing w:after="0"/>
              <w:rPr>
                <w:sz w:val="24"/>
                <w:szCs w:val="24"/>
                <w:color w:val="auto"/>
              </w:rPr>
            </w:pPr>
          </w:p>
        </w:tc>
        <w:tc>
          <w:tcPr>
            <w:tcW w:w="3040" w:type="dxa"/>
            <w:vAlign w:val="bottom"/>
            <w:gridSpan w:val="2"/>
          </w:tcPr>
          <w:p>
            <w:pPr>
              <w:ind w:left="40"/>
              <w:spacing w:after="0"/>
              <w:rPr>
                <w:sz w:val="20"/>
                <w:szCs w:val="20"/>
                <w:color w:val="auto"/>
              </w:rPr>
            </w:pPr>
            <w:r>
              <w:rPr>
                <w:rFonts w:ascii="Arial" w:cs="Arial" w:eastAsia="Arial" w:hAnsi="Arial"/>
                <w:sz w:val="18"/>
                <w:szCs w:val="18"/>
                <w:i w:val="1"/>
                <w:iCs w:val="1"/>
                <w:color w:val="auto"/>
              </w:rPr>
              <w:t>The following is a description of the $</w:t>
            </w:r>
          </w:p>
        </w:tc>
        <w:tc>
          <w:tcPr>
            <w:tcW w:w="2520" w:type="dxa"/>
            <w:vAlign w:val="bottom"/>
          </w:tcPr>
          <w:p>
            <w:pPr>
              <w:ind w:left="320"/>
              <w:spacing w:after="0"/>
              <w:rPr>
                <w:sz w:val="20"/>
                <w:szCs w:val="20"/>
                <w:color w:val="auto"/>
              </w:rPr>
            </w:pPr>
            <w:r>
              <w:rPr>
                <w:rFonts w:ascii="Arial" w:cs="Arial" w:eastAsia="Arial" w:hAnsi="Arial"/>
                <w:sz w:val="18"/>
                <w:szCs w:val="18"/>
                <w:i w:val="1"/>
                <w:iCs w:val="1"/>
                <w:color w:val="auto"/>
                <w:w w:val="91"/>
              </w:rPr>
              <w:t>aggregate principal amount of</w:t>
            </w:r>
          </w:p>
        </w:tc>
        <w:tc>
          <w:tcPr>
            <w:tcW w:w="2480" w:type="dxa"/>
            <w:vAlign w:val="bottom"/>
            <w:gridSpan w:val="2"/>
          </w:tcPr>
          <w:p>
            <w:pPr>
              <w:ind w:left="540"/>
              <w:spacing w:after="0"/>
              <w:rPr>
                <w:sz w:val="20"/>
                <w:szCs w:val="20"/>
                <w:color w:val="auto"/>
              </w:rPr>
            </w:pPr>
            <w:r>
              <w:rPr>
                <w:rFonts w:ascii="Arial" w:cs="Arial" w:eastAsia="Arial" w:hAnsi="Arial"/>
                <w:sz w:val="18"/>
                <w:szCs w:val="18"/>
                <w:i w:val="1"/>
                <w:iCs w:val="1"/>
                <w:color w:val="auto"/>
              </w:rPr>
              <w:t>% Senior Notes due 20</w:t>
            </w:r>
          </w:p>
        </w:tc>
        <w:tc>
          <w:tcPr>
            <w:tcW w:w="1360" w:type="dxa"/>
            <w:vAlign w:val="bottom"/>
          </w:tcPr>
          <w:p>
            <w:pPr>
              <w:ind w:left="280"/>
              <w:spacing w:after="0"/>
              <w:rPr>
                <w:sz w:val="20"/>
                <w:szCs w:val="20"/>
                <w:color w:val="auto"/>
              </w:rPr>
            </w:pPr>
            <w:r>
              <w:rPr>
                <w:rFonts w:ascii="Arial" w:cs="Arial" w:eastAsia="Arial" w:hAnsi="Arial"/>
                <w:sz w:val="18"/>
                <w:szCs w:val="18"/>
                <w:i w:val="1"/>
                <w:iCs w:val="1"/>
                <w:color w:val="auto"/>
              </w:rPr>
              <w:t>(the “20</w:t>
            </w:r>
          </w:p>
        </w:tc>
        <w:tc>
          <w:tcPr>
            <w:tcW w:w="1180" w:type="dxa"/>
            <w:vAlign w:val="bottom"/>
          </w:tcPr>
          <w:p>
            <w:pPr>
              <w:ind w:left="120"/>
              <w:spacing w:after="0"/>
              <w:rPr>
                <w:sz w:val="20"/>
                <w:szCs w:val="20"/>
                <w:color w:val="auto"/>
              </w:rPr>
            </w:pPr>
            <w:r>
              <w:rPr>
                <w:rFonts w:ascii="Arial" w:cs="Arial" w:eastAsia="Arial" w:hAnsi="Arial"/>
                <w:sz w:val="18"/>
                <w:szCs w:val="18"/>
                <w:i w:val="1"/>
                <w:iCs w:val="1"/>
                <w:color w:val="auto"/>
              </w:rPr>
              <w:t>Notes”) and</w:t>
            </w:r>
          </w:p>
        </w:tc>
      </w:tr>
      <w:tr>
        <w:trPr>
          <w:trHeight w:val="230"/>
        </w:trPr>
        <w:tc>
          <w:tcPr>
            <w:tcW w:w="520" w:type="dxa"/>
            <w:vAlign w:val="bottom"/>
          </w:tcPr>
          <w:p>
            <w:pPr>
              <w:ind w:left="120"/>
              <w:spacing w:after="0"/>
              <w:rPr>
                <w:sz w:val="20"/>
                <w:szCs w:val="20"/>
                <w:color w:val="auto"/>
              </w:rPr>
            </w:pPr>
            <w:r>
              <w:rPr>
                <w:rFonts w:ascii="Arial" w:cs="Arial" w:eastAsia="Arial" w:hAnsi="Arial"/>
                <w:sz w:val="18"/>
                <w:szCs w:val="18"/>
                <w:i w:val="1"/>
                <w:iCs w:val="1"/>
                <w:color w:val="auto"/>
                <w:w w:val="94"/>
              </w:rPr>
              <w:t>the $</w:t>
            </w:r>
          </w:p>
        </w:tc>
        <w:tc>
          <w:tcPr>
            <w:tcW w:w="3040" w:type="dxa"/>
            <w:vAlign w:val="bottom"/>
            <w:gridSpan w:val="2"/>
          </w:tcPr>
          <w:p>
            <w:pPr>
              <w:ind w:left="540"/>
              <w:spacing w:after="0"/>
              <w:rPr>
                <w:sz w:val="20"/>
                <w:szCs w:val="20"/>
                <w:color w:val="auto"/>
              </w:rPr>
            </w:pPr>
            <w:r>
              <w:rPr>
                <w:rFonts w:ascii="Arial" w:cs="Arial" w:eastAsia="Arial" w:hAnsi="Arial"/>
                <w:sz w:val="18"/>
                <w:szCs w:val="18"/>
                <w:i w:val="1"/>
                <w:iCs w:val="1"/>
                <w:color w:val="auto"/>
              </w:rPr>
              <w:t>aggregate principal amount of</w:t>
            </w:r>
          </w:p>
        </w:tc>
        <w:tc>
          <w:tcPr>
            <w:tcW w:w="2520" w:type="dxa"/>
            <w:vAlign w:val="bottom"/>
          </w:tcPr>
          <w:p>
            <w:pPr>
              <w:ind w:left="280"/>
              <w:spacing w:after="0"/>
              <w:rPr>
                <w:sz w:val="20"/>
                <w:szCs w:val="20"/>
                <w:color w:val="auto"/>
              </w:rPr>
            </w:pPr>
            <w:r>
              <w:rPr>
                <w:rFonts w:ascii="Arial" w:cs="Arial" w:eastAsia="Arial" w:hAnsi="Arial"/>
                <w:sz w:val="18"/>
                <w:szCs w:val="18"/>
                <w:i w:val="1"/>
                <w:iCs w:val="1"/>
                <w:color w:val="auto"/>
              </w:rPr>
              <w:t>% Senior Notes due 20</w:t>
            </w:r>
          </w:p>
        </w:tc>
        <w:tc>
          <w:tcPr>
            <w:tcW w:w="880" w:type="dxa"/>
            <w:vAlign w:val="bottom"/>
          </w:tcPr>
          <w:p>
            <w:pPr>
              <w:spacing w:after="0"/>
              <w:rPr>
                <w:sz w:val="20"/>
                <w:szCs w:val="20"/>
                <w:color w:val="auto"/>
              </w:rPr>
            </w:pPr>
            <w:r>
              <w:rPr>
                <w:rFonts w:ascii="Arial" w:cs="Arial" w:eastAsia="Arial" w:hAnsi="Arial"/>
                <w:sz w:val="18"/>
                <w:szCs w:val="18"/>
                <w:i w:val="1"/>
                <w:iCs w:val="1"/>
                <w:color w:val="auto"/>
              </w:rPr>
              <w:t>(the “20</w:t>
            </w:r>
          </w:p>
        </w:tc>
        <w:tc>
          <w:tcPr>
            <w:tcW w:w="2960" w:type="dxa"/>
            <w:vAlign w:val="bottom"/>
            <w:gridSpan w:val="2"/>
          </w:tcPr>
          <w:p>
            <w:pPr>
              <w:ind w:left="260"/>
              <w:spacing w:after="0"/>
              <w:rPr>
                <w:sz w:val="20"/>
                <w:szCs w:val="20"/>
                <w:color w:val="auto"/>
              </w:rPr>
            </w:pPr>
            <w:r>
              <w:rPr>
                <w:rFonts w:ascii="Arial" w:cs="Arial" w:eastAsia="Arial" w:hAnsi="Arial"/>
                <w:sz w:val="18"/>
                <w:szCs w:val="18"/>
                <w:i w:val="1"/>
                <w:iCs w:val="1"/>
                <w:color w:val="auto"/>
                <w:w w:val="96"/>
              </w:rPr>
              <w:t>Notes” and, collectively with the 20</w:t>
            </w:r>
          </w:p>
        </w:tc>
        <w:tc>
          <w:tcPr>
            <w:tcW w:w="1180" w:type="dxa"/>
            <w:vAlign w:val="bottom"/>
          </w:tcPr>
          <w:p>
            <w:pPr>
              <w:ind w:left="460"/>
              <w:spacing w:after="0"/>
              <w:rPr>
                <w:sz w:val="20"/>
                <w:szCs w:val="20"/>
                <w:color w:val="auto"/>
              </w:rPr>
            </w:pPr>
            <w:r>
              <w:rPr>
                <w:rFonts w:ascii="Arial" w:cs="Arial" w:eastAsia="Arial" w:hAnsi="Arial"/>
                <w:sz w:val="18"/>
                <w:szCs w:val="18"/>
                <w:i w:val="1"/>
                <w:iCs w:val="1"/>
                <w:color w:val="auto"/>
                <w:w w:val="85"/>
              </w:rPr>
              <w:t>Notes, the</w:t>
            </w:r>
          </w:p>
        </w:tc>
      </w:tr>
    </w:tbl>
    <w:p>
      <w:pPr>
        <w:ind w:left="120"/>
        <w:spacing w:after="0" w:line="281"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“Notes”). The Notes will be issued by Marvell Technology, Inc., a Delaware corporation (the “Company”). Unless otherwise indicated, for all purposes of this “Description of Notes,” references to the Notes are references to the Notes offered hereby taken together. Although for convenience the 20</w:t>
      </w:r>
    </w:p>
    <w:p>
      <w:pPr>
        <w:spacing w:after="0" w:line="1" w:lineRule="exact"/>
        <w:rPr>
          <w:sz w:val="20"/>
          <w:szCs w:val="20"/>
          <w:color w:val="auto"/>
        </w:rPr>
      </w:pPr>
    </w:p>
    <w:p>
      <w:pPr>
        <w:ind w:left="120" w:right="100"/>
        <w:spacing w:after="0" w:line="253" w:lineRule="auto"/>
        <w:rPr>
          <w:sz w:val="20"/>
          <w:szCs w:val="20"/>
          <w:color w:val="auto"/>
        </w:rPr>
      </w:pPr>
      <w:r>
        <w:rPr>
          <w:rFonts w:ascii="Arial" w:cs="Arial" w:eastAsia="Arial" w:hAnsi="Arial"/>
          <w:sz w:val="18"/>
          <w:szCs w:val="18"/>
          <w:i w:val="1"/>
          <w:iCs w:val="1"/>
          <w:color w:val="auto"/>
        </w:rPr>
        <w:t>Notes and the 20 Notes are referred to as the “Notes,” each will be issued as a separate series of debt securities. The Notes will be issued under the indenture, dated April 12, 2021, between us and U.S. Bank Trust Company, National Association (successor in interest to U.S. Bank National Association), as trustee (the “Trustee”), as supplemented by one or more supplemental indentures relating to the Notes (the indenture, as so supplemented, the “Indenture”). Additional provisions of the Indenture are more fully described under the caption “Description of Debt Securities” in the accompanying prospectus.</w:t>
      </w:r>
    </w:p>
    <w:p>
      <w:pPr>
        <w:spacing w:after="0" w:line="29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i w:val="1"/>
          <w:iCs w:val="1"/>
          <w:color w:val="auto"/>
        </w:rPr>
        <w:t>The following is a summary of the material provisions of the Indenture, the Notes and the Guarantees, if any. This summary supplements, and to the extent inconsistent therewith, replaces, the description of the general terms of our debt securities included in the accompanying prospectus under the caption “Description of Debt Securities.” You can find the definitions of certain terms used in this description under “—Certain Definitions.” The terms defined in “—Certain Definitions” below are used in this “Description of Notes” as so defined.</w:t>
      </w:r>
    </w:p>
    <w:p>
      <w:pPr>
        <w:spacing w:after="0" w:line="279" w:lineRule="exact"/>
        <w:rPr>
          <w:sz w:val="20"/>
          <w:szCs w:val="20"/>
          <w:color w:val="auto"/>
        </w:rPr>
      </w:pPr>
    </w:p>
    <w:p>
      <w:pPr>
        <w:ind w:left="120" w:right="700" w:firstLine="440"/>
        <w:spacing w:after="0" w:line="308" w:lineRule="auto"/>
        <w:rPr>
          <w:sz w:val="20"/>
          <w:szCs w:val="20"/>
          <w:color w:val="auto"/>
        </w:rPr>
      </w:pPr>
      <w:r>
        <w:rPr>
          <w:rFonts w:ascii="Arial" w:cs="Arial" w:eastAsia="Arial" w:hAnsi="Arial"/>
          <w:sz w:val="17"/>
          <w:szCs w:val="17"/>
          <w:i w:val="1"/>
          <w:iCs w:val="1"/>
          <w:color w:val="auto"/>
        </w:rPr>
        <w:t>Capitalized terms used and not defined in this summary have the meanings specified in the Indenture. For purposes of this section of this prospectus supplement, references to “we,” “us” and “our” are to Marvell Technology, Inc. and not to any of its subsidiaries.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Notes will have the following basic terms:</w:t>
      </w:r>
    </w:p>
    <w:p>
      <w:pPr>
        <w:spacing w:after="0" w:line="131" w:lineRule="exact"/>
        <w:rPr>
          <w:sz w:val="20"/>
          <w:szCs w:val="20"/>
          <w:color w:val="auto"/>
        </w:rPr>
      </w:pPr>
    </w:p>
    <w:p>
      <w:pPr>
        <w:ind w:left="1540" w:right="100" w:hanging="331"/>
        <w:spacing w:after="0" w:line="257"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Notes and the Guarantees, if any, will be our and each Guarantor’s, as applicable, general, senior, unsecured obligations, will rank equally in right of payment with all of our and such Guarantor’s existing and future senior, unsecured indebtedness, including any indebtedness we may incur from time to time under our amended and restated revolving credit agreement, dated April 14, 2023 (the “Revolving Credit Agreement”), and our credit agreement, dated December 7, 2020 (as amended, the “2024 and 2026 Term Loan Agreement”);</w:t>
      </w:r>
    </w:p>
    <w:p>
      <w:pPr>
        <w:spacing w:after="0" w:line="93" w:lineRule="exact"/>
        <w:rPr>
          <w:rFonts w:ascii="Arial" w:cs="Arial" w:eastAsia="Arial" w:hAnsi="Arial"/>
          <w:sz w:val="18"/>
          <w:szCs w:val="18"/>
          <w:color w:val="auto"/>
        </w:rPr>
      </w:pPr>
    </w:p>
    <w:p>
      <w:pPr>
        <w:ind w:left="1540" w:right="100" w:hanging="331"/>
        <w:spacing w:after="0" w:line="277"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Notes will be senior in right of payment to any of our indebtedness that is subordinated to the Notes;</w:t>
      </w:r>
    </w:p>
    <w:p>
      <w:pPr>
        <w:spacing w:after="0" w:line="130" w:lineRule="exact"/>
        <w:rPr>
          <w:rFonts w:ascii="Arial" w:cs="Arial" w:eastAsia="Arial" w:hAnsi="Arial"/>
          <w:sz w:val="18"/>
          <w:szCs w:val="18"/>
          <w:color w:val="auto"/>
        </w:rPr>
      </w:pPr>
    </w:p>
    <w:p>
      <w:pPr>
        <w:jc w:val="both"/>
        <w:ind w:left="1540" w:right="360" w:hanging="331"/>
        <w:spacing w:after="0" w:line="263"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Notes will be structurally subordinated to all indebtedness of our subsidiaries that do not guarantee the Notes. As of July 29, 2023, our subsidiaries had $357.8 million of indebtedness (including trade payables) outstanding, all of which would have been structurally senior to the Notes;</w:t>
      </w:r>
    </w:p>
    <w:p>
      <w:pPr>
        <w:sectPr>
          <w:pgSz w:w="11900" w:h="16838" w:orient="portrait"/>
          <w:cols w:equalWidth="0" w:num="1">
            <w:col w:w="11100"/>
          </w:cols>
          <w:pgMar w:left="320" w:top="446" w:right="479" w:bottom="1440" w:gutter="0" w:footer="0" w:header="0"/>
        </w:sectPr>
      </w:pPr>
    </w:p>
    <w:p>
      <w:pPr>
        <w:spacing w:after="0" w:line="89" w:lineRule="exact"/>
        <w:rPr>
          <w:sz w:val="20"/>
          <w:szCs w:val="20"/>
          <w:color w:val="auto"/>
        </w:rPr>
      </w:pPr>
    </w:p>
    <w:p>
      <w:pPr>
        <w:ind w:left="120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6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the 20 Notes initially will be limited to $ aggregate principal amount, and the 20 Notes will initially be limited to $ aggregate principal amount (in each case, subject to our right to issue additional notes as described under “— Further Issuances” below);</w:t>
      </w:r>
    </w:p>
    <w:p>
      <w:pPr>
        <w:spacing w:after="0" w:line="89" w:lineRule="exact"/>
        <w:rPr>
          <w:sz w:val="20"/>
          <w:szCs w:val="20"/>
          <w:color w:val="auto"/>
        </w:rPr>
      </w:pPr>
    </w:p>
    <w:p>
      <w:pPr>
        <w:sectPr>
          <w:pgSz w:w="11900" w:h="16838" w:orient="portrait"/>
          <w:cols w:equalWidth="0" w:num="2">
            <w:col w:w="1280" w:space="260"/>
            <w:col w:w="9560"/>
          </w:cols>
          <w:pgMar w:left="320" w:top="446" w:right="479" w:bottom="1440" w:gutter="0" w:footer="0" w:header="0"/>
          <w:type w:val="continuous"/>
        </w:sectPr>
      </w:pPr>
    </w:p>
    <w:p>
      <w:pPr>
        <w:ind w:left="120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the 20</w:t>
      </w:r>
    </w:p>
    <w:p>
      <w:pPr>
        <w:spacing w:after="0" w:line="20" w:lineRule="exact"/>
        <w:rPr>
          <w:sz w:val="20"/>
          <w:szCs w:val="20"/>
          <w:color w:val="auto"/>
        </w:rPr>
      </w:pPr>
      <w:r>
        <w:rPr>
          <w:sz w:val="20"/>
          <w:szCs w:val="20"/>
          <w:color w:val="auto"/>
        </w:rPr>
        <w:br w:type="column"/>
      </w:r>
    </w:p>
    <w:p>
      <w:pPr>
        <w:jc w:val="center"/>
        <w:ind w:right="60"/>
        <w:spacing w:after="0"/>
        <w:rPr>
          <w:sz w:val="20"/>
          <w:szCs w:val="20"/>
          <w:color w:val="auto"/>
        </w:rPr>
      </w:pPr>
      <w:r>
        <w:rPr>
          <w:rFonts w:ascii="Arial" w:cs="Arial" w:eastAsia="Arial" w:hAnsi="Arial"/>
          <w:sz w:val="16"/>
          <w:szCs w:val="16"/>
          <w:color w:val="auto"/>
        </w:rPr>
        <w:t>Notes will accrue interest at a rate of</w:t>
      </w:r>
    </w:p>
    <w:p>
      <w:pPr>
        <w:spacing w:after="0" w:line="20" w:lineRule="exact"/>
        <w:rPr>
          <w:sz w:val="20"/>
          <w:szCs w:val="20"/>
          <w:color w:val="auto"/>
        </w:rPr>
      </w:pPr>
      <w:r>
        <w:rPr>
          <w:sz w:val="20"/>
          <w:szCs w:val="20"/>
          <w:color w:val="auto"/>
        </w:rPr>
        <w:br w:type="column"/>
      </w:r>
    </w:p>
    <w:p>
      <w:pPr>
        <w:jc w:val="center"/>
        <w:ind w:right="60"/>
        <w:spacing w:after="0"/>
        <w:rPr>
          <w:sz w:val="20"/>
          <w:szCs w:val="20"/>
          <w:color w:val="auto"/>
        </w:rPr>
      </w:pPr>
      <w:r>
        <w:rPr>
          <w:rFonts w:ascii="Arial" w:cs="Arial" w:eastAsia="Arial" w:hAnsi="Arial"/>
          <w:sz w:val="15"/>
          <w:szCs w:val="15"/>
          <w:color w:val="auto"/>
        </w:rPr>
        <w:t>% per annum, and the 20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Notes will accrue interest at a</w:t>
      </w:r>
    </w:p>
    <w:p>
      <w:pPr>
        <w:spacing w:after="0" w:line="45" w:lineRule="exact"/>
        <w:rPr>
          <w:sz w:val="20"/>
          <w:szCs w:val="20"/>
          <w:color w:val="auto"/>
        </w:rPr>
      </w:pPr>
    </w:p>
    <w:p>
      <w:pPr>
        <w:sectPr>
          <w:pgSz w:w="11900" w:h="16838" w:orient="portrait"/>
          <w:cols w:equalWidth="0" w:num="5">
            <w:col w:w="1280" w:space="260"/>
            <w:col w:w="480" w:space="720"/>
            <w:col w:w="2700" w:space="720"/>
            <w:col w:w="1840" w:space="720"/>
            <w:col w:w="2380"/>
          </w:cols>
          <w:pgMar w:left="320" w:top="446" w:right="479" w:bottom="1440" w:gutter="0" w:footer="0" w:header="0"/>
          <w:type w:val="continuous"/>
        </w:sectPr>
      </w:pPr>
    </w:p>
    <w:p>
      <w:pPr>
        <w:ind w:left="1540"/>
        <w:spacing w:after="0"/>
        <w:rPr>
          <w:sz w:val="20"/>
          <w:szCs w:val="20"/>
          <w:color w:val="auto"/>
        </w:rPr>
      </w:pPr>
      <w:r>
        <w:rPr>
          <w:rFonts w:ascii="Arial" w:cs="Arial" w:eastAsia="Arial" w:hAnsi="Arial"/>
          <w:sz w:val="16"/>
          <w:szCs w:val="16"/>
          <w:color w:val="auto"/>
        </w:rPr>
        <w:t>rate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 per annum;</w:t>
      </w:r>
    </w:p>
    <w:p>
      <w:pPr>
        <w:spacing w:after="0" w:line="166" w:lineRule="exact"/>
        <w:rPr>
          <w:sz w:val="20"/>
          <w:szCs w:val="20"/>
          <w:color w:val="auto"/>
        </w:rPr>
      </w:pPr>
    </w:p>
    <w:p>
      <w:pPr>
        <w:sectPr>
          <w:pgSz w:w="11900" w:h="16838" w:orient="portrait"/>
          <w:cols w:equalWidth="0" w:num="2">
            <w:col w:w="2040" w:space="720"/>
            <w:col w:w="8340"/>
          </w:cols>
          <w:pgMar w:left="320" w:top="446" w:right="479" w:bottom="1440" w:gutter="0" w:footer="0" w:header="0"/>
          <w:type w:val="continuous"/>
        </w:sectPr>
      </w:pPr>
    </w:p>
    <w:p>
      <w:pPr>
        <w:jc w:val="center"/>
        <w:ind w:right="-159"/>
        <w:spacing w:after="0"/>
        <w:rPr>
          <w:sz w:val="20"/>
          <w:szCs w:val="20"/>
          <w:color w:val="auto"/>
        </w:rPr>
      </w:pPr>
      <w:r>
        <w:rPr>
          <w:rFonts w:ascii="Arial" w:cs="Arial" w:eastAsia="Arial" w:hAnsi="Arial"/>
          <w:sz w:val="16"/>
          <w:szCs w:val="16"/>
          <w:color w:val="auto"/>
        </w:rPr>
        <w:t>S-14</w:t>
      </w:r>
    </w:p>
    <w:p>
      <w:pPr>
        <w:sectPr>
          <w:pgSz w:w="11900" w:h="16838" w:orient="portrait"/>
          <w:cols w:equalWidth="0" w:num="1">
            <w:col w:w="11100"/>
          </w:cols>
          <w:pgMar w:left="320" w:top="446" w:right="479" w:bottom="1440" w:gutter="0" w:footer="0" w:header="0"/>
          <w:type w:val="continuous"/>
        </w:sectPr>
      </w:pPr>
    </w:p>
    <w:bookmarkStart w:id="20" w:name="page21"/>
    <w:bookmarkEnd w:id="20"/>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tcPr>
          <w:p>
            <w:pPr>
              <w:spacing w:after="0"/>
              <w:rPr>
                <w:sz w:val="20"/>
                <w:szCs w:val="20"/>
                <w:color w:val="auto"/>
              </w:rPr>
            </w:pPr>
            <w:r>
              <w:rPr>
                <w:rFonts w:ascii="Arial" w:cs="Arial" w:eastAsia="Arial" w:hAnsi="Arial"/>
                <w:sz w:val="18"/>
                <w:szCs w:val="18"/>
                <w:b w:val="1"/>
                <w:bCs w:val="1"/>
                <w:color w:val="0000EE"/>
                <w:w w:val="88"/>
              </w:rPr>
              <w:t>Table of Contents</w:t>
            </w:r>
          </w:p>
        </w:tc>
        <w:tc>
          <w:tcPr>
            <w:tcW w:w="100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00" w:type="dxa"/>
            <w:vAlign w:val="bottom"/>
          </w:tcPr>
          <w:p>
            <w:pPr>
              <w:spacing w:after="0"/>
              <w:rPr>
                <w:sz w:val="17"/>
                <w:szCs w:val="17"/>
                <w:color w:val="auto"/>
              </w:rPr>
            </w:pPr>
          </w:p>
        </w:tc>
      </w:tr>
      <w:tr>
        <w:trPr>
          <w:trHeight w:val="519"/>
        </w:trPr>
        <w:tc>
          <w:tcPr>
            <w:tcW w:w="2360" w:type="dxa"/>
            <w:vAlign w:val="bottom"/>
            <w:gridSpan w:val="2"/>
          </w:tcPr>
          <w:p>
            <w:pPr>
              <w:ind w:left="1200"/>
              <w:spacing w:after="0"/>
              <w:rPr>
                <w:sz w:val="20"/>
                <w:szCs w:val="20"/>
                <w:color w:val="auto"/>
              </w:rPr>
            </w:pPr>
            <w:r>
              <w:rPr>
                <w:rFonts w:ascii="Arial" w:cs="Arial" w:eastAsia="Arial" w:hAnsi="Arial"/>
                <w:sz w:val="18"/>
                <w:szCs w:val="18"/>
                <w:color w:val="auto"/>
              </w:rPr>
              <w:t>•   the 20</w:t>
            </w:r>
          </w:p>
        </w:tc>
        <w:tc>
          <w:tcPr>
            <w:tcW w:w="2280" w:type="dxa"/>
            <w:vAlign w:val="bottom"/>
          </w:tcPr>
          <w:p>
            <w:pPr>
              <w:ind w:left="380"/>
              <w:spacing w:after="0"/>
              <w:rPr>
                <w:sz w:val="20"/>
                <w:szCs w:val="20"/>
                <w:color w:val="auto"/>
              </w:rPr>
            </w:pPr>
            <w:r>
              <w:rPr>
                <w:rFonts w:ascii="Arial" w:cs="Arial" w:eastAsia="Arial" w:hAnsi="Arial"/>
                <w:sz w:val="18"/>
                <w:szCs w:val="18"/>
                <w:color w:val="auto"/>
              </w:rPr>
              <w:t>Notes will mature on</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 20</w:t>
            </w:r>
          </w:p>
        </w:tc>
        <w:tc>
          <w:tcPr>
            <w:tcW w:w="1260" w:type="dxa"/>
            <w:vAlign w:val="bottom"/>
          </w:tcPr>
          <w:p>
            <w:pPr>
              <w:ind w:left="40"/>
              <w:spacing w:after="0"/>
              <w:rPr>
                <w:sz w:val="20"/>
                <w:szCs w:val="20"/>
                <w:color w:val="auto"/>
              </w:rPr>
            </w:pPr>
            <w:r>
              <w:rPr>
                <w:rFonts w:ascii="Arial" w:cs="Arial" w:eastAsia="Arial" w:hAnsi="Arial"/>
                <w:sz w:val="18"/>
                <w:szCs w:val="18"/>
                <w:color w:val="auto"/>
              </w:rPr>
              <w:t>, and the 20</w:t>
            </w:r>
          </w:p>
        </w:tc>
        <w:tc>
          <w:tcPr>
            <w:tcW w:w="2280" w:type="dxa"/>
            <w:vAlign w:val="bottom"/>
          </w:tcPr>
          <w:p>
            <w:pPr>
              <w:ind w:left="380"/>
              <w:spacing w:after="0"/>
              <w:rPr>
                <w:sz w:val="20"/>
                <w:szCs w:val="20"/>
                <w:color w:val="auto"/>
              </w:rPr>
            </w:pPr>
            <w:r>
              <w:rPr>
                <w:rFonts w:ascii="Arial" w:cs="Arial" w:eastAsia="Arial" w:hAnsi="Arial"/>
                <w:sz w:val="18"/>
                <w:szCs w:val="18"/>
                <w:color w:val="auto"/>
              </w:rPr>
              <w:t>Notes will mature on</w:t>
            </w:r>
          </w:p>
        </w:tc>
        <w:tc>
          <w:tcPr>
            <w:tcW w:w="1000" w:type="dxa"/>
            <w:vAlign w:val="bottom"/>
          </w:tcPr>
          <w:p>
            <w:pPr>
              <w:jc w:val="right"/>
              <w:ind w:right="270"/>
              <w:spacing w:after="0"/>
              <w:rPr>
                <w:sz w:val="20"/>
                <w:szCs w:val="20"/>
                <w:color w:val="auto"/>
              </w:rPr>
            </w:pPr>
            <w:r>
              <w:rPr>
                <w:rFonts w:ascii="Arial" w:cs="Arial" w:eastAsia="Arial" w:hAnsi="Arial"/>
                <w:sz w:val="18"/>
                <w:szCs w:val="18"/>
                <w:color w:val="auto"/>
              </w:rPr>
              <w:t>, 20</w:t>
            </w:r>
          </w:p>
        </w:tc>
        <w:tc>
          <w:tcPr>
            <w:tcW w:w="600" w:type="dxa"/>
            <w:vAlign w:val="bottom"/>
          </w:tcPr>
          <w:p>
            <w:pPr>
              <w:ind w:left="360"/>
              <w:spacing w:after="0"/>
              <w:rPr>
                <w:sz w:val="20"/>
                <w:szCs w:val="20"/>
                <w:color w:val="auto"/>
              </w:rPr>
            </w:pPr>
            <w:r>
              <w:rPr>
                <w:rFonts w:ascii="Arial" w:cs="Arial" w:eastAsia="Arial" w:hAnsi="Arial"/>
                <w:sz w:val="18"/>
                <w:szCs w:val="18"/>
                <w:color w:val="auto"/>
                <w:w w:val="91"/>
              </w:rPr>
              <w:t>, in</w:t>
            </w:r>
          </w:p>
        </w:tc>
      </w:tr>
      <w:tr>
        <w:trPr>
          <w:trHeight w:val="230"/>
        </w:trPr>
        <w:tc>
          <w:tcPr>
            <w:tcW w:w="1360" w:type="dxa"/>
            <w:vAlign w:val="bottom"/>
          </w:tcPr>
          <w:p>
            <w:pPr>
              <w:spacing w:after="0"/>
              <w:rPr>
                <w:sz w:val="20"/>
                <w:szCs w:val="20"/>
                <w:color w:val="auto"/>
              </w:rPr>
            </w:pPr>
          </w:p>
        </w:tc>
        <w:tc>
          <w:tcPr>
            <w:tcW w:w="4620" w:type="dxa"/>
            <w:vAlign w:val="bottom"/>
            <w:gridSpan w:val="3"/>
          </w:tcPr>
          <w:p>
            <w:pPr>
              <w:jc w:val="right"/>
              <w:spacing w:after="0"/>
              <w:rPr>
                <w:sz w:val="20"/>
                <w:szCs w:val="20"/>
                <w:color w:val="auto"/>
              </w:rPr>
            </w:pPr>
            <w:r>
              <w:rPr>
                <w:rFonts w:ascii="Arial" w:cs="Arial" w:eastAsia="Arial" w:hAnsi="Arial"/>
                <w:sz w:val="18"/>
                <w:szCs w:val="18"/>
                <w:color w:val="auto"/>
                <w:w w:val="90"/>
              </w:rPr>
              <w:t>each case, unless redeemed or repurchased prior to such date;</w:t>
            </w:r>
          </w:p>
        </w:tc>
        <w:tc>
          <w:tcPr>
            <w:tcW w:w="1260" w:type="dxa"/>
            <w:vAlign w:val="bottom"/>
          </w:tcPr>
          <w:p>
            <w:pPr>
              <w:spacing w:after="0"/>
              <w:rPr>
                <w:sz w:val="20"/>
                <w:szCs w:val="20"/>
                <w:color w:val="auto"/>
              </w:rPr>
            </w:pPr>
          </w:p>
        </w:tc>
        <w:tc>
          <w:tcPr>
            <w:tcW w:w="22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600" w:type="dxa"/>
            <w:vAlign w:val="bottom"/>
          </w:tcPr>
          <w:p>
            <w:pPr>
              <w:spacing w:after="0"/>
              <w:rPr>
                <w:sz w:val="20"/>
                <w:szCs w:val="20"/>
                <w:color w:val="auto"/>
              </w:rPr>
            </w:pPr>
          </w:p>
        </w:tc>
      </w:tr>
    </w:tbl>
    <w:p>
      <w:pPr>
        <w:spacing w:after="0" w:line="10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both"/>
        <w:ind w:left="1540" w:right="480" w:hanging="331"/>
        <w:spacing w:after="0" w:line="291" w:lineRule="auto"/>
        <w:tabs>
          <w:tab w:leader="none" w:pos="15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interest will accrue on each series of Notes from the most recent interest payment date for which interest has been paid or duly provided for (or if no interest has been paid or duly provided for, from the date of initial issuance of the Notes), payable semi-</w:t>
      </w:r>
    </w:p>
    <w:p>
      <w:pPr>
        <w:ind w:left="1540"/>
        <w:spacing w:after="0"/>
        <w:tabs>
          <w:tab w:leader="none" w:pos="3840" w:val="left"/>
          <w:tab w:leader="none" w:pos="4860" w:val="left"/>
          <w:tab w:leader="none" w:pos="7540" w:val="left"/>
        </w:tabs>
        <w:rPr>
          <w:sz w:val="20"/>
          <w:szCs w:val="20"/>
          <w:color w:val="auto"/>
        </w:rPr>
      </w:pPr>
      <w:r>
        <w:rPr>
          <w:rFonts w:ascii="Arial" w:cs="Arial" w:eastAsia="Arial" w:hAnsi="Arial"/>
          <w:sz w:val="18"/>
          <w:szCs w:val="18"/>
          <w:color w:val="auto"/>
        </w:rPr>
        <w:t>annually in arrears on</w:t>
      </w:r>
      <w:r>
        <w:rPr>
          <w:sz w:val="20"/>
          <w:szCs w:val="20"/>
          <w:color w:val="auto"/>
        </w:rPr>
        <w:tab/>
      </w:r>
      <w:r>
        <w:rPr>
          <w:rFonts w:ascii="Arial" w:cs="Arial" w:eastAsia="Arial" w:hAnsi="Arial"/>
          <w:sz w:val="18"/>
          <w:szCs w:val="18"/>
          <w:color w:val="auto"/>
        </w:rPr>
        <w:t>and</w:t>
      </w:r>
      <w:r>
        <w:rPr>
          <w:sz w:val="20"/>
          <w:szCs w:val="20"/>
          <w:color w:val="auto"/>
        </w:rPr>
        <w:tab/>
      </w:r>
      <w:r>
        <w:rPr>
          <w:rFonts w:ascii="Arial" w:cs="Arial" w:eastAsia="Arial" w:hAnsi="Arial"/>
          <w:sz w:val="18"/>
          <w:szCs w:val="18"/>
          <w:color w:val="auto"/>
        </w:rPr>
        <w:t>of each year, beginning on</w:t>
      </w:r>
      <w:r>
        <w:rPr>
          <w:sz w:val="20"/>
          <w:szCs w:val="20"/>
          <w:color w:val="auto"/>
        </w:rPr>
        <w:tab/>
      </w:r>
      <w:r>
        <w:rPr>
          <w:rFonts w:ascii="Arial" w:cs="Arial" w:eastAsia="Arial" w:hAnsi="Arial"/>
          <w:sz w:val="16"/>
          <w:szCs w:val="16"/>
          <w:color w:val="auto"/>
        </w:rPr>
        <w:t>, 2024;</w:t>
      </w:r>
    </w:p>
    <w:p>
      <w:pPr>
        <w:spacing w:after="0" w:line="116" w:lineRule="exact"/>
        <w:rPr>
          <w:sz w:val="20"/>
          <w:szCs w:val="20"/>
          <w:color w:val="auto"/>
        </w:rPr>
      </w:pPr>
    </w:p>
    <w:p>
      <w:pPr>
        <w:ind w:left="1540" w:hanging="331"/>
        <w:spacing w:after="0"/>
        <w:tabs>
          <w:tab w:leader="none" w:pos="1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we may redeem either series of Notes prior to its maturity, in whole or in part, as described under “—Optional Redemption” below;</w:t>
      </w:r>
    </w:p>
    <w:p>
      <w:pPr>
        <w:spacing w:after="0" w:line="153" w:lineRule="exact"/>
        <w:rPr>
          <w:rFonts w:ascii="Arial" w:cs="Arial" w:eastAsia="Arial" w:hAnsi="Arial"/>
          <w:sz w:val="16"/>
          <w:szCs w:val="16"/>
          <w:color w:val="auto"/>
        </w:rPr>
      </w:pPr>
    </w:p>
    <w:p>
      <w:pPr>
        <w:ind w:left="1540" w:right="100" w:hanging="331"/>
        <w:spacing w:after="0" w:line="279" w:lineRule="auto"/>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we may redeem all, but not part, of each series of Notes in the event that additional amounts become payable as described in the accompanying prospectus under the caption “Description of Debt Securities—Covenants—Payments of Additional Amounts” upon the occurrence of certain tax events at the redemption prices described in the accompanying prospectus under the caption “Description of Debt Securities—Covenants—Redemption for Tax Purposes”;</w:t>
      </w:r>
    </w:p>
    <w:p>
      <w:pPr>
        <w:spacing w:after="0" w:line="76" w:lineRule="exact"/>
        <w:rPr>
          <w:rFonts w:ascii="Arial" w:cs="Arial" w:eastAsia="Arial" w:hAnsi="Arial"/>
          <w:sz w:val="17"/>
          <w:szCs w:val="17"/>
          <w:color w:val="auto"/>
        </w:rPr>
      </w:pPr>
    </w:p>
    <w:p>
      <w:pPr>
        <w:ind w:left="1540" w:hanging="331"/>
        <w:spacing w:after="0" w:line="263"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may be required to repurchase each series of Notes, in whole or in part, at your option, in connection with the occurrence of a “change of control repurchase event” with respect to such series of Notes as described under “—Purchase of Notes upon a Change of Control Repurchase Event” below;</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Notes will be issued in registered form in minimum denominations of $2,000 and multiples of $1,000 in excess thereof;</w:t>
      </w:r>
    </w:p>
    <w:p>
      <w:pPr>
        <w:spacing w:after="0" w:line="142" w:lineRule="exact"/>
        <w:rPr>
          <w:rFonts w:ascii="Arial" w:cs="Arial" w:eastAsia="Arial" w:hAnsi="Arial"/>
          <w:sz w:val="17"/>
          <w:szCs w:val="17"/>
          <w:color w:val="auto"/>
        </w:rPr>
      </w:pPr>
    </w:p>
    <w:p>
      <w:pPr>
        <w:ind w:left="1540" w:right="620" w:hanging="331"/>
        <w:spacing w:after="0" w:line="308" w:lineRule="auto"/>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Notes will be represented by one or more global notes registered in the name of a nominee of DTC, but in certain limited circumstances may be represented by Notes in definitive form. See “Book-Entry Settlement and Clearance”;</w:t>
      </w:r>
    </w:p>
    <w:p>
      <w:pPr>
        <w:spacing w:after="0" w:line="51" w:lineRule="exact"/>
        <w:rPr>
          <w:rFonts w:ascii="Arial" w:cs="Arial" w:eastAsia="Arial" w:hAnsi="Arial"/>
          <w:sz w:val="17"/>
          <w:szCs w:val="17"/>
          <w:color w:val="auto"/>
        </w:rPr>
      </w:pPr>
    </w:p>
    <w:p>
      <w:pPr>
        <w:ind w:left="1540" w:right="220" w:hanging="331"/>
        <w:spacing w:after="0" w:line="277"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exchangeable and transferable at the office or agency maintained by us for such purposes (which initially will be the corporate trust office of the Trustee); and</w:t>
      </w:r>
    </w:p>
    <w:p>
      <w:pPr>
        <w:spacing w:after="0" w:line="75" w:lineRule="exact"/>
        <w:rPr>
          <w:rFonts w:ascii="Arial" w:cs="Arial" w:eastAsia="Arial" w:hAnsi="Arial"/>
          <w:sz w:val="18"/>
          <w:szCs w:val="18"/>
          <w:color w:val="auto"/>
        </w:rPr>
      </w:pPr>
    </w:p>
    <w:p>
      <w:pPr>
        <w:ind w:left="1540" w:right="300" w:hanging="331"/>
        <w:spacing w:after="0" w:line="342" w:lineRule="auto"/>
        <w:tabs>
          <w:tab w:leader="none" w:pos="1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fully and unconditionally guaranteed by any existing and future domestic subsidiary of ours that becomes a borrower or guarantor under the Revolving Credit Agreement or the 2024 and 2026 Term Loan Agreement. See “—Guarantees.”</w:t>
      </w:r>
    </w:p>
    <w:p>
      <w:pPr>
        <w:spacing w:after="0" w:line="124" w:lineRule="exact"/>
        <w:rPr>
          <w:sz w:val="20"/>
          <w:szCs w:val="20"/>
          <w:color w:val="auto"/>
        </w:rPr>
      </w:pPr>
    </w:p>
    <w:p>
      <w:pPr>
        <w:ind w:left="120" w:right="480" w:firstLine="440"/>
        <w:spacing w:after="0" w:line="277" w:lineRule="auto"/>
        <w:rPr>
          <w:sz w:val="20"/>
          <w:szCs w:val="20"/>
          <w:color w:val="auto"/>
        </w:rPr>
      </w:pPr>
      <w:r>
        <w:rPr>
          <w:rFonts w:ascii="Arial" w:cs="Arial" w:eastAsia="Arial" w:hAnsi="Arial"/>
          <w:sz w:val="18"/>
          <w:szCs w:val="18"/>
          <w:color w:val="auto"/>
        </w:rPr>
        <w:t>We do not intend to list the Notes on any securities exchange or include the Notes in any automated quotation system. The Notes will not be subject to any sinking fund.</w:t>
      </w:r>
    </w:p>
    <w:p>
      <w:pPr>
        <w:spacing w:after="0" w:line="170" w:lineRule="exact"/>
        <w:rPr>
          <w:sz w:val="20"/>
          <w:szCs w:val="20"/>
          <w:color w:val="auto"/>
        </w:rPr>
      </w:pPr>
    </w:p>
    <w:p>
      <w:pPr>
        <w:ind w:left="120" w:right="80" w:firstLine="440"/>
        <w:spacing w:after="0" w:line="255" w:lineRule="auto"/>
        <w:rPr>
          <w:sz w:val="20"/>
          <w:szCs w:val="20"/>
          <w:color w:val="auto"/>
        </w:rPr>
      </w:pPr>
      <w:r>
        <w:rPr>
          <w:rFonts w:ascii="Arial" w:cs="Arial" w:eastAsia="Arial" w:hAnsi="Arial"/>
          <w:sz w:val="18"/>
          <w:szCs w:val="18"/>
          <w:color w:val="auto"/>
        </w:rPr>
        <w:t>We may, to the extent permitted by law, and directly or indirectly (regardless of whether such Notes are surrendered to us), purchase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Notes so purchased (other than Notes purchased pursuant to cash-settled swaps or other derivatives) to be surrendered to the Trustee for cancellation, together with a company order to cancel such Notes, and they will no longer be considered “outstanding” under the Indenture upon their surrender to the Trustee for cancellation.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Whenever in this “Description of Notes” section there is mention, in any context, of:</w:t>
      </w:r>
    </w:p>
    <w:p>
      <w:pPr>
        <w:spacing w:after="0" w:line="131" w:lineRule="exact"/>
        <w:rPr>
          <w:sz w:val="20"/>
          <w:szCs w:val="20"/>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purchase price in connection with the purchase of a Note,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5460" w:right="5320" w:hanging="4251"/>
        <w:spacing w:after="0" w:line="535" w:lineRule="auto"/>
        <w:tabs>
          <w:tab w:leader="none" w:pos="1539" w:val="left"/>
        </w:tabs>
        <w:numPr>
          <w:ilvl w:val="0"/>
          <w:numId w:val="15"/>
        </w:numPr>
        <w:rPr>
          <w:rFonts w:ascii="Arial" w:cs="Arial" w:eastAsia="Arial" w:hAnsi="Arial"/>
          <w:sz w:val="16"/>
          <w:szCs w:val="16"/>
          <w:color w:val="auto"/>
        </w:rPr>
      </w:pPr>
      <w:r>
        <w:rPr>
          <w:rFonts w:ascii="Arial" w:cs="Arial" w:eastAsia="Arial" w:hAnsi="Arial"/>
          <w:sz w:val="16"/>
          <w:szCs w:val="16"/>
          <w:color w:val="auto"/>
        </w:rPr>
        <w:t>any other amount payable on or with respect to the Notes, S-15</w:t>
      </w:r>
    </w:p>
    <w:p>
      <w:pPr>
        <w:sectPr>
          <w:pgSz w:w="11900" w:h="16838" w:orient="portrait"/>
          <w:cols w:equalWidth="0" w:num="1">
            <w:col w:w="11120"/>
          </w:cols>
          <w:pgMar w:left="320" w:top="446" w:right="459" w:bottom="1440" w:gutter="0" w:footer="0" w:header="0"/>
        </w:sectPr>
      </w:pPr>
    </w:p>
    <w:bookmarkStart w:id="21" w:name="page22"/>
    <w:bookmarkEnd w:id="2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jc w:val="both"/>
        <w:ind w:left="120" w:right="200"/>
        <w:spacing w:after="0" w:line="263" w:lineRule="auto"/>
        <w:rPr>
          <w:sz w:val="20"/>
          <w:szCs w:val="20"/>
          <w:color w:val="auto"/>
        </w:rPr>
      </w:pPr>
      <w:r>
        <w:rPr>
          <w:rFonts w:ascii="Arial" w:cs="Arial" w:eastAsia="Arial" w:hAnsi="Arial"/>
          <w:sz w:val="18"/>
          <w:szCs w:val="18"/>
          <w:color w:val="auto"/>
        </w:rPr>
        <w:t>such reference shall be deemed to include payment of additional amounts to the extent that, in such context, additional amounts are, were or would be payable in respect thereof, as described in the accompanying prospectus under the caption “Description of Debt Securities—Covenants—Payments of Additional Amounts.”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Guarantees</w:t>
      </w:r>
    </w:p>
    <w:p>
      <w:pPr>
        <w:spacing w:after="0" w:line="121"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None of our subsidiaries will guarantee the Notes on the date of original issuance. The Indenture will provide that our obligations under the Notes and the Indenture will be, jointly and severally, unconditionally guaranteed by each existing and future domestic subsidiary of the Company that becomes a borrower or guarantor under the Revolving Credit Agreement and the 2024 and 2026 Term Loan Agreement, on a senior, unsecured basis.</w:t>
      </w:r>
    </w:p>
    <w:p>
      <w:pPr>
        <w:spacing w:after="0" w:line="149"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Any Guarantor will guarantee on a senior, unsecured basis our obligations under the Notes and all of our other obligations under the Indenture, and any Guarantor’s guarantee of the Notes will be “full and unconditional,” as that term is used in Regulation S-X, Rule 3-10(e)(2), except that in the future the Guarantee may be released or terminated under certain circumstances as set forth below.</w:t>
      </w:r>
    </w:p>
    <w:p>
      <w:pPr>
        <w:spacing w:after="0" w:line="184"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The obligations of any Guarantor will be limited in a manner designed to prevent such Guarantee from constituting a fraudulent conveyance or fraudulent transfer under applicable law, although no assurance can be given that a court would give the holder the benefit of such provision. See “Risk Factors—Risks Related to this Offering and the Notes—Federal and state fraudulent transfer laws may permit a court to void the Notes and any Guarantees thereto, subordinate claims in respect of the Notes and any Guarantees thereto and require holders of the Notes to return payments received and, if that occurs, you may not receive any payments on the Notes.” If a Guarantee were rendered voidable, it could be subordinated by a court to all other indebtedness (including Guarantees and other contingent liabilities) of such Guarantor, and, depending on the amount of such indebtedness, such Guarantor’s liability on the Guarantee could be reduced to zero.</w:t>
      </w:r>
    </w:p>
    <w:p>
      <w:pPr>
        <w:spacing w:after="0" w:line="177"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Any Guarantor will be released and discharged automatically and unconditionally from all its obligations under the Indenture and the Guarantee and will cease to be a Guarantor, without any further action required on the part of the Trustee or any holder:</w:t>
      </w:r>
    </w:p>
    <w:p>
      <w:pPr>
        <w:spacing w:after="0" w:line="76" w:lineRule="exact"/>
        <w:rPr>
          <w:sz w:val="20"/>
          <w:szCs w:val="20"/>
          <w:color w:val="auto"/>
        </w:rPr>
      </w:pPr>
    </w:p>
    <w:p>
      <w:pPr>
        <w:ind w:left="1080" w:right="1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we exercise our legal defeasance or our covenant defeasance options with respect to the Notes or if our obligations under the Indenture are discharged in accordance with the terms thereof;</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upon the release or discharge of such Guarantor’s obligations under the Revolving Credit Agreement and the 2024 and 2026 Term Loan Agreement.</w:t>
      </w:r>
    </w:p>
    <w:p>
      <w:pPr>
        <w:spacing w:after="0" w:line="170"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Upon delivery by us to the Trustee of an officer’s certificate and an opinion of counsel to the effect that any of the conditions described above has occurred, the Trustee shall, at our expense, execute any supplemental indenture or other documents reasonably requested by us in order to evidence the release of a Guarantor from its obligations under its Guarantee and the Indenture.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Definitions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will contain the following defined terms:</w:t>
      </w:r>
    </w:p>
    <w:p>
      <w:pPr>
        <w:spacing w:after="0" w:line="117"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S-16</w:t>
      </w:r>
    </w:p>
    <w:p>
      <w:pPr>
        <w:sectPr>
          <w:pgSz w:w="11900" w:h="16838" w:orient="portrait"/>
          <w:cols w:equalWidth="0" w:num="1">
            <w:col w:w="11120"/>
          </w:cols>
          <w:pgMar w:left="320" w:top="459" w:right="459" w:bottom="1440" w:gutter="0" w:footer="0" w:header="0"/>
        </w:sectPr>
      </w:pPr>
    </w:p>
    <w:bookmarkStart w:id="22" w:name="page23"/>
    <w:bookmarkEnd w:id="2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0"/>
        <w:spacing w:after="0" w:line="275" w:lineRule="auto"/>
        <w:rPr>
          <w:sz w:val="20"/>
          <w:szCs w:val="20"/>
          <w:color w:val="auto"/>
        </w:rPr>
      </w:pPr>
      <w:r>
        <w:rPr>
          <w:rFonts w:ascii="Arial" w:cs="Arial" w:eastAsia="Arial" w:hAnsi="Arial"/>
          <w:sz w:val="17"/>
          <w:szCs w:val="17"/>
          <w:color w:val="auto"/>
        </w:rPr>
        <w:t>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76"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guarantee</w:t>
      </w:r>
      <w:r>
        <w:rPr>
          <w:rFonts w:ascii="Arial" w:cs="Arial" w:eastAsia="Arial" w:hAnsi="Arial"/>
          <w:sz w:val="17"/>
          <w:szCs w:val="17"/>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 however, that the term “guarantee” will not include endorsements for collection or deposit in the ordinary course of business. The term “guarantee,” when used as a verb, has a correlative meaning.</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17" w:lineRule="exact"/>
        <w:rPr>
          <w:sz w:val="20"/>
          <w:szCs w:val="20"/>
          <w:color w:val="auto"/>
        </w:rPr>
      </w:pPr>
    </w:p>
    <w:p>
      <w:pPr>
        <w:ind w:left="1100" w:right="20"/>
        <w:spacing w:after="0" w:line="277" w:lineRule="auto"/>
        <w:rPr>
          <w:sz w:val="20"/>
          <w:szCs w:val="20"/>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6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agreements or arrangements designed to manage interest rates or interest rate risk; and</w:t>
      </w:r>
    </w:p>
    <w:p>
      <w:pPr>
        <w:spacing w:after="0" w:line="117"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Non-recourse Obligation</w:t>
      </w:r>
      <w:r>
        <w:rPr>
          <w:rFonts w:ascii="Arial" w:cs="Arial" w:eastAsia="Arial" w:hAnsi="Arial"/>
          <w:sz w:val="18"/>
          <w:szCs w:val="18"/>
          <w:color w:val="auto"/>
        </w:rPr>
        <w:t>” means indebtedness or other obligations substantially related to (1) the acquisition of assets not previously owned by us, any Guarantor or any direct or indirect subsidiaries of ours or its or (2) the financing of a project involving the development or expansion of our properties or properties of any Guarantor or any direct or indirect subsidiaries of ours or any Guarantor, as to which the obligee with respect to such indebtedness or obligation has no recourse to us or any direct or indirect subsidiary of ours or any Guarantor’s or such subsidiary’s assets other than the assets which were acquired with the proceeds of such transaction or the project financed with the proceeds of such transaction (and the proceeds thereof).</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S-17</w:t>
      </w:r>
    </w:p>
    <w:p>
      <w:pPr>
        <w:sectPr>
          <w:pgSz w:w="11900" w:h="16838" w:orient="portrait"/>
          <w:cols w:equalWidth="0" w:num="1">
            <w:col w:w="11120"/>
          </w:cols>
          <w:pgMar w:left="320" w:top="459" w:right="459" w:bottom="1440" w:gutter="0" w:footer="0" w:header="0"/>
        </w:sectPr>
      </w:pPr>
    </w:p>
    <w:bookmarkStart w:id="23" w:name="page24"/>
    <w:bookmarkEnd w:id="2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120" w:right="16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Property</w:t>
      </w:r>
      <w:r>
        <w:rPr>
          <w:rFonts w:ascii="Arial" w:cs="Arial" w:eastAsia="Arial" w:hAnsi="Arial"/>
          <w:sz w:val="18"/>
          <w:szCs w:val="18"/>
          <w:color w:val="auto"/>
        </w:rPr>
        <w:t>” means (i) any real property or any permanent improvement thereon owned by us, any Guarantor or any of our restricted subsidiaries located in the United States, except such as our management determines in good faith (taking into account, among other things, the importance of such property to the business, financial condition and earnings of us, any Guarantor and our restricted subsidiaries taken as a whole) not to be of material importance to the business of us, any Guarantor and our restricted subsidiaries, taken as a whole, and (ii) the capital stock of any United States subsidiary that is owned by us, any Guarantor or any of our restricted subsidiaries, in the case of each of clause (i) and (ii), whether now owned or hereafter acquired.</w:t>
      </w:r>
    </w:p>
    <w:p>
      <w:pPr>
        <w:spacing w:after="0" w:line="192"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or any Guarantor of which substantially all of its property is located, or substantially all of its business is conducted, in the United States.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jc w:val="both"/>
        <w:ind w:left="120" w:right="100" w:firstLine="440"/>
        <w:spacing w:after="0" w:line="286" w:lineRule="auto"/>
        <w:rPr>
          <w:sz w:val="20"/>
          <w:szCs w:val="20"/>
          <w:color w:val="auto"/>
        </w:rPr>
      </w:pPr>
      <w:r>
        <w:rPr>
          <w:rFonts w:ascii="Arial" w:cs="Arial" w:eastAsia="Arial" w:hAnsi="Arial"/>
          <w:sz w:val="17"/>
          <w:szCs w:val="17"/>
          <w:color w:val="auto"/>
        </w:rPr>
        <w:t>Each series of Notes will begin to accrue interest from the date on which it is originally issued. Interest on each series of Notes will be paid to the persons in whose name the Notes are registered at the close of business on or, as the case may be, immediately preceding the relevant interest payment date. Interest on each series of Notes will be computed on the basis of a 360-day year comprised of twelve 30-day months.</w:t>
      </w:r>
    </w:p>
    <w:p>
      <w:pPr>
        <w:spacing w:after="0" w:line="16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As used in the Indenture, the term “business day”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If any interest payment date, redemption date, repayment date or stated maturity of any series of Notes falls on a date that is not a business day, then payment of principal and premium, if any, or interest, or the redemption of such series of Notes, will be made on the next succeeding business day at such place of payment with the same force and effect as if made on the interest payment date, redemption date or repayment date, or at the stated maturity. No interest shall accrue for the period from and after any such interest payment date, redemption date, repayment date, or stated maturity, as the case may be, to the date of such payment.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If any series of Notes are no longer represented by a global note, payment of interest on certificated Notes in definitive form may, at our option, be made by (i) check mailed directly to holders of such series at their registered addresses, or (ii) upon written request of any holder of at least $5,000,000 principal amount of such series of Notes, wire transfer to an account located in the United States maintained by such holder. See “Description of Debt Securities—Payment and Transfer or Exchange” in the accompanying prospectus.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The Notes will be our senior, unsecured obligations and will rank equally in right of payment with all our future senior, unsecured indebtedness, including $500.0 million aggregate principal amount of the Company’s 1.650% Senior Notes due 2026, $750.0 million aggregate principal amount of the Company’s 2.450% Senior</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S-18</w:t>
      </w:r>
    </w:p>
    <w:p>
      <w:pPr>
        <w:sectPr>
          <w:pgSz w:w="11900" w:h="16838" w:orient="portrait"/>
          <w:cols w:equalWidth="0" w:num="1">
            <w:col w:w="11120"/>
          </w:cols>
          <w:pgMar w:left="320" w:top="459" w:right="459" w:bottom="1440" w:gutter="0" w:footer="0" w:header="0"/>
        </w:sectPr>
      </w:pPr>
    </w:p>
    <w:bookmarkStart w:id="24" w:name="page25"/>
    <w:bookmarkEnd w:id="2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Notes due 2028, $750.0 million aggregate principal amount of the Company’s 2.950% Senior Notes due 2031 and $499.9 million aggregate principal amount of the Company’s 4.875% Senior Notes due 2028, each of which were issued under the Indenture, and any indebtedness we may incur from time to time under the Revolving Credit Agreement and our 2024 and 2026 Term Loan Agreement. The Notes will effectively rank junior to all our future secured indebtedness, to the extent of the value of the assets securing such indebtedness, and will be structurally subordinated to all indebtedness of our subsidiaries that do not guarantee the Notes. We derive a majority of our operating income and cash flow from our subsidiaries. Therefore, our ability to make payments when due to the holders of the Notes is, in part, dependent upon the receipt of sufficient funds from our subsidiaries.</w:t>
      </w:r>
    </w:p>
    <w:p>
      <w:pPr>
        <w:spacing w:after="0" w:line="164"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In addition, claims of creditors of our subsidiaries that do not guarantee the Notes generally will have priority with respect to the assets and earnings of such subsidiaries over the claims of our creditors, including holders of the Notes. Accordingly, the Notes will be effectively subordinated to creditors, including trade creditors, of our subsidiaries that do not guarantee the Notes. As of July 29, 2023, our subsidiaries had $357.8 million of indebtedness (including trade payables) outstanding, all of which would have been structurally senior to the Notes.</w:t>
      </w:r>
    </w:p>
    <w:p>
      <w:pPr>
        <w:spacing w:after="0" w:line="171" w:lineRule="exact"/>
        <w:rPr>
          <w:sz w:val="20"/>
          <w:szCs w:val="20"/>
          <w:color w:val="auto"/>
        </w:rPr>
      </w:pPr>
    </w:p>
    <w:p>
      <w:pPr>
        <w:ind w:left="120" w:right="160" w:firstLine="440"/>
        <w:spacing w:after="0" w:line="308" w:lineRule="auto"/>
        <w:rPr>
          <w:sz w:val="20"/>
          <w:szCs w:val="20"/>
          <w:color w:val="auto"/>
        </w:rPr>
      </w:pPr>
      <w:r>
        <w:rPr>
          <w:rFonts w:ascii="Arial" w:cs="Arial" w:eastAsia="Arial" w:hAnsi="Arial"/>
          <w:sz w:val="17"/>
          <w:szCs w:val="17"/>
          <w:color w:val="auto"/>
        </w:rPr>
        <w:t>As of July 29, 2023, we had $4.18 billion of outstanding consolidated indebtedness. After giving effect to this offering and the application of the net proceeds therefrom, we would have had approximately $ billion of outstanding consolidated indebtedness as of July 29, 2023.</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100" w:firstLine="440"/>
        <w:spacing w:after="0" w:line="258" w:lineRule="auto"/>
        <w:rPr>
          <w:sz w:val="20"/>
          <w:szCs w:val="20"/>
          <w:color w:val="auto"/>
        </w:rPr>
      </w:pPr>
      <w:r>
        <w:rPr>
          <w:rFonts w:ascii="Arial" w:cs="Arial" w:eastAsia="Arial" w:hAnsi="Arial"/>
          <w:sz w:val="18"/>
          <w:szCs w:val="18"/>
          <w:color w:val="auto"/>
        </w:rPr>
        <w:t>Prior to , 20 for the 20 Notes ( months prior to the maturity date for the 20 Notes) and , 20 for the 20 Notes ( months prior to the maturity date for the 20 Notes) (each such date, a “Par Call Date”), the Company may</w:t>
      </w:r>
    </w:p>
    <w:p>
      <w:pPr>
        <w:spacing w:after="0" w:line="1" w:lineRule="exact"/>
        <w:rPr>
          <w:sz w:val="20"/>
          <w:szCs w:val="20"/>
          <w:color w:val="auto"/>
        </w:rPr>
      </w:pPr>
    </w:p>
    <w:p>
      <w:pPr>
        <w:ind w:left="120" w:right="200"/>
        <w:spacing w:after="0" w:line="260" w:lineRule="auto"/>
        <w:rPr>
          <w:sz w:val="20"/>
          <w:szCs w:val="20"/>
          <w:color w:val="auto"/>
        </w:rPr>
      </w:pPr>
      <w:r>
        <w:rPr>
          <w:rFonts w:ascii="Arial" w:cs="Arial" w:eastAsia="Arial" w:hAnsi="Arial"/>
          <w:sz w:val="18"/>
          <w:szCs w:val="18"/>
          <w:color w:val="auto"/>
        </w:rPr>
        <w:t>redeem the Notes of any series at its option, in whole or in part, at any time and from time to time, at a redemption price (expressed as a percentage of principal amount and rounded to three decimal places) equal to the greater of:</w:t>
      </w:r>
    </w:p>
    <w:p>
      <w:pPr>
        <w:spacing w:after="0" w:line="77" w:lineRule="exact"/>
        <w:rPr>
          <w:sz w:val="20"/>
          <w:szCs w:val="20"/>
          <w:color w:val="auto"/>
        </w:rPr>
      </w:pPr>
    </w:p>
    <w:p>
      <w:pPr>
        <w:ind w:left="120" w:right="20" w:firstLine="436"/>
        <w:spacing w:after="0" w:line="291" w:lineRule="auto"/>
        <w:tabs>
          <w:tab w:leader="none" w:pos="815" w:val="left"/>
        </w:tabs>
        <w:numPr>
          <w:ilvl w:val="0"/>
          <w:numId w:val="17"/>
        </w:numPr>
        <w:rPr>
          <w:rFonts w:ascii="Arial" w:cs="Arial" w:eastAsia="Arial" w:hAnsi="Arial"/>
          <w:sz w:val="16"/>
          <w:szCs w:val="16"/>
          <w:color w:val="auto"/>
        </w:rPr>
      </w:pPr>
      <w:r>
        <w:rPr>
          <w:rFonts w:ascii="Arial" w:cs="Arial" w:eastAsia="Arial" w:hAnsi="Arial"/>
          <w:sz w:val="16"/>
          <w:szCs w:val="16"/>
          <w:color w:val="auto"/>
        </w:rPr>
        <w:t>(a) the sum of the present values of the remaining scheduled payments of principal and interest thereon discounted to the redemption date (assuming such Notes matured on the applicable Par Call Date) on a semi-annual basis (assuming a 360-day year consisting of twelve 30-day months) at</w:t>
      </w:r>
    </w:p>
    <w:p>
      <w:pPr>
        <w:ind w:left="120"/>
        <w:spacing w:after="0"/>
        <w:tabs>
          <w:tab w:leader="none" w:pos="2440" w:val="left"/>
          <w:tab w:leader="none" w:pos="5480" w:val="left"/>
          <w:tab w:leader="none" w:pos="6940" w:val="left"/>
          <w:tab w:leader="none" w:pos="9980" w:val="left"/>
        </w:tabs>
        <w:rPr>
          <w:sz w:val="20"/>
          <w:szCs w:val="20"/>
          <w:color w:val="auto"/>
        </w:rPr>
      </w:pPr>
      <w:r>
        <w:rPr>
          <w:rFonts w:ascii="Arial" w:cs="Arial" w:eastAsia="Arial" w:hAnsi="Arial"/>
          <w:sz w:val="18"/>
          <w:szCs w:val="18"/>
          <w:color w:val="auto"/>
        </w:rPr>
        <w:t>the Treasury Rate plus</w:t>
      </w:r>
      <w:r>
        <w:rPr>
          <w:sz w:val="20"/>
          <w:szCs w:val="20"/>
          <w:color w:val="auto"/>
        </w:rPr>
        <w:tab/>
      </w:r>
      <w:r>
        <w:rPr>
          <w:rFonts w:ascii="Arial" w:cs="Arial" w:eastAsia="Arial" w:hAnsi="Arial"/>
          <w:sz w:val="18"/>
          <w:szCs w:val="18"/>
          <w:color w:val="auto"/>
        </w:rPr>
        <w:t>basis points in the case of the 20</w:t>
      </w:r>
      <w:r>
        <w:rPr>
          <w:sz w:val="20"/>
          <w:szCs w:val="20"/>
          <w:color w:val="auto"/>
        </w:rPr>
        <w:tab/>
      </w:r>
      <w:r>
        <w:rPr>
          <w:rFonts w:ascii="Arial" w:cs="Arial" w:eastAsia="Arial" w:hAnsi="Arial"/>
          <w:sz w:val="18"/>
          <w:szCs w:val="18"/>
          <w:color w:val="auto"/>
        </w:rPr>
        <w:t>Notes and</w:t>
      </w:r>
      <w:r>
        <w:rPr>
          <w:sz w:val="20"/>
          <w:szCs w:val="20"/>
          <w:color w:val="auto"/>
        </w:rPr>
        <w:tab/>
      </w:r>
      <w:r>
        <w:rPr>
          <w:rFonts w:ascii="Arial" w:cs="Arial" w:eastAsia="Arial" w:hAnsi="Arial"/>
          <w:sz w:val="18"/>
          <w:szCs w:val="18"/>
          <w:color w:val="auto"/>
        </w:rPr>
        <w:t>basis points in the case of the 20</w:t>
      </w:r>
      <w:r>
        <w:rPr>
          <w:sz w:val="20"/>
          <w:szCs w:val="20"/>
          <w:color w:val="auto"/>
        </w:rPr>
        <w:tab/>
      </w:r>
      <w:r>
        <w:rPr>
          <w:rFonts w:ascii="Arial" w:cs="Arial" w:eastAsia="Arial" w:hAnsi="Arial"/>
          <w:sz w:val="15"/>
          <w:szCs w:val="15"/>
          <w:color w:val="auto"/>
        </w:rPr>
        <w:t>Notes less</w:t>
      </w:r>
    </w:p>
    <w:p>
      <w:pPr>
        <w:spacing w:after="0" w:line="9" w:lineRule="exact"/>
        <w:rPr>
          <w:sz w:val="20"/>
          <w:szCs w:val="20"/>
          <w:color w:val="auto"/>
        </w:rPr>
      </w:pPr>
    </w:p>
    <w:p>
      <w:pPr>
        <w:ind w:left="380" w:hanging="264"/>
        <w:spacing w:after="0"/>
        <w:tabs>
          <w:tab w:leader="none" w:pos="3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interest accrued to the date of redemption, and</w:t>
      </w:r>
    </w:p>
    <w:p>
      <w:pPr>
        <w:spacing w:after="0" w:line="210" w:lineRule="exact"/>
        <w:rPr>
          <w:rFonts w:ascii="Arial" w:cs="Arial" w:eastAsia="Arial" w:hAnsi="Arial"/>
          <w:sz w:val="18"/>
          <w:szCs w:val="18"/>
          <w:color w:val="auto"/>
        </w:rPr>
      </w:pPr>
    </w:p>
    <w:p>
      <w:pPr>
        <w:ind w:left="820" w:hanging="264"/>
        <w:spacing w:after="0"/>
        <w:tabs>
          <w:tab w:leader="none" w:pos="820" w:val="left"/>
        </w:tabs>
        <w:numPr>
          <w:ilvl w:val="1"/>
          <w:numId w:val="18"/>
        </w:numPr>
        <w:rPr>
          <w:rFonts w:ascii="Arial" w:cs="Arial" w:eastAsia="Arial" w:hAnsi="Arial"/>
          <w:sz w:val="18"/>
          <w:szCs w:val="18"/>
          <w:color w:val="auto"/>
        </w:rPr>
      </w:pPr>
      <w:r>
        <w:rPr>
          <w:rFonts w:ascii="Arial" w:cs="Arial" w:eastAsia="Arial" w:hAnsi="Arial"/>
          <w:sz w:val="18"/>
          <w:szCs w:val="18"/>
          <w:color w:val="auto"/>
        </w:rPr>
        <w:t>100% of the principal amount of the Notes to be redeemed,</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plus, in either case, accrued and unpaid interest thereon to the redemption date.</w:t>
      </w:r>
    </w:p>
    <w:p>
      <w:pPr>
        <w:spacing w:after="0" w:line="225"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On or after the applicable Par Call Date for a series of Notes, the Company may redeem the Notes of such series, in whole or in part, at any time and from time to time, at a redemption price equal to 100% of the principal amount of such Notes being redeemed, plus accrued and unpaid interest thereon to the redemption date.</w:t>
      </w:r>
    </w:p>
    <w:p>
      <w:pPr>
        <w:spacing w:after="0" w:line="184"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yield determined by the Company in accordance with the following two paragraphs.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Treasury Rate shall be determined by the Company after 4:15 p.m., New York City time (or after such time as yields on U.S. government securities are posted daily by the Board of Governors of the Federal Reserve System), on the third business day preceding the redemption date based upon the yield or yields for the most recent day that appear after such time on such day in the most recent statistical release published by the Board of Governors of the Federal Reserve System designated as “Selected Interest Rates (Daily) — H.15” (or any successor designation or publication) (“H.15”) under the caption “U.S. government securities — Treasury</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S-19</w:t>
      </w:r>
    </w:p>
    <w:p>
      <w:pPr>
        <w:sectPr>
          <w:pgSz w:w="11900" w:h="16838" w:orient="portrait"/>
          <w:cols w:equalWidth="0" w:num="1">
            <w:col w:w="11120"/>
          </w:cols>
          <w:pgMar w:left="320" w:top="459" w:right="459" w:bottom="1440" w:gutter="0" w:footer="0" w:header="0"/>
        </w:sectPr>
      </w:pPr>
    </w:p>
    <w:bookmarkStart w:id="25" w:name="page26"/>
    <w:bookmarkEnd w:id="2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constant maturities — Nominal” (or any successor caption or heading) (“H.15 TCM”). In determining the Treasury Rate, the Company shall select, as applicable: (1) the yield for the Treasury constant maturity on H.15 exactly equal to the period from the redemption date to the applicable Par Call Date (the “Remaining Life”); or (2) if there is no such Treasury constant maturity on H.15 exactly equal to the Remaining Life, the two yields — one yield corresponding to the Treasury constant maturity on H.15 immediately shorter than and one yield corresponding to the Treasury constant maturity on H.15 immediately longer than the Remaining Life — and shall interpolate to the applicable Par Call Date on a straight-line basis (using the actual number of days) using such yields and rounding the result to three decimal places; or (3) if there is no such Treasury constant maturity on H.15 shorter than or longer than the Remaining Life, the yield for the single Treasury constant maturity on H.15 closest to the Remaining Life. For purposes of this paragraph, the applicable Treasury constant maturity or maturities on H.15 shall be deemed to have a maturity date equal to the relevant number of months or years, as applicable, of such Treasury constant maturity from the redemption date.</w:t>
      </w:r>
    </w:p>
    <w:p>
      <w:pPr>
        <w:spacing w:after="0" w:line="16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If on the third business day preceding the redemption date H.15 TCM is no longer published, the Company shall calculate the Treasury Rate based on the rate per annum equal to the semi-annual equivalent yield to maturity at 11:00 a.m., New York City time, on the second business day preceding such redemption date of the United States Treasury security maturing on, or with a maturity that is closest to, the applicable Par Call Date, as applicable. If there is no United States Treasury security maturing on the applicable Par Call Date but there are two or more United States Treasury securities with a maturity date equally distant from the applicable Par Call Date, one with a maturity date preceding the applicable Par Call Date and one with a maturity date following the applicable Par Call Date, the Company shall select the United States Treasury security with a maturity date preceding the applicable Par Call Date. If there are two or more United States Treasury securities maturing on the applicable Par Call Date or two or more United States Treasury securities meeting the criteria of the preceding sentence, the Company shall select from among these two or more United States Treasury securities the United States Treasury security that is trading closest to par based upon the average of the bid and asked prices for such United States Treasury securities at 11:00 a.m., New York City time. In determining the Treasury Rate in accordance with the terms of this paragraph, the semi-annual yield to maturity of the applicable United States Treasury security shall be based upon the average of the bid and asked prices (expressed as a percentage of principal amount) at 11:00 a.m., New York City time, of such United States Treasury security, and rounded to three decimal places.</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Company’s actions and determinations in determining the redemption price shall be conclusive and binding for all purposes, absent manifest</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error.</w:t>
      </w:r>
    </w:p>
    <w:p>
      <w:pPr>
        <w:spacing w:after="0" w:line="211"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Notice of any redemption will be mailed or electronically delivered (or otherwise transmitted in accordance with the depositary’s procedures) at least 10 days but not more than 60 days before the redemption date to each holder of the Notes to be redeemed. Any redemption or notice may, at the Company’s discretion, be subject to one or more conditions precedent and, at the Company’s discretion, the redemption date may be delayed until such time as any or all such conditions shall be satisfied (or waived by the Company in its sole discretion), or the redemption date may not occur at all and such notice may be rescinded if all such conditions shall not have been satisfied (or waived by the Company in its sole discretion).</w:t>
      </w:r>
    </w:p>
    <w:p>
      <w:pPr>
        <w:spacing w:after="0" w:line="161"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In the case of a partial redemption, selection of the Notes for redemption will be made pro rata, by lot or by such other method as the Trustee in its sole discretion deems appropriate and fair. No Notes of a principal amount of $2,000 or less will be redeemed in part. If any Note is to be redeemed in part only, the notice of redemption that relates to the Note will state the portion of the principal amount of the Note to be redeemed. A new Note in a principal amount equal to the unredeemed portion of the Note will be issued in the name of the holder of the Note upon surrender for cancellation of the original Note. For so long as the Notes are held by DTC (or another depositary), the redemption of the Notes shall be done in accordance with the policies and procedures of the depositary.</w:t>
      </w:r>
    </w:p>
    <w:p>
      <w:pPr>
        <w:spacing w:after="0" w:line="192"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Notes, or portions thereof, called for redemption.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S-20</w:t>
      </w:r>
    </w:p>
    <w:p>
      <w:pPr>
        <w:sectPr>
          <w:pgSz w:w="11900" w:h="16838" w:orient="portrait"/>
          <w:cols w:equalWidth="0" w:num="1">
            <w:col w:w="11100"/>
          </w:cols>
          <w:pgMar w:left="320" w:top="459" w:right="479" w:bottom="1440" w:gutter="0" w:footer="0" w:header="0"/>
        </w:sectPr>
      </w:pPr>
    </w:p>
    <w:bookmarkStart w:id="26" w:name="page27"/>
    <w:bookmarkEnd w:id="2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If any redemption date would otherwise be a day that is not a business day, the related payment of principal and interest will be made on the next succeeding business day as if it were made on the date such payment was due, and no interest will accrue on the amounts so payable for the period from and after such date to the next succeeding business day.</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Purchase of Notes upon a Change of Control Repurchase Event</w:t>
      </w:r>
    </w:p>
    <w:p>
      <w:pPr>
        <w:spacing w:after="0" w:line="12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If a change of control repurchase event occurs with respect to any series of Notes, unless, with respect to such series of Notes, we have exercised our right to redeem such series of Notes in full as described above, each holder of such series of Notes will have the right to require us to repurchase all or any part (equal to $2,000 and multiples of $1,000 in excess thereof) of that holder’s Notes of such series at a repurchase price in cash equal to 101% of the aggregate principal amount of the Notes to be repurchased plus any accrued and unpaid interest on such Notes to, but excluding, the repurchase date.</w:t>
      </w:r>
    </w:p>
    <w:p>
      <w:pPr>
        <w:spacing w:after="0" w:line="188"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Within 30 days following any change of control repurchase event with respect to any series of Notes or, at our option, prior to any change of control, but after the public announcement of the change of control or event that may constitute the change of control, we will deliver a notice to each holder of such series of Notes, with a copy to the Trustee, describing the transaction or transactions that constitute or may constitute the change of control repurchase event and offering (the “change of control offer”) to repurchase such Notes on the repurchase date specified in the notice at the option of the holders, which date will be no earlier than 10 days and no later than 60 days from the date such notice is delivered (a “change of control notice”). Any such change of control notice shall, if delivered prior to the date of consummation of the change of control, state that our obligation to repurchase such Notes is conditioned on a change of control repurchase event occurring on or prior to the repurchase date specified in such notice.</w:t>
      </w:r>
    </w:p>
    <w:p>
      <w:pPr>
        <w:spacing w:after="0" w:line="166" w:lineRule="exact"/>
        <w:rPr>
          <w:sz w:val="20"/>
          <w:szCs w:val="20"/>
          <w:color w:val="auto"/>
        </w:rPr>
      </w:pPr>
    </w:p>
    <w:p>
      <w:pPr>
        <w:ind w:left="120" w:right="200" w:firstLine="440"/>
        <w:spacing w:after="0" w:line="272" w:lineRule="auto"/>
        <w:rPr>
          <w:sz w:val="20"/>
          <w:szCs w:val="20"/>
          <w:color w:val="auto"/>
        </w:rPr>
      </w:pPr>
      <w:r>
        <w:rPr>
          <w:rFonts w:ascii="Arial" w:cs="Arial" w:eastAsia="Arial" w:hAnsi="Arial"/>
          <w:sz w:val="17"/>
          <w:szCs w:val="17"/>
          <w:color w:val="auto"/>
        </w:rPr>
        <w:t>We will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the “Purchase of Notes upon a Change of Control Repurchase Event” provisions of the Indenture, we will comply with those securities laws and regulations and shall not be deemed to have breached our obligations under the “Purchase of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our change of control notice;</w:t>
      </w:r>
    </w:p>
    <w:p>
      <w:pPr>
        <w:spacing w:after="0" w:line="130" w:lineRule="exact"/>
        <w:rPr>
          <w:rFonts w:ascii="Arial" w:cs="Arial" w:eastAsia="Arial" w:hAnsi="Arial"/>
          <w:sz w:val="18"/>
          <w:szCs w:val="18"/>
          <w:color w:val="auto"/>
        </w:rPr>
      </w:pPr>
    </w:p>
    <w:p>
      <w:pPr>
        <w:ind w:left="1080" w:right="220" w:hanging="532"/>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75" w:lineRule="exact"/>
        <w:rPr>
          <w:rFonts w:ascii="Arial" w:cs="Arial" w:eastAsia="Arial" w:hAnsi="Arial"/>
          <w:sz w:val="18"/>
          <w:szCs w:val="18"/>
          <w:color w:val="auto"/>
        </w:rPr>
      </w:pPr>
    </w:p>
    <w:p>
      <w:pPr>
        <w:ind w:left="1080" w:right="500" w:hanging="532"/>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us.</w:t>
      </w:r>
    </w:p>
    <w:p>
      <w:pPr>
        <w:spacing w:after="0" w:line="170"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Notes properly tendered the repurchase price for the Notes, and the Trustee, upon receipt of a company order, will promptly authenticate and mail (or cause to be transferred by book-entry) to each holder a new Note equal in principal amount to any unpurchased portion of any Notes surrendered.</w:t>
      </w:r>
    </w:p>
    <w:p>
      <w:pPr>
        <w:spacing w:after="0" w:line="184"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If holders of not less than 95% in aggregate principal amount of any series of Notes then outstanding validly tender and do not withdraw such Notes in a change of control offer and we, or any third party making a change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S-21</w:t>
      </w:r>
    </w:p>
    <w:p>
      <w:pPr>
        <w:sectPr>
          <w:pgSz w:w="11900" w:h="16838" w:orient="portrait"/>
          <w:cols w:equalWidth="0" w:num="1">
            <w:col w:w="11140"/>
          </w:cols>
          <w:pgMar w:left="320" w:top="459" w:right="439" w:bottom="1440" w:gutter="0" w:footer="0" w:header="0"/>
        </w:sectPr>
      </w:pPr>
    </w:p>
    <w:bookmarkStart w:id="27" w:name="page28"/>
    <w:bookmarkEnd w:id="2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20"/>
        <w:spacing w:after="0" w:line="296" w:lineRule="auto"/>
        <w:rPr>
          <w:sz w:val="20"/>
          <w:szCs w:val="20"/>
          <w:color w:val="auto"/>
        </w:rPr>
      </w:pPr>
      <w:r>
        <w:rPr>
          <w:rFonts w:ascii="Arial" w:cs="Arial" w:eastAsia="Arial" w:hAnsi="Arial"/>
          <w:sz w:val="16"/>
          <w:szCs w:val="16"/>
          <w:color w:val="auto"/>
        </w:rPr>
        <w:t>control offer in lieu of us, as described below, purchases all of the Notes validly tendered and not withdrawn by such holders, we will have the right, upon not less than 10 days nor more than 60 days’ prior written notice to the holders of the Notes (with a copy to the Trustee), given not more than 30 days following such purchase pursuant to the change of control offer described above, to redeem all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6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Notes. Restrictions on our ability to incur liens and enter into sale and leaseback transactions are contained in the covenants as described below under “—Certain Covenants—Limitation on Liens” and “—Certain Covenants —Limitation on Sale and Leaseback Transactions.” Except for the limitations contained in such covenants, the covenant relating to repurchases upon the occurrence of a change of control repurchase event and the covenant described in the accompanying prospectus under “Description of Debt Securities— Covenants—Consolidation, Merger and Sale of Assets,” however, the Indenture will not contain any covenants or provisions that may afford holders of the Notes protection in the event of a highly leveraged transaction.</w:t>
      </w:r>
    </w:p>
    <w:p>
      <w:pPr>
        <w:spacing w:after="0" w:line="178"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applicable Indenture for such an offer made by us, and such third party purchases all Notes properly tendered and not withdrawn under its offer.</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6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Furthermore, holders may not be entitled to require us to repurchase their Notes in certain circumstances involving a significant change in the composition of our board of directors unless such change otherwise constitutes a change of control repurchase event.</w:t>
      </w:r>
    </w:p>
    <w:p>
      <w:pPr>
        <w:spacing w:after="0" w:line="170"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We may not have sufficient funds to repurchase all the Notes upon a change of control repurchase event. In addition, even if we have sufficient funds, we may be prohibited from repurchasing the Notes under the terms of our future debt instruments. Furthermore, a failure to repurchase the Notes upon a change of control repurchase event could constitute an event of default under each of the Revolving Credit Agreement and the 2024 and 2026 Term Loan Agreement. See “Risk Factors—We may not be able to repurchase all of the Notes upon a change of control repurchase event, which would result in a default under the Notes and may constitute an event of default under our future indebtedness.”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w:t>
      </w:r>
      <w:r>
        <w:rPr>
          <w:rFonts w:ascii="Arial" w:cs="Arial" w:eastAsia="Arial" w:hAnsi="Arial"/>
          <w:sz w:val="18"/>
          <w:szCs w:val="18"/>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S-22</w:t>
      </w:r>
    </w:p>
    <w:p>
      <w:pPr>
        <w:sectPr>
          <w:pgSz w:w="11900" w:h="16838" w:orient="portrait"/>
          <w:cols w:equalWidth="0" w:num="1">
            <w:col w:w="11120"/>
          </w:cols>
          <w:pgMar w:left="320" w:top="459" w:right="459" w:bottom="1440" w:gutter="0" w:footer="0" w:header="0"/>
        </w:sectPr>
      </w:pPr>
    </w:p>
    <w:bookmarkStart w:id="28" w:name="page29"/>
    <w:bookmarkEnd w:id="2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“person” (as that term is used in Section 13(d)(3) of the Exchange Act) other than to us or one of our subsidiaries; (2) 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 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Notwithstanding the foregoing, a merger of our company with any of our subsidiaries solely for the purpose of reincorporating our company in another jurisdiction within the United States shall not be a “change of control.”</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 repurchase event</w:t>
      </w:r>
      <w:r>
        <w:rPr>
          <w:rFonts w:ascii="Arial" w:cs="Arial" w:eastAsia="Arial" w:hAnsi="Arial"/>
          <w:sz w:val="16"/>
          <w:szCs w:val="16"/>
          <w:color w:val="auto"/>
        </w:rPr>
        <w:t>” means, with respect to any series of Notes, the occurrence of both a change of control and a ratings event.</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rating agency</w:t>
      </w:r>
      <w:r>
        <w:rPr>
          <w:rFonts w:ascii="Arial" w:cs="Arial" w:eastAsia="Arial" w:hAnsi="Arial"/>
          <w:sz w:val="18"/>
          <w:szCs w:val="18"/>
          <w:color w:val="auto"/>
        </w:rPr>
        <w:t>” means each of Fitch, Moody’s and S&amp;P; provided that if any of Fitch, Moody’s or S&amp;P ceases to rate the Notes or fails to make a rating of the Notes publicly available, “rating agency” will include a “nationally recognized statistical rating organization” as defined in Section 3(a)(62) of the Exchange Act appointed by us as a substitute for such rating agency.</w:t>
      </w:r>
    </w:p>
    <w:p>
      <w:pPr>
        <w:spacing w:after="0" w:line="184"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ratings event</w:t>
      </w:r>
      <w:r>
        <w:rPr>
          <w:rFonts w:ascii="Arial" w:cs="Arial" w:eastAsia="Arial" w:hAnsi="Arial"/>
          <w:sz w:val="17"/>
          <w:szCs w:val="17"/>
          <w:color w:val="auto"/>
        </w:rPr>
        <w:t>” means that the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Notes is under publicly announced consideration for</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S-23</w:t>
      </w:r>
    </w:p>
    <w:p>
      <w:pPr>
        <w:sectPr>
          <w:pgSz w:w="11900" w:h="16838" w:orient="portrait"/>
          <w:cols w:equalWidth="0" w:num="1">
            <w:col w:w="11120"/>
          </w:cols>
          <w:pgMar w:left="320" w:top="459" w:right="459" w:bottom="1440" w:gutter="0" w:footer="0" w:header="0"/>
        </w:sectPr>
      </w:pPr>
    </w:p>
    <w:bookmarkStart w:id="29" w:name="page30"/>
    <w:bookmarkEnd w:id="2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80"/>
        <w:spacing w:after="0" w:line="255" w:lineRule="auto"/>
        <w:rPr>
          <w:sz w:val="20"/>
          <w:szCs w:val="20"/>
          <w:color w:val="auto"/>
        </w:rPr>
      </w:pPr>
      <w:r>
        <w:rPr>
          <w:rFonts w:ascii="Arial" w:cs="Arial" w:eastAsia="Arial" w:hAnsi="Arial"/>
          <w:sz w:val="18"/>
          <w:szCs w:val="18"/>
          <w:color w:val="auto"/>
        </w:rPr>
        <w:t>a possible rating downgrade by either of the rating agencies on such 60th day, such extension to last with respect to each such rating agency until the date on which such rating agency considering such possible downgrade either (x) rates such Notes below investment grade or (y) publicly announces that it is no longer considering such Notes for possible downgrade). If any of the rating agencies is not providing a rating of such Notes on any day during the trigger period for any reason (subject, for the avoidance of doubt, to our right to engage a substitute rating agency in accordance with the proviso to the definition of “rating agency”), the rating of such rating agency for such Notes shall be deemed to have ceased to be investment grade during the trigger period.</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 xml:space="preserve">We may from time to time, without notice to or the consent of the holders of the applicable series of Notes, create and issue additional notes having the same terms as, and ranking equally and ratably with, such Notes in all 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Notes and will vote together as one class on all matters with respect to the applicable series of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additional notes are not fungible with the outstanding Notes of the applicable series for U.S. federal income tax purposes, the additional notes will have one or more separate CUSIP numbers.</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Except as set forth below, neither we nor any of our subsidiaries will be restricted by the Indenture from:</w:t>
      </w:r>
    </w:p>
    <w:p>
      <w:pPr>
        <w:spacing w:after="0" w:line="131" w:lineRule="exact"/>
        <w:rPr>
          <w:sz w:val="20"/>
          <w:szCs w:val="20"/>
          <w:color w:val="auto"/>
        </w:rPr>
      </w:pPr>
    </w:p>
    <w:p>
      <w:pPr>
        <w:ind w:left="1540" w:hanging="331"/>
        <w:spacing w:after="0"/>
        <w:tabs>
          <w:tab w:leader="none" w:pos="1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In addition, we will not be required to maintain any financial ratios or specified levels of net worth or liquidity or to repurchase or redeem or otherwise modify the terms of the Notes upon a change of control or other events involving us or any of our subsidiaries that may adversely affect the creditworthiness of the Notes, except to the limited extent provided under “—Purchase of Notes upon a Change of Control Repurchase Event” above. Among other things, the Indenture will not contain covenants designed to afford holders of the Notes any protections in the event of a highly leveraged or other transaction involving us that may adversely affect holders of the Notes, except to the limited extent provided under “—Purchase of Notes upon a Change of Control Repurchase Event” above and as described in the accompanying prospectus under “Description of Debt Securities—Covenants— Consolidation, Merger and Sale of Assets.” The covenants described under “—Limitation on Liens” and “—Limitation on Sale and Leaseback Transactions” will apply only to “Property” owned by us, any Guarantor and our restricted subsidiaries. As of the date of this prospectus supplement, we and our subsidiaries only have a limited amount of assets that constitute “Property.” In addition, the Indenture will not prohibit us, any Guarantor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 not prohibit our or any Guarantor’s subsidiaries from incurring debt and we and they may also</w:t>
      </w:r>
    </w:p>
    <w:p>
      <w:pPr>
        <w:spacing w:after="0" w:line="10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S-24</w:t>
      </w:r>
    </w:p>
    <w:p>
      <w:pPr>
        <w:sectPr>
          <w:pgSz w:w="11900" w:h="16838" w:orient="portrait"/>
          <w:cols w:equalWidth="0" w:num="1">
            <w:col w:w="11120"/>
          </w:cols>
          <w:pgMar w:left="320" w:top="459" w:right="459" w:bottom="1440" w:gutter="0" w:footer="0" w:header="0"/>
        </w:sectPr>
      </w:pPr>
    </w:p>
    <w:bookmarkStart w:id="30" w:name="page31"/>
    <w:bookmarkEnd w:id="3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incur substantial amounts of secured debt. At such time, if any, as the Notes may not be guaranteed, the debt of our subsidiaries, to the extent secured or incurred by subsidiaries that are not Guarantors, will be structurally senior to the Notes and secured debt will be effectively senior to the Notes.</w:t>
      </w:r>
    </w:p>
    <w:p>
      <w:pPr>
        <w:spacing w:after="0" w:line="124"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See “Risk Factors—Risks Related to this Offering and the Notes—The Notes are structurally subordinated to the liabilities of our subsidiaries,” “Risk Factors—Risks Related to this Offering and the Notes— The Indenture will not contain financial covenants and only provides limited protection against significant corporate events and other actions we may take that could adversely impact your investment in the Notes” and “Risk Factors—Risks Related to this Offering and the Notes—The negative covenants in the Indenture will be subject to limitations, qualifications and exceptions and, as a result, will have a limited effect and may not protect your investment in the Notes.”</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will contain the following principal covenants: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will not, and we will not permit any Guarantors to, or any of our restricted subsidiaries to, create or incur any Lien upon any Property of ours, any Guarantors or any of our restricted subsidiaries (whether now existing or owned or hereafter created or acquired) in order to secure any indebtedness or Guarantees of ours, any Guarantors or any of our or their subsidiaries unless prior to or at the same time, the Notes (together with, at our option, any other indebtedness or Guarantees of ours, any Guarantors or any of our restricted subsidiaries ranking equally in right of payment with the Notes) are equally and ratably secured with or, at our option, prior to, such secured indebtedness, until such time as such indebtedness or Guarantees are no longer secured by such Lien or such Property is no longer owned by us, a Guarantor or any of our restricted subsidiaries.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80" w:right="60" w:hanging="532"/>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or a Guarantor’s,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80" w:right="460" w:hanging="532"/>
        <w:spacing w:after="0" w:line="342"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Liens existing on Property at the time of acquisition thereof or at the time of acquisition by us, any Guarantor or any of our restricted subsidiaries of any person then owning such Property, provided that such Lien was not incurred in anticipation of such acquisition;</w:t>
      </w:r>
    </w:p>
    <w:p>
      <w:pPr>
        <w:spacing w:after="0" w:line="29" w:lineRule="exact"/>
        <w:rPr>
          <w:rFonts w:ascii="Arial" w:cs="Arial" w:eastAsia="Arial" w:hAnsi="Arial"/>
          <w:sz w:val="16"/>
          <w:szCs w:val="16"/>
          <w:color w:val="auto"/>
        </w:rPr>
      </w:pPr>
    </w:p>
    <w:p>
      <w:pPr>
        <w:ind w:left="1080" w:hanging="532"/>
        <w:spacing w:after="0"/>
        <w:tabs>
          <w:tab w:leader="none" w:pos="1080" w:val="left"/>
        </w:tabs>
        <w:numPr>
          <w:ilvl w:val="0"/>
          <w:numId w:val="21"/>
        </w:numPr>
        <w:rPr>
          <w:rFonts w:ascii="Arial" w:cs="Arial" w:eastAsia="Arial" w:hAnsi="Arial"/>
          <w:sz w:val="17"/>
          <w:szCs w:val="17"/>
          <w:color w:val="auto"/>
        </w:rPr>
      </w:pPr>
      <w:r>
        <w:rPr>
          <w:rFonts w:ascii="Arial" w:cs="Arial" w:eastAsia="Arial" w:hAnsi="Arial"/>
          <w:sz w:val="17"/>
          <w:szCs w:val="17"/>
          <w:color w:val="auto"/>
        </w:rPr>
        <w:t>Liens securing indebtedness of ours, any Guarantor or any of our restricted subsidiaries owing to us or any of our subsidiaries;</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of ours or any Guarantor’s existing on the date of the initial issuance of the Notes (excluding any additional Notes);</w:t>
      </w:r>
    </w:p>
    <w:p>
      <w:pPr>
        <w:spacing w:after="0" w:line="130" w:lineRule="exact"/>
        <w:rPr>
          <w:rFonts w:ascii="Arial" w:cs="Arial" w:eastAsia="Arial" w:hAnsi="Arial"/>
          <w:sz w:val="18"/>
          <w:szCs w:val="18"/>
          <w:color w:val="auto"/>
        </w:rPr>
      </w:pPr>
    </w:p>
    <w:p>
      <w:pPr>
        <w:ind w:left="1080" w:right="220" w:hanging="532"/>
        <w:spacing w:after="0" w:line="301"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Liens on Property of a person existing at the time such person is merged into or consolidated with us, any Guarantor or any of our restricted subsidiaries, at the time such person becomes a subsidiary of ours or any Guarantor, or at the time of a sale, lease or other disposition of all or substantially all of the Properties of a person to us, any Guarantor or any of our restricted subsidiaries, provided that such Lien was not incurred in anticipation of the merger, consolidation, or sale, lease, other disposition or other such transaction;</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30" w:lineRule="exact"/>
        <w:rPr>
          <w:rFonts w:ascii="Arial" w:cs="Arial" w:eastAsia="Arial" w:hAnsi="Arial"/>
          <w:sz w:val="18"/>
          <w:szCs w:val="18"/>
          <w:color w:val="auto"/>
        </w:rPr>
      </w:pPr>
    </w:p>
    <w:p>
      <w:pPr>
        <w:ind w:left="1080" w:right="80" w:hanging="532"/>
        <w:spacing w:after="0" w:line="26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workmen’s or repairmen’s, carriers’, warehousemen’s and mechanic’s Liens and other similar Liens, in each case for sums not yet overdue by more than 90 calendar days or being contested in good faith by appropriate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S-25</w:t>
      </w:r>
    </w:p>
    <w:p>
      <w:pPr>
        <w:sectPr>
          <w:pgSz w:w="11900" w:h="16838" w:orient="portrait"/>
          <w:cols w:equalWidth="0" w:num="1">
            <w:col w:w="11120"/>
          </w:cols>
          <w:pgMar w:left="320" w:top="459" w:right="459" w:bottom="1440" w:gutter="0" w:footer="0" w:header="0"/>
        </w:sectPr>
      </w:pPr>
    </w:p>
    <w:bookmarkStart w:id="31" w:name="page32"/>
    <w:bookmarkEnd w:id="3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100" w:right="120"/>
        <w:spacing w:after="0" w:line="259" w:lineRule="auto"/>
        <w:rPr>
          <w:sz w:val="20"/>
          <w:szCs w:val="20"/>
          <w:color w:val="auto"/>
        </w:rPr>
      </w:pPr>
      <w:r>
        <w:rPr>
          <w:rFonts w:ascii="Arial" w:cs="Arial" w:eastAsia="Arial" w:hAnsi="Arial"/>
          <w:sz w:val="18"/>
          <w:szCs w:val="18"/>
          <w:color w:val="auto"/>
        </w:rPr>
        <w:t>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2" w:lineRule="exact"/>
        <w:rPr>
          <w:sz w:val="20"/>
          <w:szCs w:val="20"/>
          <w:color w:val="auto"/>
        </w:rPr>
      </w:pPr>
    </w:p>
    <w:p>
      <w:pPr>
        <w:ind w:left="1080" w:right="66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80" w:right="120" w:hanging="532"/>
        <w:spacing w:after="0" w:line="308" w:lineRule="auto"/>
        <w:tabs>
          <w:tab w:leader="none" w:pos="1080" w:val="left"/>
        </w:tabs>
        <w:numPr>
          <w:ilvl w:val="0"/>
          <w:numId w:val="22"/>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80" w:right="100" w:hanging="532"/>
        <w:spacing w:after="0" w:line="296" w:lineRule="auto"/>
        <w:tabs>
          <w:tab w:leader="none" w:pos="1080" w:val="left"/>
        </w:tabs>
        <w:numPr>
          <w:ilvl w:val="0"/>
          <w:numId w:val="22"/>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6" w:lineRule="exact"/>
        <w:rPr>
          <w:rFonts w:ascii="Arial" w:cs="Arial" w:eastAsia="Arial" w:hAnsi="Arial"/>
          <w:sz w:val="16"/>
          <w:szCs w:val="16"/>
          <w:color w:val="auto"/>
        </w:rPr>
      </w:pPr>
    </w:p>
    <w:p>
      <w:pPr>
        <w:ind w:left="1080" w:hanging="532"/>
        <w:spacing w:after="0" w:line="311" w:lineRule="auto"/>
        <w:tabs>
          <w:tab w:leader="none" w:pos="1080" w:val="left"/>
        </w:tabs>
        <w:numPr>
          <w:ilvl w:val="0"/>
          <w:numId w:val="22"/>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54" w:lineRule="exact"/>
        <w:rPr>
          <w:rFonts w:ascii="Arial" w:cs="Arial" w:eastAsia="Arial" w:hAnsi="Arial"/>
          <w:sz w:val="16"/>
          <w:szCs w:val="16"/>
          <w:color w:val="auto"/>
        </w:rPr>
      </w:pPr>
    </w:p>
    <w:p>
      <w:pPr>
        <w:ind w:left="1080" w:right="260" w:hanging="532"/>
        <w:spacing w:after="0" w:line="301" w:lineRule="auto"/>
        <w:tabs>
          <w:tab w:leader="none" w:pos="1080" w:val="left"/>
        </w:tabs>
        <w:numPr>
          <w:ilvl w:val="0"/>
          <w:numId w:val="22"/>
        </w:numPr>
        <w:rPr>
          <w:rFonts w:ascii="Arial" w:cs="Arial" w:eastAsia="Arial" w:hAnsi="Arial"/>
          <w:sz w:val="16"/>
          <w:szCs w:val="16"/>
          <w:color w:val="auto"/>
        </w:rPr>
      </w:pPr>
      <w:r>
        <w:rPr>
          <w:rFonts w:ascii="Arial" w:cs="Arial" w:eastAsia="Arial" w:hAnsi="Arial"/>
          <w:sz w:val="16"/>
          <w:szCs w:val="16"/>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62" w:lineRule="exact"/>
        <w:rPr>
          <w:rFonts w:ascii="Arial" w:cs="Arial" w:eastAsia="Arial" w:hAnsi="Arial"/>
          <w:sz w:val="16"/>
          <w:szCs w:val="16"/>
          <w:color w:val="auto"/>
        </w:rPr>
      </w:pPr>
    </w:p>
    <w:p>
      <w:pPr>
        <w:ind w:left="1080" w:hanging="532"/>
        <w:spacing w:after="0" w:line="25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any Guarantor or our restricted subsidiaries; provided, however, that the Lien shall not extend to any other Property owned by us, any Guarantor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 collateralized to other such financings provided by such person (or its affiliates);</w:t>
      </w:r>
    </w:p>
    <w:p>
      <w:pPr>
        <w:spacing w:after="0" w:line="101"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S-26</w:t>
      </w:r>
    </w:p>
    <w:p>
      <w:pPr>
        <w:sectPr>
          <w:pgSz w:w="11900" w:h="16838" w:orient="portrait"/>
          <w:cols w:equalWidth="0" w:num="1">
            <w:col w:w="11080"/>
          </w:cols>
          <w:pgMar w:left="320" w:top="459" w:right="499" w:bottom="1440" w:gutter="0" w:footer="0" w:header="0"/>
        </w:sectPr>
      </w:pPr>
    </w:p>
    <w:bookmarkStart w:id="32" w:name="page33"/>
    <w:bookmarkEnd w:id="3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080" w:right="440" w:hanging="532"/>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9"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80" w:right="80" w:hanging="532"/>
        <w:spacing w:after="0" w:line="25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any Guarantor or any of our restricted subsidiaries, as the case may be, other than the Property specified in such clauses and improvements to such Property.</w:t>
      </w:r>
    </w:p>
    <w:p>
      <w:pPr>
        <w:spacing w:after="0" w:line="188" w:lineRule="exact"/>
        <w:rPr>
          <w:sz w:val="20"/>
          <w:szCs w:val="20"/>
          <w:color w:val="auto"/>
        </w:rPr>
      </w:pPr>
    </w:p>
    <w:p>
      <w:pPr>
        <w:jc w:val="both"/>
        <w:ind w:left="120" w:right="60" w:firstLine="440"/>
        <w:spacing w:after="0" w:line="287" w:lineRule="auto"/>
        <w:rPr>
          <w:sz w:val="20"/>
          <w:szCs w:val="20"/>
          <w:color w:val="auto"/>
        </w:rPr>
      </w:pPr>
      <w:r>
        <w:rPr>
          <w:rFonts w:ascii="Arial" w:cs="Arial" w:eastAsia="Arial" w:hAnsi="Arial"/>
          <w:sz w:val="16"/>
          <w:szCs w:val="16"/>
          <w:color w:val="auto"/>
        </w:rPr>
        <w:t>Notwithstanding the restrictions set forth in the preceding paragraph, we, any Guarantor and our restricted subsidiaries will be permitted to incur indebtedness secured by Liens which would otherwise be subject to the foregoing restrictions without equally and ratably securing the Notes; provided that, after giving effect to such indebtedness and the retirement of any indebtedness secured by Liens (other than Liens described in clauses (1) through</w:t>
      </w:r>
    </w:p>
    <w:p>
      <w:pPr>
        <w:spacing w:after="0" w:line="2" w:lineRule="exact"/>
        <w:rPr>
          <w:sz w:val="20"/>
          <w:szCs w:val="20"/>
          <w:color w:val="auto"/>
        </w:rPr>
      </w:pPr>
    </w:p>
    <w:p>
      <w:pPr>
        <w:ind w:left="120" w:right="80" w:hanging="4"/>
        <w:spacing w:after="0" w:line="252" w:lineRule="auto"/>
        <w:tabs>
          <w:tab w:leader="none" w:pos="465" w:val="left"/>
        </w:tabs>
        <w:numPr>
          <w:ilvl w:val="0"/>
          <w:numId w:val="24"/>
        </w:numPr>
        <w:rPr>
          <w:rFonts w:ascii="Arial" w:cs="Arial" w:eastAsia="Arial" w:hAnsi="Arial"/>
          <w:sz w:val="18"/>
          <w:szCs w:val="18"/>
          <w:color w:val="auto"/>
        </w:rPr>
      </w:pPr>
      <w:r>
        <w:rPr>
          <w:rFonts w:ascii="Arial" w:cs="Arial" w:eastAsia="Arial" w:hAnsi="Arial"/>
          <w:sz w:val="18"/>
          <w:szCs w:val="18"/>
          <w:color w:val="auto"/>
        </w:rPr>
        <w:t>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“—Limitation on Sale and Leaseback Transactions” covenant described below, does not exceed 15% of our and any Guarantor’s Consolidated Net Tangible Assets. We, any Guarantor and our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We will not, and will not permit any Guarantors to, or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80" w:hanging="532"/>
        <w:spacing w:after="0"/>
        <w:tabs>
          <w:tab w:leader="none" w:pos="10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such transaction was entered into prior to the date of the initial issuance of each series of the Notes (excluding any additional notes);</w:t>
      </w:r>
    </w:p>
    <w:p>
      <w:pPr>
        <w:spacing w:after="0" w:line="142" w:lineRule="exact"/>
        <w:rPr>
          <w:rFonts w:ascii="Arial" w:cs="Arial" w:eastAsia="Arial" w:hAnsi="Arial"/>
          <w:sz w:val="17"/>
          <w:szCs w:val="17"/>
          <w:color w:val="auto"/>
        </w:rPr>
      </w:pPr>
    </w:p>
    <w:p>
      <w:pPr>
        <w:ind w:left="1080" w:right="120" w:hanging="532"/>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any Guarantor or any of our or its wholly-owned subsidiaries of any Property by us, any Guarantor or one of our restricted subsidiaries;</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any Guarantor or our restricted subsidiaries within a period of not more than five years);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Semiconductor, Inc. — Marvell Lane, Santa Clara, CA 95054</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31" w:lineRule="exact"/>
        <w:rPr>
          <w:sz w:val="20"/>
          <w:szCs w:val="20"/>
          <w:color w:val="auto"/>
        </w:rPr>
      </w:pPr>
    </w:p>
    <w:p>
      <w:pPr>
        <w:ind w:left="1080" w:right="100" w:hanging="532"/>
        <w:spacing w:after="0" w:line="263"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we or any Guarantor or our restricted subsidiaries would be entitled to incur indebtedness secured by a Lien with respect to such sale and leaseback transaction without equally and ratably securing the Notes pursuant to the second paragraph of the “—Limitation on Liens” covenant described above (except with respect to a Lien permitted by clause (19) thereof); or</w:t>
      </w:r>
    </w:p>
    <w:p>
      <w:pPr>
        <w:spacing w:after="0" w:line="89" w:lineRule="exact"/>
        <w:rPr>
          <w:rFonts w:ascii="Arial" w:cs="Arial" w:eastAsia="Arial" w:hAnsi="Arial"/>
          <w:sz w:val="18"/>
          <w:szCs w:val="18"/>
          <w:color w:val="auto"/>
        </w:rPr>
      </w:pPr>
    </w:p>
    <w:p>
      <w:pPr>
        <w:ind w:left="1080" w:hanging="532"/>
        <w:spacing w:after="0" w:line="311" w:lineRule="auto"/>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we, any Guarantor or any of our restricted subsidiaries apply (or to the extent the proceeds are received directly by any of our restricted subsidiaries, such restricted subsidiary applies) an amount equal to the net proceeds from the sale of such Property to the purchase of other Property or assets used or useful in our or its business or to the retirement of indebtedness of ours or its that is pari passu in right of</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S-27</w:t>
      </w:r>
    </w:p>
    <w:p>
      <w:pPr>
        <w:sectPr>
          <w:pgSz w:w="11900" w:h="16838" w:orient="portrait"/>
          <w:cols w:equalWidth="0" w:num="1">
            <w:col w:w="11060"/>
          </w:cols>
          <w:pgMar w:left="320" w:top="459" w:right="519" w:bottom="1440" w:gutter="0" w:footer="0" w:header="0"/>
        </w:sectPr>
      </w:pPr>
    </w:p>
    <w:bookmarkStart w:id="33" w:name="page34"/>
    <w:bookmarkEnd w:id="3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jc w:val="both"/>
        <w:ind w:left="1100" w:right="80"/>
        <w:spacing w:after="0" w:line="263" w:lineRule="auto"/>
        <w:rPr>
          <w:sz w:val="20"/>
          <w:szCs w:val="20"/>
          <w:color w:val="auto"/>
        </w:rPr>
      </w:pPr>
      <w:r>
        <w:rPr>
          <w:rFonts w:ascii="Arial" w:cs="Arial" w:eastAsia="Arial" w:hAnsi="Arial"/>
          <w:sz w:val="18"/>
          <w:szCs w:val="18"/>
          <w:color w:val="auto"/>
        </w:rPr>
        <w:t>payment with the Notes within 365 days before or after the effective date of any such sale and leaseback transaction, provided that, in lieu of applying such amount to the retirement of pari passu indebtedness, we may deliver Notes to the Trustee for cancellation, such Notes to be credited at the cost thereof to us.</w:t>
      </w:r>
    </w:p>
    <w:p>
      <w:pPr>
        <w:spacing w:after="0" w:line="76"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any Guarantor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and any Guarantor’s Consolidated Net Tangible Assets.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of the following events will be an “event of default” under the Indenture for each series of Notes:</w:t>
      </w:r>
    </w:p>
    <w:p>
      <w:pPr>
        <w:spacing w:after="0" w:line="131" w:lineRule="exact"/>
        <w:rPr>
          <w:sz w:val="20"/>
          <w:szCs w:val="20"/>
          <w:color w:val="auto"/>
        </w:rPr>
      </w:pPr>
    </w:p>
    <w:p>
      <w:pPr>
        <w:ind w:left="1080" w:right="100" w:hanging="532"/>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Notes when due and payable, and the continuance of that default for 30 days;</w:t>
      </w:r>
    </w:p>
    <w:p>
      <w:pPr>
        <w:spacing w:after="0" w:line="75" w:lineRule="exact"/>
        <w:rPr>
          <w:rFonts w:ascii="Arial" w:cs="Arial" w:eastAsia="Arial" w:hAnsi="Arial"/>
          <w:sz w:val="18"/>
          <w:szCs w:val="18"/>
          <w:color w:val="auto"/>
        </w:rPr>
      </w:pPr>
    </w:p>
    <w:p>
      <w:pPr>
        <w:ind w:left="1080" w:right="480" w:hanging="532"/>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Notes when due and payable (whether at maturity, upon redemption or otherwise);</w:t>
      </w:r>
    </w:p>
    <w:p>
      <w:pPr>
        <w:spacing w:after="0" w:line="75"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 failure by us to repurchase Notes tendered for repurchase following the occurrence of a change of control repurchase event with respect to such series of Notes in conformity with the covenant set forth above under “—Purchase of Notes upon a Change of Control Repurchase Event”;</w:t>
      </w:r>
    </w:p>
    <w:p>
      <w:pPr>
        <w:spacing w:after="0" w:line="89" w:lineRule="exact"/>
        <w:rPr>
          <w:rFonts w:ascii="Arial" w:cs="Arial" w:eastAsia="Arial" w:hAnsi="Arial"/>
          <w:sz w:val="18"/>
          <w:szCs w:val="18"/>
          <w:color w:val="auto"/>
        </w:rPr>
      </w:pPr>
    </w:p>
    <w:p>
      <w:pPr>
        <w:ind w:left="1080" w:right="20" w:hanging="532"/>
        <w:spacing w:after="0" w:line="311" w:lineRule="auto"/>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failure to observe or perform any other covenants or agreements in the Indenture in respect of such series of Notes, which failure continues for 90 days after written notice to us from the Trustee or to us and the Trustee from holders of at least 25% of the outstanding principal amount of the applicable series of Notes then outstanding as provided in the Indenture, requiring us to remedy the same;</w:t>
      </w:r>
    </w:p>
    <w:p>
      <w:pPr>
        <w:spacing w:after="0" w:line="54" w:lineRule="exact"/>
        <w:rPr>
          <w:rFonts w:ascii="Arial" w:cs="Arial" w:eastAsia="Arial" w:hAnsi="Arial"/>
          <w:sz w:val="16"/>
          <w:szCs w:val="16"/>
          <w:color w:val="auto"/>
        </w:rPr>
      </w:pPr>
    </w:p>
    <w:p>
      <w:pPr>
        <w:ind w:left="1080" w:right="40" w:hanging="532"/>
        <w:spacing w:after="0" w:line="271" w:lineRule="auto"/>
        <w:tabs>
          <w:tab w:leader="none" w:pos="1080" w:val="left"/>
        </w:tabs>
        <w:numPr>
          <w:ilvl w:val="0"/>
          <w:numId w:val="27"/>
        </w:numPr>
        <w:rPr>
          <w:rFonts w:ascii="Arial" w:cs="Arial" w:eastAsia="Arial" w:hAnsi="Arial"/>
          <w:sz w:val="17"/>
          <w:szCs w:val="17"/>
          <w:color w:val="auto"/>
        </w:rPr>
      </w:pPr>
      <w:r>
        <w:rPr>
          <w:rFonts w:ascii="Arial" w:cs="Arial" w:eastAsia="Arial" w:hAnsi="Arial"/>
          <w:sz w:val="17"/>
          <w:szCs w:val="17"/>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Notes (including any additional notes); provided, however, that if any failure, default or acceleration referred to in clause (a) or (b) above ceases or is cured, waived, rescinded or annulled, then the event of default will be deemed cured;</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or any Guarantor; and</w:t>
      </w:r>
    </w:p>
    <w:p>
      <w:pPr>
        <w:spacing w:after="0" w:line="130" w:lineRule="exact"/>
        <w:rPr>
          <w:rFonts w:ascii="Arial" w:cs="Arial" w:eastAsia="Arial" w:hAnsi="Arial"/>
          <w:sz w:val="18"/>
          <w:szCs w:val="18"/>
          <w:color w:val="auto"/>
        </w:rPr>
      </w:pPr>
    </w:p>
    <w:p>
      <w:pPr>
        <w:ind w:left="1080" w:right="100" w:hanging="532"/>
        <w:spacing w:after="0" w:line="301" w:lineRule="auto"/>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any guarantee with respect to such series of Notes is not issued as required under “—Guarantees” or any guarantee in respect of the Notes of that series ceases to be in full force and effect (except as contemplated by the terms of the Indenture or such guarantee) or is declared null and void in a judicial proceeding or the Guarantor denies or disaffirms its obligations under the applicable Indenture or the guarantee, in each case unless the guarantee has been released pursuant to the terms of the Indenture or such guarantee.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Modification and amendments of the Indenture and the Notes of any series may be made by us and the Trustee with the consent of the holders of not less than a majority in aggregate principal amount of the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S-28</w:t>
      </w:r>
    </w:p>
    <w:p>
      <w:pPr>
        <w:sectPr>
          <w:pgSz w:w="11900" w:h="16838" w:orient="portrait"/>
          <w:cols w:equalWidth="0" w:num="1">
            <w:col w:w="11120"/>
          </w:cols>
          <w:pgMar w:left="320" w:top="459" w:right="459" w:bottom="1440" w:gutter="0" w:footer="0" w:header="0"/>
        </w:sectPr>
      </w:pPr>
    </w:p>
    <w:bookmarkStart w:id="34" w:name="page35"/>
    <w:bookmarkEnd w:id="3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outstanding Notes of that series affected thereby; provided, however, that no such modification or amendment may, without the consent of the holder of each outstanding Note of that series affected thereby:</w:t>
      </w:r>
    </w:p>
    <w:p>
      <w:pPr>
        <w:spacing w:after="0" w:line="76" w:lineRule="exact"/>
        <w:rPr>
          <w:sz w:val="20"/>
          <w:szCs w:val="20"/>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series of Notes;</w:t>
      </w:r>
    </w:p>
    <w:p>
      <w:pPr>
        <w:spacing w:after="0" w:line="130" w:lineRule="exact"/>
        <w:rPr>
          <w:rFonts w:ascii="Arial" w:cs="Arial" w:eastAsia="Arial" w:hAnsi="Arial"/>
          <w:sz w:val="18"/>
          <w:szCs w:val="18"/>
          <w:color w:val="auto"/>
        </w:rPr>
      </w:pPr>
    </w:p>
    <w:p>
      <w:pPr>
        <w:ind w:left="1540" w:right="40" w:hanging="331"/>
        <w:spacing w:after="0" w:line="259"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reduce the principal amount of any Note or reduce the amount of the principal of any Notes which would be due and payable upon a declaration of acceleration of the maturity thereof or reduce the rate of interest on any Note (except as part of any remarketing of the Notes of any series or any interest rate reset with respect to the Notes of any series, in each case in accordance with the terms of the Notes of such series);</w:t>
      </w:r>
    </w:p>
    <w:p>
      <w:pPr>
        <w:spacing w:after="0" w:line="92"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7"/>
          <w:szCs w:val="17"/>
          <w:color w:val="auto"/>
        </w:rPr>
      </w:pPr>
      <w:r>
        <w:rPr>
          <w:rFonts w:ascii="Arial" w:cs="Arial" w:eastAsia="Arial" w:hAnsi="Arial"/>
          <w:sz w:val="17"/>
          <w:szCs w:val="17"/>
          <w:color w:val="auto"/>
        </w:rPr>
        <w:t>reduce any premium payable on the redemption of any Note or change the date on which any Note may or must be redeemed;</w:t>
      </w:r>
    </w:p>
    <w:p>
      <w:pPr>
        <w:spacing w:after="0" w:line="142" w:lineRule="exact"/>
        <w:rPr>
          <w:rFonts w:ascii="Arial" w:cs="Arial" w:eastAsia="Arial" w:hAnsi="Arial"/>
          <w:sz w:val="17"/>
          <w:szCs w:val="17"/>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Note is payable;</w:t>
      </w:r>
    </w:p>
    <w:p>
      <w:pPr>
        <w:spacing w:after="0" w:line="130" w:lineRule="exact"/>
        <w:rPr>
          <w:rFonts w:ascii="Arial" w:cs="Arial" w:eastAsia="Arial" w:hAnsi="Arial"/>
          <w:sz w:val="18"/>
          <w:szCs w:val="18"/>
          <w:color w:val="auto"/>
        </w:rPr>
      </w:pPr>
    </w:p>
    <w:p>
      <w:pPr>
        <w:ind w:left="1540" w:right="180" w:hanging="331"/>
        <w:spacing w:after="0" w:line="277"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Note (or, in the case of redemption, on or after the redemption date);</w:t>
      </w:r>
    </w:p>
    <w:p>
      <w:pPr>
        <w:spacing w:after="0" w:line="75" w:lineRule="exact"/>
        <w:rPr>
          <w:rFonts w:ascii="Arial" w:cs="Arial" w:eastAsia="Arial" w:hAnsi="Arial"/>
          <w:sz w:val="18"/>
          <w:szCs w:val="18"/>
          <w:color w:val="auto"/>
        </w:rPr>
      </w:pPr>
    </w:p>
    <w:p>
      <w:pPr>
        <w:ind w:left="1540" w:right="100" w:hanging="331"/>
        <w:spacing w:after="0" w:line="277"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Notes, the consent of whose holders is required in order to take certain actions; or</w:t>
      </w:r>
    </w:p>
    <w:p>
      <w:pPr>
        <w:spacing w:after="0" w:line="75" w:lineRule="exact"/>
        <w:rPr>
          <w:rFonts w:ascii="Arial" w:cs="Arial" w:eastAsia="Arial" w:hAnsi="Arial"/>
          <w:sz w:val="18"/>
          <w:szCs w:val="18"/>
          <w:color w:val="auto"/>
        </w:rPr>
      </w:pPr>
    </w:p>
    <w:p>
      <w:pPr>
        <w:ind w:left="1540" w:right="180" w:hanging="331"/>
        <w:spacing w:after="0" w:line="263"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Notes except to increase any percentage vote required or to provide that certain other provisions of the Indenture cannot be modified or waived without the consent of the holder of each Note affected thereby.</w:t>
      </w:r>
    </w:p>
    <w:p>
      <w:pPr>
        <w:spacing w:after="0" w:line="184"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Notes of any series with respect to the following:</w:t>
      </w:r>
    </w:p>
    <w:p>
      <w:pPr>
        <w:spacing w:after="0" w:line="76" w:lineRule="exact"/>
        <w:rPr>
          <w:sz w:val="20"/>
          <w:szCs w:val="20"/>
          <w:color w:val="auto"/>
        </w:rPr>
      </w:pPr>
    </w:p>
    <w:p>
      <w:pPr>
        <w:ind w:left="1540" w:right="20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Notes of all or any series (and if such covenants are to be for the benefit of less than all series of Notes,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540" w:right="18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evidence the succession of another person to, and the assumption by the successor of our covenants, agreements and obligations under, the Indenture pursuant to the covenant described in the accompanying prospectus under the caption “Description of Debt Securities—Covenants—Consolidation, Merger and Sale of Assets;”</w:t>
      </w:r>
    </w:p>
    <w:p>
      <w:pPr>
        <w:spacing w:after="0" w:line="89" w:lineRule="exact"/>
        <w:rPr>
          <w:rFonts w:ascii="Arial" w:cs="Arial" w:eastAsia="Arial" w:hAnsi="Arial"/>
          <w:sz w:val="18"/>
          <w:szCs w:val="18"/>
          <w:color w:val="auto"/>
        </w:rPr>
      </w:pPr>
    </w:p>
    <w:p>
      <w:pPr>
        <w:ind w:left="1540" w:right="6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Notes of all or any series (and if such additional events of default are to be for less than all series of Notes,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secure the Notes pursuant to the covenants of the Indenture;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provide for the issuance of additional notes of any series;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establish the form or terms of Notes of any series as permitted by the Indenture;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in respect of one or more series of Notes; provided that any such addition, change or elimination (a) shall neither (1) apply to any note of any series created prior to the execution of such supplemental indenture and entitled</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S-29</w:t>
      </w:r>
    </w:p>
    <w:p>
      <w:pPr>
        <w:sectPr>
          <w:pgSz w:w="11900" w:h="16838" w:orient="portrait"/>
          <w:cols w:equalWidth="0" w:num="1">
            <w:col w:w="11120"/>
          </w:cols>
          <w:pgMar w:left="320" w:top="459" w:right="459" w:bottom="1440" w:gutter="0" w:footer="0" w:header="0"/>
        </w:sectPr>
      </w:pPr>
    </w:p>
    <w:bookmarkStart w:id="35" w:name="page36"/>
    <w:bookmarkEnd w:id="3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540" w:right="160"/>
        <w:spacing w:after="0" w:line="277" w:lineRule="auto"/>
        <w:rPr>
          <w:sz w:val="20"/>
          <w:szCs w:val="20"/>
          <w:color w:val="auto"/>
        </w:rPr>
      </w:pPr>
      <w:r>
        <w:rPr>
          <w:rFonts w:ascii="Arial" w:cs="Arial" w:eastAsia="Arial" w:hAnsi="Arial"/>
          <w:sz w:val="18"/>
          <w:szCs w:val="18"/>
          <w:color w:val="auto"/>
        </w:rPr>
        <w:t>to the benefit of such provision nor (2) modify the rights of the holder of any such Notes with respect to such provision or (b) shall become effective only when there is no note described in clause (a)(1) outstanding;</w:t>
      </w:r>
    </w:p>
    <w:p>
      <w:pPr>
        <w:spacing w:after="0" w:line="76" w:lineRule="exact"/>
        <w:rPr>
          <w:sz w:val="20"/>
          <w:szCs w:val="20"/>
          <w:color w:val="auto"/>
        </w:rPr>
      </w:pPr>
    </w:p>
    <w:p>
      <w:pPr>
        <w:ind w:left="1540" w:hanging="331"/>
        <w:spacing w:after="0"/>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cure any ambiguity, mistake, omission, defect or inconsistency;</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Notes of any series in any material respect;</w:t>
      </w:r>
    </w:p>
    <w:p>
      <w:pPr>
        <w:spacing w:after="0" w:line="75"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Notes pursuant to the Indenture; provided that any such action shall not adversely affect the interests of the holders of Notes of such series or any other series of Notes in any material respect;</w:t>
      </w:r>
    </w:p>
    <w:p>
      <w:pPr>
        <w:spacing w:after="0" w:line="89" w:lineRule="exact"/>
        <w:rPr>
          <w:rFonts w:ascii="Arial" w:cs="Arial" w:eastAsia="Arial" w:hAnsi="Arial"/>
          <w:sz w:val="18"/>
          <w:szCs w:val="18"/>
          <w:color w:val="auto"/>
        </w:rPr>
      </w:pPr>
    </w:p>
    <w:p>
      <w:pPr>
        <w:ind w:left="1540" w:right="80" w:hanging="331"/>
        <w:spacing w:after="0" w:line="277"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Notes may be listed or traded;</w:t>
      </w:r>
    </w:p>
    <w:p>
      <w:pPr>
        <w:spacing w:after="0" w:line="75" w:lineRule="exact"/>
        <w:rPr>
          <w:rFonts w:ascii="Arial" w:cs="Arial" w:eastAsia="Arial" w:hAnsi="Arial"/>
          <w:sz w:val="18"/>
          <w:szCs w:val="18"/>
          <w:color w:val="auto"/>
        </w:rPr>
      </w:pPr>
    </w:p>
    <w:p>
      <w:pPr>
        <w:ind w:left="1540" w:right="260" w:hanging="331"/>
        <w:spacing w:after="0" w:line="263"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conform to the description of the Notes contained in this prospectus supplement, the accompanying prospectus or any similar document with respect to the offering of Notes of such series to the extent that such description was intended to be a substantially verbatim recitation of a provision in the Indenture or such Notes; and</w:t>
      </w:r>
    </w:p>
    <w:p>
      <w:pPr>
        <w:spacing w:after="0" w:line="89" w:lineRule="exact"/>
        <w:rPr>
          <w:rFonts w:ascii="Arial" w:cs="Arial" w:eastAsia="Arial" w:hAnsi="Arial"/>
          <w:sz w:val="18"/>
          <w:szCs w:val="18"/>
          <w:color w:val="auto"/>
        </w:rPr>
      </w:pPr>
    </w:p>
    <w:p>
      <w:pPr>
        <w:jc w:val="both"/>
        <w:ind w:left="1540" w:right="560" w:hanging="331"/>
        <w:spacing w:after="0" w:line="263"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of 1939, as amended, provided that such action does not adversely affect the rights or interests of any holder of Notes in any material respect.</w:t>
      </w:r>
    </w:p>
    <w:p>
      <w:pPr>
        <w:spacing w:after="0" w:line="18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The holders of at least a majority in aggregate principal amount of the outstanding Notes of any series may, on behalf of the holders of Notes of that series, waive compliance by us with certain restrictive provisions of the Indenture. The holders of not less than a majority in aggregate principal amount of the outstanding Notes of a series may, on behalf of the holders of all Notes of that series, waive any past default and its consequences under the Indenture with respect to the Notes of that series, except a default (1) in the payment of principal or premium, if any, or interest on Notes of that series or (2) in respect of a covenant or provision of the Indenture that cannot be modified or amended without the consent of the holder of each Note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 Provisions</w:t>
      </w:r>
    </w:p>
    <w:p>
      <w:pPr>
        <w:spacing w:after="0" w:line="121" w:lineRule="exact"/>
        <w:rPr>
          <w:sz w:val="20"/>
          <w:szCs w:val="20"/>
          <w:color w:val="auto"/>
        </w:rPr>
      </w:pPr>
    </w:p>
    <w:p>
      <w:pPr>
        <w:ind w:left="120" w:right="100" w:firstLine="440"/>
        <w:spacing w:after="0" w:line="271" w:lineRule="auto"/>
        <w:rPr>
          <w:sz w:val="20"/>
          <w:szCs w:val="20"/>
          <w:color w:val="auto"/>
        </w:rPr>
      </w:pPr>
      <w:r>
        <w:rPr>
          <w:rFonts w:ascii="Arial" w:cs="Arial" w:eastAsia="Arial" w:hAnsi="Arial"/>
          <w:sz w:val="17"/>
          <w:szCs w:val="17"/>
          <w:color w:val="auto"/>
        </w:rPr>
        <w:t>We may discharge certain obligations to holders of the Notes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Notes denominated in a single currency other than U.S. dollars, money and/or foreign government obligations of the government that issued such currency, in an amount sufficient to pay all amounts owing pursuant to the Indenture, including the entire indebtedness including, but not limited to, the principal and premium, if any, and interest to the date of such deposit (if the Notes have become due and payable) or to the maturity thereof or the redemption date of the Notes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jc w:val="both"/>
        <w:ind w:left="120" w:right="240" w:firstLine="440"/>
        <w:spacing w:after="0" w:line="311" w:lineRule="auto"/>
        <w:rPr>
          <w:sz w:val="20"/>
          <w:szCs w:val="20"/>
          <w:color w:val="auto"/>
        </w:rPr>
      </w:pPr>
      <w:r>
        <w:rPr>
          <w:rFonts w:ascii="Arial" w:cs="Arial" w:eastAsia="Arial" w:hAnsi="Arial"/>
          <w:sz w:val="16"/>
          <w:szCs w:val="16"/>
          <w:color w:val="auto"/>
        </w:rPr>
        <w:t>The Indenture provides that we may elect either (1) to defease and be discharged from any and all obligations with respect to Notes (except for, among other things, obligations to register the transfer or exchange of the Notes, to replace temporary or mutilated, destroyed, lost or stolen Notes, to maintain an office or agency with respect to the Notes, to hold moneys for payment in trust and certain of our obligations to the Trustee)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S-30</w:t>
      </w:r>
    </w:p>
    <w:p>
      <w:pPr>
        <w:sectPr>
          <w:pgSz w:w="11900" w:h="16838" w:orient="portrait"/>
          <w:cols w:equalWidth="0" w:num="1">
            <w:col w:w="11120"/>
          </w:cols>
          <w:pgMar w:left="320" w:top="459" w:right="459" w:bottom="1440" w:gutter="0" w:footer="0" w:header="0"/>
        </w:sectPr>
      </w:pPr>
    </w:p>
    <w:bookmarkStart w:id="36" w:name="page37"/>
    <w:bookmarkEnd w:id="3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(“legal defeasance”) or (2) to be released from our obligations to comply with the covenant described in the accompanying prospectus under the caption “Description of Debt Securities—Covenants—Consolidation, Merger and Sale of Assets” and certain other covenants under the Indenture, and any omission to comply with such obligations will not constitute a default or an event of default with respect to the Notes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Notes denominated in a single currency other than U.S. dollars, money and/or foreign government obligations of the government that issued such currency, applicable to the Notes of that series which through the scheduled payment of principal and interest in accordance with their terms will provide money in an amount sufficient to pay the principal or premium, if any, and interest on the Notes on the scheduled due dates therefor.</w:t>
      </w:r>
    </w:p>
    <w:p>
      <w:pPr>
        <w:spacing w:after="0" w:line="196"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If we effect legal or covenant defeasance with respect to the Notes of any series, the amount in U.S. dollars and/or U.S. government obligations, or, in the case of Notes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Notes of that series at the time of the stated maturity but may not be sufficient to pay amounts due on the Notes of that series at the time of the acceleration resulting from any event of default. However, we would remain liable to make payment of such amounts due at the time of acceleration.</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We will be required to deliver to the Trustee an opinion of counsel that the deposit and related defeasance will not cause the holders and beneficial owners of the Notes of that series to recognize income, gain or loss for federal income tax purposes. If we elect legal defeasance, that opinion of counsel must be based upon a ruling from the U.S. Internal Revenue Service or a change in law to that effect.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The Notes will trade in the same-day funds settlement system of DTC until maturity or until we issue the Notes in certificated form. DTC will therefore require secondary market trading activity in the Notes to settle in immediately available funds. We can give no assurance as to the effect, if any, of settlement in immediately available funds on trading activity in the Notes.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and the Notes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Any notices required to be given to the holders of the Notes will be given to DTC, as the registered holder of the global notes, in accordance with DTC’s procedures. In the event that the global notes are exchanged for Notes in certificated form, notices to holders of the Notes will be sent electronically or mailed by first-class mail, postage prepaid, to the addresses that appear on the register of holders maintained by the registrar.</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U.S. Bank Trust Company, National Association is the Trustee under the Indenture and has also been appointed by us to act as registrar, transfer agent and paying agent for the Notes. We and our affiliates maintain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S-31</w:t>
      </w:r>
    </w:p>
    <w:p>
      <w:pPr>
        <w:sectPr>
          <w:pgSz w:w="11900" w:h="16838" w:orient="portrait"/>
          <w:cols w:equalWidth="0" w:num="1">
            <w:col w:w="11120"/>
          </w:cols>
          <w:pgMar w:left="320" w:top="459" w:right="459" w:bottom="1440" w:gutter="0" w:footer="0" w:header="0"/>
        </w:sectPr>
      </w:pPr>
    </w:p>
    <w:bookmarkStart w:id="37" w:name="page38"/>
    <w:bookmarkEnd w:id="3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various commercial and service relationships with the Trustee and its affiliates in the ordinary course of business. The Trustee and its affiliates will be permitted to engage in other transactions with us. However, if a conflicting interest arises and a default occurs with respect to the Notes, the Trustee must eliminate such conflict or resign.</w:t>
      </w:r>
    </w:p>
    <w:p>
      <w:pPr>
        <w:spacing w:after="0" w:line="184"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U.S. Bank Trust Company, National Association assumes no responsibility for the accuracy or completeness of the information concerning us or our affiliates or any other party contained in this document or for any failure by us or any other party to disclose events that may have occurred and may affect the significance or accuracy of such information.</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S-32</w:t>
      </w:r>
    </w:p>
    <w:p>
      <w:pPr>
        <w:sectPr>
          <w:pgSz w:w="11900" w:h="16838" w:orient="portrait"/>
          <w:cols w:equalWidth="0" w:num="1">
            <w:col w:w="11080"/>
          </w:cols>
          <w:pgMar w:left="320" w:top="459" w:right="49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BOOK-ENTRY SETTLEMENT AND CLEARANCE</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Global Notes</w:t>
      </w:r>
    </w:p>
    <w:p>
      <w:pPr>
        <w:spacing w:after="0" w:line="121"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The Notes will be issued in the form of registered notes in global form, without interest coupons (the “global notes”). Upon issuance, each of the global notes will be deposited with the Trustee as custodian for DTC and registered in the name of Cede &amp; Co., as nominee of DTC. Ownership of beneficial interests in each global note will be limited to persons who have accounts with DTC (“DTC participants”) or persons who hold interests through DTC participants. We expect that under procedures established by DTC:</w:t>
      </w:r>
    </w:p>
    <w:p>
      <w:pPr>
        <w:spacing w:after="0" w:line="92" w:lineRule="exact"/>
        <w:rPr>
          <w:sz w:val="20"/>
          <w:szCs w:val="20"/>
          <w:color w:val="auto"/>
        </w:rPr>
      </w:pPr>
    </w:p>
    <w:p>
      <w:pPr>
        <w:ind w:left="1540" w:right="260" w:hanging="331"/>
        <w:spacing w:after="0" w:line="277" w:lineRule="auto"/>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upon deposit of each global note with DTC’s custodian, DTC will credit portions of the principal amount of the global note to the accounts of the DTC participants designated by the underwriters; and</w:t>
      </w:r>
    </w:p>
    <w:p>
      <w:pPr>
        <w:spacing w:after="0" w:line="75" w:lineRule="exact"/>
        <w:rPr>
          <w:rFonts w:ascii="Arial" w:cs="Arial" w:eastAsia="Arial" w:hAnsi="Arial"/>
          <w:sz w:val="18"/>
          <w:szCs w:val="18"/>
          <w:color w:val="auto"/>
        </w:rPr>
      </w:pPr>
    </w:p>
    <w:p>
      <w:pPr>
        <w:jc w:val="both"/>
        <w:ind w:left="1540" w:right="160" w:hanging="331"/>
        <w:spacing w:after="0" w:line="263" w:lineRule="auto"/>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ownership of beneficial interests in each global note will be shown on, and transfer of ownership of those interests will be effected only through, records maintained by DTC (with respect to interests of DTC participants) and the records of DTC participants (with respect to other owners of beneficial interests in the global note).</w:t>
      </w:r>
    </w:p>
    <w:p>
      <w:pPr>
        <w:spacing w:after="0" w:line="184"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Beneficial interests in the global notes may not be exchanged for notes in physical, certificated form except in the limited circumstances described below.</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Procedures for the Global Notes</w:t>
      </w:r>
    </w:p>
    <w:p>
      <w:pPr>
        <w:spacing w:after="0" w:line="121"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All interests in the global notes will be subject to the operations and procedures of DTC, Euroclear Bank S.A./N.V. (“Euroclear”) and Clearstream Banking S.A. (“Clearstream”). We have provided the following summaries of those operations and procedures solely for the convenience of investors. The operations and procedures of each settlement system are controlled by that settlement system and may be changed at any time. Neither we nor the underwriters are responsible for those operations or procedures.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DTC has advised us that it is:</w:t>
      </w:r>
    </w:p>
    <w:p>
      <w:pPr>
        <w:spacing w:after="0" w:line="131" w:lineRule="exact"/>
        <w:rPr>
          <w:sz w:val="20"/>
          <w:szCs w:val="20"/>
          <w:color w:val="auto"/>
        </w:rPr>
      </w:pPr>
    </w:p>
    <w:p>
      <w:pPr>
        <w:ind w:left="1540" w:hanging="331"/>
        <w:spacing w:after="0"/>
        <w:tabs>
          <w:tab w:leader="none" w:pos="1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limited purpose trust company organized under the laws of the State of New York;</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“banking organization” within the meaning of the New York State Banking Law;</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member of the Federal Reserve System;</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“clearing corporation” within the meaning of the Uniform Commercial Code;</w:t>
      </w:r>
    </w:p>
    <w:p>
      <w:pPr>
        <w:spacing w:after="0" w:line="130" w:lineRule="exact"/>
        <w:rPr>
          <w:rFonts w:ascii="Arial" w:cs="Arial" w:eastAsia="Arial" w:hAnsi="Arial"/>
          <w:sz w:val="18"/>
          <w:szCs w:val="18"/>
          <w:color w:val="auto"/>
        </w:rPr>
      </w:pPr>
    </w:p>
    <w:p>
      <w:pPr>
        <w:ind w:left="1540" w:right="60" w:hanging="331"/>
        <w:spacing w:after="0" w:line="277" w:lineRule="auto"/>
        <w:tabs>
          <w:tab w:leader="none" w:pos="1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“clearing agency” registered under Section 17A of the Securities Exchange Act of 1934. DTC was created to hold securities for its participants and to facilitate the clearance; and</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settlement of securities transactions between its participants through electronic book-entry changes to the accounts of its participants.</w:t>
      </w:r>
    </w:p>
    <w:p>
      <w:pPr>
        <w:spacing w:after="0" w:line="248"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DTC’s participants include securities brokers and dealers, including the underwriters; banks and trust companies; clearing corporations and other organizations. Indirect access to DTC’s system is also available to others such as banks, brokers, dealers and trust companies; these indirect participants clear through or maintain a custodial relationship with a DTC participant, either directly or indirectly. Investors who are not DTC participants may beneficially own securities held by or on behalf of DTC only through DTC participants or indirect participants in DTC.</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S-33</w:t>
      </w:r>
    </w:p>
    <w:p>
      <w:pPr>
        <w:sectPr>
          <w:pgSz w:w="11900" w:h="16838" w:orient="portrait"/>
          <w:cols w:equalWidth="0" w:num="1">
            <w:col w:w="11120"/>
          </w:cols>
          <w:pgMar w:left="320" w:top="459" w:right="45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660" w:firstLine="440"/>
        <w:spacing w:after="0" w:line="342" w:lineRule="auto"/>
        <w:rPr>
          <w:sz w:val="20"/>
          <w:szCs w:val="20"/>
          <w:color w:val="auto"/>
        </w:rPr>
      </w:pPr>
      <w:r>
        <w:rPr>
          <w:rFonts w:ascii="Arial" w:cs="Arial" w:eastAsia="Arial" w:hAnsi="Arial"/>
          <w:sz w:val="16"/>
          <w:szCs w:val="16"/>
          <w:color w:val="auto"/>
        </w:rPr>
        <w:t>So long as DTC’s nominee is the registered owner of a global note, that nominee will be considered the sole owner or holder of the Notes represented by that global note for all purposes under the Indenture. Except as provided below, owners of beneficial interests in a global note:</w:t>
      </w:r>
    </w:p>
    <w:p>
      <w:pPr>
        <w:spacing w:after="0" w:line="29" w:lineRule="exact"/>
        <w:rPr>
          <w:sz w:val="20"/>
          <w:szCs w:val="20"/>
          <w:color w:val="auto"/>
        </w:rPr>
      </w:pPr>
    </w:p>
    <w:p>
      <w:pPr>
        <w:ind w:left="1540" w:hanging="331"/>
        <w:spacing w:after="0"/>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will not be entitled to have the Notes represented by the global note registered in their names;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will not receive or be entitled to receive physical, certificated notes; and</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will not be considered the owners or holders of the Notes under the Indenture for any purpose, including with respect to the giving of any direction, instruction or approval to the Trustee under the Indenture.</w:t>
      </w:r>
    </w:p>
    <w:p>
      <w:pPr>
        <w:spacing w:after="0" w:line="170"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As a result, each investor who owns a beneficial interest in a global note must rely on the procedures of DTC to exercise any rights of a holder of the Notes under the Indenture (and, if the investor is not a participant or an indirect participant in DTC, on the procedures of the DTC participant through which the investor owns its interest).</w:t>
      </w:r>
    </w:p>
    <w:p>
      <w:pPr>
        <w:spacing w:after="0" w:line="184"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Payments of principal, premium (if any) and interest with respect to the Notes represented by a global note will be made by the Trustee to DTC’s nominee as the registered holder of the global note. Neither we nor the Trustee will have any responsibility or liability for the payment of amounts to owners of beneficial interests in a global note, for any aspect of the records relating to or payments made on account of those interests by DTC, or for maintaining, supervising or reviewing any records of DTC relating to those interests.</w:t>
      </w:r>
    </w:p>
    <w:p>
      <w:pPr>
        <w:spacing w:after="0" w:line="187" w:lineRule="exact"/>
        <w:rPr>
          <w:sz w:val="20"/>
          <w:szCs w:val="20"/>
          <w:color w:val="auto"/>
        </w:rPr>
      </w:pPr>
    </w:p>
    <w:p>
      <w:pPr>
        <w:ind w:left="120" w:right="480" w:firstLine="440"/>
        <w:spacing w:after="0" w:line="308" w:lineRule="auto"/>
        <w:rPr>
          <w:sz w:val="20"/>
          <w:szCs w:val="20"/>
          <w:color w:val="auto"/>
        </w:rPr>
      </w:pPr>
      <w:r>
        <w:rPr>
          <w:rFonts w:ascii="Arial" w:cs="Arial" w:eastAsia="Arial" w:hAnsi="Arial"/>
          <w:sz w:val="17"/>
          <w:szCs w:val="17"/>
          <w:color w:val="auto"/>
        </w:rPr>
        <w:t>Payments by participants and indirect participants in DTC to the owners of beneficial interests in a global note will be governed by standing instructions and customary industry practice and will be the responsibility of those participants or indirect participants and DTC.</w:t>
      </w:r>
    </w:p>
    <w:p>
      <w:pPr>
        <w:spacing w:after="0" w:line="146" w:lineRule="exact"/>
        <w:rPr>
          <w:sz w:val="20"/>
          <w:szCs w:val="20"/>
          <w:color w:val="auto"/>
        </w:rPr>
      </w:pPr>
    </w:p>
    <w:p>
      <w:pPr>
        <w:ind w:left="120" w:right="660" w:firstLine="440"/>
        <w:spacing w:after="0" w:line="342" w:lineRule="auto"/>
        <w:rPr>
          <w:sz w:val="20"/>
          <w:szCs w:val="20"/>
          <w:color w:val="auto"/>
        </w:rPr>
      </w:pPr>
      <w:r>
        <w:rPr>
          <w:rFonts w:ascii="Arial" w:cs="Arial" w:eastAsia="Arial" w:hAnsi="Arial"/>
          <w:sz w:val="16"/>
          <w:szCs w:val="16"/>
          <w:color w:val="auto"/>
        </w:rPr>
        <w:t>Transfers between participants in DTC will be effected under DTC’s procedures and will be settled in same-day funds. Transfers between participants in Euroclear or Clearstream will be effected in the ordinary way under the rules and operating procedures of those systems.</w:t>
      </w:r>
    </w:p>
    <w:p>
      <w:pPr>
        <w:spacing w:after="0" w:line="124"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Cross-market transfers between DTC participants, on the one hand, and Euroclear or Clearstream participants, on the other hand, will be effected within DTC through the DTC participants that are acting as depositaries for Euroclear and Clearstream. To deliver or receive an interest in a global note held in a Euroclear or Clearstream account, an investor must send transfer instructions to Euroclear or Clearstream, as the case may be, under the rules and procedures of that system and within the established deadlines of that system. If the transaction meets its settlement requirements, Euroclear or Clearstream, as the case may be, will send instructions to its DTC depository to take action to effect final settlement by delivering or receiving interests in the relevant global notes in DTC, and making or receiving payment under normal procedures for same-day funds settlement applicable to DTC. Euroclear and Clearstream participants may not deliver instructions directly to the DTC depositaries that are acting for Euroclear or Clearstream.</w:t>
      </w:r>
    </w:p>
    <w:p>
      <w:pPr>
        <w:spacing w:after="0" w:line="166"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Because of time zone differences, the securities account of a Euroclear or Clearstream participant that purchases an interest in a global note from a DTC participant will be credited on the business day for Euroclear or Clearstream immediately following the DTC settlement date. Cash received in Euroclear or Clearstream from the sale of an interest in a global note to a DTC participant will be received with value on the DTC settlement date but will be available in the relevant Euroclear or Clearstream cash account as of the business day for Euroclear or Clearstream following the DTC settlement date.</w:t>
      </w:r>
    </w:p>
    <w:p>
      <w:pPr>
        <w:spacing w:after="0" w:line="188"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DTC, Euroclear and Clearstream have agreed to the above procedures to facilitate transfers of interests in the global notes among participants in those settlement systems. However, the settlement systems are not obligated to perform these procedures and may discontinue or change these procedures at any time. Neither we nor the Trustee will have any responsibility for the performance by DTC, Euroclear or Clearstream or their participants or indirect participants of their obligations under the rules and procedures governing their operations.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S-34</w:t>
      </w:r>
    </w:p>
    <w:p>
      <w:pPr>
        <w:sectPr>
          <w:pgSz w:w="11900" w:h="16838" w:orient="portrait"/>
          <w:cols w:equalWidth="0" w:num="1">
            <w:col w:w="11120"/>
          </w:cols>
          <w:pgMar w:left="320" w:top="459" w:right="459" w:bottom="1440" w:gutter="0" w:footer="0" w:header="0"/>
        </w:sectPr>
      </w:pPr>
    </w:p>
    <w:bookmarkStart w:id="40" w:name="page41"/>
    <w:bookmarkEnd w:id="4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Certificated Notes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Notes of a series in physical, certificated form will be issued and delivered to each person that DTC identifies as a beneficial owner of the related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Notes only if:</w:t>
      </w:r>
    </w:p>
    <w:p>
      <w:pPr>
        <w:spacing w:after="0" w:line="116" w:lineRule="exact"/>
        <w:rPr>
          <w:sz w:val="20"/>
          <w:szCs w:val="20"/>
          <w:color w:val="auto"/>
        </w:rPr>
      </w:pPr>
    </w:p>
    <w:p>
      <w:pPr>
        <w:ind w:left="1540" w:right="80" w:hanging="331"/>
        <w:spacing w:after="0" w:line="277" w:lineRule="auto"/>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DTC notifies us at any time that it is unwilling, unable or no longer qualified to continue as depositary for the global notes of such series and a successor depositary is not appointed within 90 days;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we, at our option, notify the Trustee that we elect to cause the issuance of certificated notes of such series; or</w:t>
      </w:r>
    </w:p>
    <w:p>
      <w:pPr>
        <w:spacing w:after="0" w:line="130" w:lineRule="exact"/>
        <w:rPr>
          <w:rFonts w:ascii="Arial" w:cs="Arial" w:eastAsia="Arial" w:hAnsi="Arial"/>
          <w:sz w:val="18"/>
          <w:szCs w:val="18"/>
          <w:color w:val="auto"/>
        </w:rPr>
      </w:pPr>
    </w:p>
    <w:p>
      <w:pPr>
        <w:ind w:left="1540" w:right="20" w:hanging="331"/>
        <w:spacing w:after="0" w:line="277" w:lineRule="auto"/>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there shall have occurred and be continuing an event of default with respect to Notes of such series and DTC notifies the Trustee of its decision to exchange the global notes of such series for certificated notes of such series.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S-35</w:t>
      </w:r>
    </w:p>
    <w:p>
      <w:pPr>
        <w:sectPr>
          <w:pgSz w:w="11900" w:h="16838" w:orient="portrait"/>
          <w:cols w:equalWidth="0" w:num="1">
            <w:col w:w="11000"/>
          </w:cols>
          <w:pgMar w:left="320" w:top="459" w:right="579" w:bottom="1440" w:gutter="0" w:footer="0" w:header="0"/>
        </w:sectPr>
      </w:pPr>
    </w:p>
    <w:bookmarkStart w:id="41" w:name="page42"/>
    <w:bookmarkEnd w:id="4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MATERIAL U.S. FEDERAL INCOME TAX CONSIDERATIONS</w:t>
      </w:r>
    </w:p>
    <w:p>
      <w:pPr>
        <w:spacing w:after="0" w:line="229"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The following is a general discussion of the material U.S. federal income tax considerations applicable to U.S. holders and non-U.S. holders (each as defined below) with respect to the ownership and disposition of Notes acquired in this offering, but it does not purport to be a complete analysis of all the potential tax considerations. This discussion is limited to the U.S. federal income tax consequences relevant to holders that acquire Notes in the initial offering at their original “issue price” (</w:t>
      </w:r>
      <w:r>
        <w:rPr>
          <w:rFonts w:ascii="Arial" w:cs="Arial" w:eastAsia="Arial" w:hAnsi="Arial"/>
          <w:sz w:val="16"/>
          <w:szCs w:val="16"/>
          <w:i w:val="1"/>
          <w:iCs w:val="1"/>
          <w:color w:val="auto"/>
        </w:rPr>
        <w:t>i.e.</w:t>
      </w:r>
      <w:r>
        <w:rPr>
          <w:rFonts w:ascii="Arial" w:cs="Arial" w:eastAsia="Arial" w:hAnsi="Arial"/>
          <w:sz w:val="16"/>
          <w:szCs w:val="16"/>
          <w:color w:val="auto"/>
        </w:rPr>
        <w:t>, the first price at which a substantial part of the Notes is sold for cash to purchasers other than bond houses, brokers or similar persons or organizations acting in the capacity of underwriters, placement agents or wholesalers) and hold them as “capital assets” within the meaning of Section 1221 of the Code (generally, property held for investment). This discussion does not address tax consequences relevant to subsequent purchasers of the Notes. This discussion is based on current provisions of the Code, the treasury regulations promulgated thereunder (the “Treasury Regulations”), judicial decisions and administrative rulings and published positions of the Internal Revenue Service (the “IRS”), each as in effect as of the date hereof and all of which are subject to change or differing interpretations, possibly with retroactive effect, and any such change or interpretation could affect the accuracy of the statements and conclusions set forth herein.</w:t>
      </w:r>
    </w:p>
    <w:p>
      <w:pPr>
        <w:spacing w:after="0" w:line="168"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This discussion is for general information only and does not purport to address all aspects of U.S. federal income taxation that may be relevant to particular holders in light of their particular circumstances and does not apply to holders subject to special rules under the U.S. federal income tax laws, including, without limitation:</w:t>
      </w:r>
    </w:p>
    <w:p>
      <w:pPr>
        <w:spacing w:after="0" w:line="89" w:lineRule="exact"/>
        <w:rPr>
          <w:sz w:val="20"/>
          <w:szCs w:val="20"/>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banks or other financial institutions;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dealers in securities or currencies;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traders in securities that elect to apply a mark-to-market method of accounting;</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insurance companies, tax-exempt entities or arrangements, or grantor trusts;</w:t>
      </w:r>
    </w:p>
    <w:p>
      <w:pPr>
        <w:spacing w:after="0" w:line="130" w:lineRule="exact"/>
        <w:rPr>
          <w:rFonts w:ascii="Arial" w:cs="Arial" w:eastAsia="Arial" w:hAnsi="Arial"/>
          <w:sz w:val="18"/>
          <w:szCs w:val="18"/>
          <w:color w:val="auto"/>
        </w:rPr>
      </w:pPr>
    </w:p>
    <w:p>
      <w:pPr>
        <w:ind w:left="1540" w:right="260" w:hanging="331"/>
        <w:spacing w:after="0" w:line="277" w:lineRule="auto"/>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entities or arrangements treated as partnerships for U.S. federal income tax purposes or other flow-through entities (and investors therein);</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subchapter S corporations;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retirement plans, individual retirement accounts or other tax-deferred accounts;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real estate investment trusts, regulated investment companies;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holders liable for the alternative minimum tax;</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subject to the base erosion and anti-abuse tax;</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subject to rules under Section 1061 of the Code;</w:t>
      </w:r>
    </w:p>
    <w:p>
      <w:pPr>
        <w:spacing w:after="0" w:line="130" w:lineRule="exact"/>
        <w:rPr>
          <w:rFonts w:ascii="Arial" w:cs="Arial" w:eastAsia="Arial" w:hAnsi="Arial"/>
          <w:sz w:val="18"/>
          <w:szCs w:val="18"/>
          <w:color w:val="auto"/>
        </w:rPr>
      </w:pPr>
    </w:p>
    <w:p>
      <w:pPr>
        <w:ind w:left="1540" w:right="280" w:hanging="331"/>
        <w:spacing w:after="0" w:line="277" w:lineRule="auto"/>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certain former citizens or former long-term residents of the United States or entities covered by the anti-inversion rules under the Code;</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who actually or constructively own more than 5% of Marvell Technology, Inc. common stock;</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U.S. holders having a “functional currency” other than the U.S. dollar;</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7"/>
          <w:szCs w:val="17"/>
          <w:color w:val="auto"/>
        </w:rPr>
      </w:pPr>
      <w:r>
        <w:rPr>
          <w:rFonts w:ascii="Arial" w:cs="Arial" w:eastAsia="Arial" w:hAnsi="Arial"/>
          <w:sz w:val="17"/>
          <w:szCs w:val="17"/>
          <w:color w:val="auto"/>
        </w:rPr>
        <w:t>holders who hold Notes as part of a hedge, straddle, constructive sale, conversion transaction or other integrated transaction;</w:t>
      </w:r>
    </w:p>
    <w:p>
      <w:pPr>
        <w:spacing w:after="0" w:line="142" w:lineRule="exact"/>
        <w:rPr>
          <w:rFonts w:ascii="Arial" w:cs="Arial" w:eastAsia="Arial" w:hAnsi="Arial"/>
          <w:sz w:val="17"/>
          <w:szCs w:val="17"/>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“controlled foreign corporations” and “passive foreign investment companies;” and</w:t>
      </w:r>
    </w:p>
    <w:p>
      <w:pPr>
        <w:spacing w:after="0" w:line="130" w:lineRule="exact"/>
        <w:rPr>
          <w:rFonts w:ascii="Arial" w:cs="Arial" w:eastAsia="Arial" w:hAnsi="Arial"/>
          <w:sz w:val="18"/>
          <w:szCs w:val="18"/>
          <w:color w:val="auto"/>
        </w:rPr>
      </w:pPr>
    </w:p>
    <w:p>
      <w:pPr>
        <w:ind w:left="1540" w:right="40" w:hanging="331"/>
        <w:spacing w:after="0" w:line="308" w:lineRule="auto"/>
        <w:tabs>
          <w:tab w:leader="none" w:pos="1540" w:val="left"/>
        </w:tabs>
        <w:numPr>
          <w:ilvl w:val="0"/>
          <w:numId w:val="35"/>
        </w:numPr>
        <w:rPr>
          <w:rFonts w:ascii="Arial" w:cs="Arial" w:eastAsia="Arial" w:hAnsi="Arial"/>
          <w:sz w:val="17"/>
          <w:szCs w:val="17"/>
          <w:color w:val="auto"/>
        </w:rPr>
      </w:pPr>
      <w:r>
        <w:rPr>
          <w:rFonts w:ascii="Arial" w:cs="Arial" w:eastAsia="Arial" w:hAnsi="Arial"/>
          <w:sz w:val="17"/>
          <w:szCs w:val="17"/>
          <w:color w:val="auto"/>
        </w:rPr>
        <w:t>persons who are subject to special accounting rules (including rules requiring them to accelerate the recognition of any item of gross income with respect to the Notes as a result of such income being recognized on an applicable financial statement).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S-36</w:t>
      </w:r>
    </w:p>
    <w:p>
      <w:pPr>
        <w:sectPr>
          <w:pgSz w:w="11900" w:h="16838" w:orient="portrait"/>
          <w:cols w:equalWidth="0" w:num="1">
            <w:col w:w="11100"/>
          </w:cols>
          <w:pgMar w:left="320" w:top="459" w:right="479" w:bottom="1440" w:gutter="0" w:footer="0" w:header="0"/>
        </w:sectPr>
      </w:pPr>
    </w:p>
    <w:bookmarkStart w:id="42" w:name="page43"/>
    <w:bookmarkEnd w:id="4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380" w:firstLine="440"/>
        <w:spacing w:after="0" w:line="259" w:lineRule="auto"/>
        <w:rPr>
          <w:sz w:val="20"/>
          <w:szCs w:val="20"/>
          <w:color w:val="auto"/>
        </w:rPr>
      </w:pPr>
      <w:r>
        <w:rPr>
          <w:rFonts w:ascii="Arial" w:cs="Arial" w:eastAsia="Arial" w:hAnsi="Arial"/>
          <w:sz w:val="18"/>
          <w:szCs w:val="18"/>
          <w:color w:val="auto"/>
        </w:rPr>
        <w:t>This discussion also does not address any considerations under U.S. federal tax laws other than those pertaining to the income tax, nor does it address any considerations under any state, local or non-U.S. tax laws. In addition, this discussion does not address the tax consequences of the ownership and disposition of the Notes arising under the unearned income Medicare contribution tax pursuant to the Health Care and Education Reconciliation Act of 2010.</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Prospective investors should consult with their own tax advisors as to the particular tax consequences to them of the ownership and disposition of the Notes, including with respect to the applicability and effect of any U.S. federal, state, local or non-U.S. income tax laws or any tax treaty, and any changes (or proposed changes) in tax laws or interpretations thereof.</w:t>
      </w:r>
    </w:p>
    <w:p>
      <w:pPr>
        <w:spacing w:after="0" w:line="184" w:lineRule="exact"/>
        <w:rPr>
          <w:sz w:val="20"/>
          <w:szCs w:val="20"/>
          <w:color w:val="auto"/>
        </w:rPr>
      </w:pPr>
    </w:p>
    <w:p>
      <w:pPr>
        <w:ind w:left="120" w:right="260" w:firstLine="440"/>
        <w:spacing w:after="0" w:line="259" w:lineRule="auto"/>
        <w:rPr>
          <w:sz w:val="20"/>
          <w:szCs w:val="20"/>
          <w:color w:val="auto"/>
        </w:rPr>
      </w:pPr>
      <w:r>
        <w:rPr>
          <w:rFonts w:ascii="Arial" w:cs="Arial" w:eastAsia="Arial" w:hAnsi="Arial"/>
          <w:sz w:val="18"/>
          <w:szCs w:val="18"/>
          <w:color w:val="auto"/>
        </w:rPr>
        <w:t>If an entity or arrangement treated as a partnership for U.S. federal income tax purposes holds Notes, the tax treatment of a person treated as a partner in such partnership generally will depend on the status of the partner and the activities of the partners and the partnership. Any person that for U.S. federal income tax purposes is treated as a partner in a partnership holding Notes should consult his, her or its tax advisor regarding the tax consequences of the ownership and disposition of Notes.</w:t>
      </w:r>
    </w:p>
    <w:p>
      <w:pPr>
        <w:spacing w:after="0" w:line="187" w:lineRule="exact"/>
        <w:rPr>
          <w:sz w:val="20"/>
          <w:szCs w:val="20"/>
          <w:color w:val="auto"/>
        </w:rPr>
      </w:pPr>
    </w:p>
    <w:p>
      <w:pPr>
        <w:ind w:left="120" w:right="220" w:firstLine="440"/>
        <w:spacing w:after="0" w:line="257" w:lineRule="auto"/>
        <w:rPr>
          <w:sz w:val="20"/>
          <w:szCs w:val="20"/>
          <w:color w:val="auto"/>
        </w:rPr>
      </w:pPr>
      <w:r>
        <w:rPr>
          <w:rFonts w:ascii="Arial" w:cs="Arial" w:eastAsia="Arial" w:hAnsi="Arial"/>
          <w:sz w:val="18"/>
          <w:szCs w:val="18"/>
          <w:color w:val="auto"/>
        </w:rPr>
        <w:t>THIS DISCUSSION IS FOR GENERAL INFORMATION PURPOSES ONLY AND IS NOT INTENDED TO CONSTITUTE A COMPLETE DESCRIPTION OF ALL TAX CONSEQUENCES RELATING TO THE OWNERSHIP AND DISPOSITION OF THE NOTES. PROSPECTIVE INVESTORS SHOULD CONSULT THEIR OWN TAX ADVISORS AS TO THE PARTICULAR TAX CONSEQUENCES TO THEM OF THE OWNERSHIP AND DISPOSITION OF THE NOTES, INCLUDING WITH RESPECT TO THE APPLICABILITY AND EFFECT OF ANY U.S. FEDERAL, STATE, LOCAL OR NON-U.S. INCOME TAX LAWS OR ANY TAX TREATY.</w:t>
      </w:r>
    </w:p>
    <w:p>
      <w:pPr>
        <w:spacing w:after="0" w:line="188"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The terms of the Notes provide for payments by us in excess of stated interest or principal, or prior to their scheduled payment dates, under certain circumstances, including as described in this prospectus supplement under the caption “Description of Notes—Purchase of Notes Upon a Change of Control Repurchase Event” and in the accompanying prospectus under the caption “Description of Debt Securities—Payments of Additional Amounts.” The possibility of such payments may implicate special rules under Treasury Regulations governing “contingent payment debt instruments.” According to those Treasury Regulations, the possibility that such payments of excess or accelerated amounts will be made will not affect the amount of income a holder recognizes in advance of the payment of such excess or accelerated amounts if there is only a remote chance as of the date the Notes are issued that such payments will be made. Although the issue is not free from doubt, we intend to take the position that the likelihood that such payments will be made is remote within the meaning of the applicable Treasury Regulations. Our position that these contingencies are remote is binding on a holder unless such holder discloses its contrary position to the IRS in the manner required by applicable Treasury Regulations. Our position is not, however, binding on the IRS, and if the IRS were to challenge this position successfully, a holder might be required to, among other things, accrue interest income based on a projected payment schedule and comparable yield determined at the time of the issuance of the Notes, which may be in excess of stated interest, and treat as ordinary income rather than capital gain any income realized on the taxable disposition of a Note. In the event a contingency described above occurs, it could affect the amount, timing and character of the income or loss recognized by a holder. Prospective holders should consult their own tax advisors regarding the tax consequences if the Notes were treated as contingent payment debt instruments. The remainder of this discussion assumes that the Notes will not be considered contingent payment debt instruments.</w:t>
      </w: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U.S. Holders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“U.S. holder” means a beneficial owner of a Note that is, for U.S. federal income tax purposes:</w:t>
      </w:r>
    </w:p>
    <w:p>
      <w:pPr>
        <w:spacing w:after="0" w:line="142" w:lineRule="exact"/>
        <w:rPr>
          <w:sz w:val="20"/>
          <w:szCs w:val="20"/>
          <w:color w:val="auto"/>
        </w:rPr>
      </w:pPr>
    </w:p>
    <w:p>
      <w:pPr>
        <w:ind w:left="5460" w:right="5140" w:hanging="4251"/>
        <w:spacing w:after="0" w:line="535" w:lineRule="auto"/>
        <w:tabs>
          <w:tab w:leader="none" w:pos="1539" w:val="left"/>
        </w:tabs>
        <w:numPr>
          <w:ilvl w:val="0"/>
          <w:numId w:val="36"/>
        </w:numPr>
        <w:rPr>
          <w:rFonts w:ascii="Arial" w:cs="Arial" w:eastAsia="Arial" w:hAnsi="Arial"/>
          <w:sz w:val="16"/>
          <w:szCs w:val="16"/>
          <w:color w:val="auto"/>
        </w:rPr>
      </w:pPr>
      <w:r>
        <w:rPr>
          <w:rFonts w:ascii="Arial" w:cs="Arial" w:eastAsia="Arial" w:hAnsi="Arial"/>
          <w:sz w:val="16"/>
          <w:szCs w:val="16"/>
          <w:color w:val="auto"/>
        </w:rPr>
        <w:t>an individual who is a citizen or resident of the United States; S-37</w:t>
      </w:r>
    </w:p>
    <w:p>
      <w:pPr>
        <w:sectPr>
          <w:pgSz w:w="11900" w:h="16838" w:orient="portrait"/>
          <w:cols w:equalWidth="0" w:num="1">
            <w:col w:w="11120"/>
          </w:cols>
          <w:pgMar w:left="320" w:top="459" w:right="459" w:bottom="1440" w:gutter="0" w:footer="0" w:header="0"/>
        </w:sectPr>
      </w:pPr>
    </w:p>
    <w:bookmarkStart w:id="43" w:name="page44"/>
    <w:bookmarkEnd w:id="4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540" w:right="80" w:hanging="331"/>
        <w:spacing w:after="0" w:line="277" w:lineRule="auto"/>
        <w:tabs>
          <w:tab w:leader="none" w:pos="15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 corporation (or any other entity or arrangement treated as a corporation for U.S. federal income tax purposes) created or organized under the laws of the United States, any state thereof, or the District of Columbia;</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 regardless of its source; or</w:t>
      </w:r>
    </w:p>
    <w:p>
      <w:pPr>
        <w:spacing w:after="0" w:line="130" w:lineRule="exact"/>
        <w:rPr>
          <w:rFonts w:ascii="Arial" w:cs="Arial" w:eastAsia="Arial" w:hAnsi="Arial"/>
          <w:sz w:val="18"/>
          <w:szCs w:val="18"/>
          <w:color w:val="auto"/>
        </w:rPr>
      </w:pPr>
    </w:p>
    <w:p>
      <w:pPr>
        <w:ind w:left="1540" w:right="180" w:hanging="331"/>
        <w:spacing w:after="0" w:line="286" w:lineRule="auto"/>
        <w:tabs>
          <w:tab w:leader="none" w:pos="1540" w:val="left"/>
        </w:tabs>
        <w:numPr>
          <w:ilvl w:val="0"/>
          <w:numId w:val="37"/>
        </w:numPr>
        <w:rPr>
          <w:rFonts w:ascii="Arial" w:cs="Arial" w:eastAsia="Arial" w:hAnsi="Arial"/>
          <w:sz w:val="17"/>
          <w:szCs w:val="17"/>
          <w:color w:val="auto"/>
        </w:rPr>
      </w:pPr>
      <w:r>
        <w:rPr>
          <w:rFonts w:ascii="Arial" w:cs="Arial" w:eastAsia="Arial" w:hAnsi="Arial"/>
          <w:sz w:val="17"/>
          <w:szCs w:val="17"/>
          <w:color w:val="auto"/>
        </w:rPr>
        <w:t>a trust (a) if a court within the United States is able to exercise primary supervision over the trust’s administration and one or more U.S. persons have the authority to control all substantial decisions of the trust or (b) that has a valid election in effect under applicable Treasury Regulations to be treated as a U.S. person for U.S. federal income tax purposes.</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 xml:space="preserve">It is anticipated, and this discussion assumes, that the issue price of the Notes will be equal to the stated principal amount or, if the issue price is less than the stated principal amount, the difference will be less than a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amount (as set forth in the Code and applicable Treasury Regulations). Accordingly, interest on a Note generally will be taxable to a U.S. holder as ordinary interest income at the time it is received or accrued, in accordance with the U.S. holder’s regular method of accounting for U.S. federal income tax purposes.</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20" w:firstLine="440"/>
        <w:spacing w:after="0" w:line="287" w:lineRule="auto"/>
        <w:rPr>
          <w:sz w:val="20"/>
          <w:szCs w:val="20"/>
          <w:color w:val="auto"/>
        </w:rPr>
      </w:pPr>
      <w:r>
        <w:rPr>
          <w:rFonts w:ascii="Arial" w:cs="Arial" w:eastAsia="Arial" w:hAnsi="Arial"/>
          <w:sz w:val="16"/>
          <w:szCs w:val="16"/>
          <w:color w:val="auto"/>
        </w:rPr>
        <w:t>A U.S. holder generally will recognize gain or loss upon the sale, exchange, redemption or other taxable disposition of a Note equal to the difference, if any, between (i) the sum of the cash and the fair market value of any property received on such disposition (other than amounts properly attributable to accrued but unpaid interest, which amounts will be treated as interest income as described above under “—Payments of Interest”) and</w:t>
      </w:r>
    </w:p>
    <w:p>
      <w:pPr>
        <w:spacing w:after="0" w:line="2" w:lineRule="exact"/>
        <w:rPr>
          <w:sz w:val="20"/>
          <w:szCs w:val="20"/>
          <w:color w:val="auto"/>
        </w:rPr>
      </w:pPr>
    </w:p>
    <w:p>
      <w:pPr>
        <w:ind w:left="120" w:right="40" w:hanging="4"/>
        <w:spacing w:after="0" w:line="253" w:lineRule="auto"/>
        <w:tabs>
          <w:tab w:leader="none" w:pos="385" w:val="left"/>
        </w:tabs>
        <w:numPr>
          <w:ilvl w:val="0"/>
          <w:numId w:val="38"/>
        </w:numPr>
        <w:rPr>
          <w:rFonts w:ascii="Arial" w:cs="Arial" w:eastAsia="Arial" w:hAnsi="Arial"/>
          <w:sz w:val="18"/>
          <w:szCs w:val="18"/>
          <w:color w:val="auto"/>
        </w:rPr>
      </w:pPr>
      <w:r>
        <w:rPr>
          <w:rFonts w:ascii="Arial" w:cs="Arial" w:eastAsia="Arial" w:hAnsi="Arial"/>
          <w:sz w:val="18"/>
          <w:szCs w:val="18"/>
          <w:color w:val="auto"/>
        </w:rPr>
        <w:t>such U.S. holder’s adjusted tax basis in the Note. A U.S. holder’s adjusted tax basis in a Note generally will be equal to the amount that such U.S. holder paid for the Note. Any gain or loss recognized on a sale, exchange, redemption or other taxable disposition of a Note generally will be capital gain or loss, and will be long-term capital gain or loss, if, at the time of such disposition, the U.S. holder has held the Note for a period of more than one year. Long-term capital gains of non-corporate U.S. holders are generally eligible for preferential rates of taxation. The deductibility of capital losses is subject to limitations.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Information reporting generally will apply to payments of interest on the Notes and to the proceeds of a sale or other taxable disposition of a Note paid to a U.S. holder unless the U.S. holder is an exempt recipient. U.S. federal backup withholding (currently, at a rate of 24%) generally will apply to such payments if the U.S. holder fails to provide the applicable withholding agent with a properly completed and executed IRS Form W-9 providing such U.S. holder’s correct taxpayer identification number and certifying that such U.S. holder is not subject to backup withholding, or to otherwise establish an exemption.</w:t>
      </w:r>
    </w:p>
    <w:p>
      <w:pPr>
        <w:spacing w:after="0" w:line="188" w:lineRule="exact"/>
        <w:rPr>
          <w:sz w:val="20"/>
          <w:szCs w:val="20"/>
          <w:color w:val="auto"/>
        </w:rPr>
      </w:pPr>
    </w:p>
    <w:p>
      <w:pPr>
        <w:ind w:left="120" w:right="320" w:firstLine="440"/>
        <w:spacing w:after="0" w:line="308" w:lineRule="auto"/>
        <w:rPr>
          <w:sz w:val="20"/>
          <w:szCs w:val="20"/>
          <w:color w:val="auto"/>
        </w:rPr>
      </w:pPr>
      <w:r>
        <w:rPr>
          <w:rFonts w:ascii="Arial" w:cs="Arial" w:eastAsia="Arial" w:hAnsi="Arial"/>
          <w:sz w:val="17"/>
          <w:szCs w:val="17"/>
          <w:color w:val="auto"/>
        </w:rPr>
        <w:t xml:space="preserve">Backup withholding is not an additional tax. Any amounts withheld under the backup withholding rules will be allowed as a refund or a credit against a U.S. holder’s U.S. federal income tax liability, if any,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required information is furnished timely to the IRS.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Non-U.S. Holders</w:t>
      </w:r>
    </w:p>
    <w:p>
      <w:pPr>
        <w:spacing w:after="0" w:line="12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a Note that is neither a U.S. holder nor a partnership for U.S. federal income tax purposes.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S-38</w:t>
      </w:r>
    </w:p>
    <w:p>
      <w:pPr>
        <w:sectPr>
          <w:pgSz w:w="11900" w:h="16838" w:orient="portrait"/>
          <w:cols w:equalWidth="0" w:num="1">
            <w:col w:w="11120"/>
          </w:cols>
          <w:pgMar w:left="320" w:top="459" w:right="459" w:bottom="1440" w:gutter="0" w:footer="0" w:header="0"/>
        </w:sectPr>
      </w:pPr>
    </w:p>
    <w:bookmarkStart w:id="44" w:name="page45"/>
    <w:bookmarkEnd w:id="4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 xml:space="preserve">Subject to the discussion below under “—Information Reporting and Backup Withholding” and “— Additional Withholding Requirements under the Foreign Account Tax Compliance Act,” payments of interest on the Notes to a non-U.S. holder generally will not be subject to U.S. federal income or withholding tax under the “portfolio interest exemption,”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w:t>
      </w:r>
    </w:p>
    <w:p>
      <w:pPr>
        <w:spacing w:after="0" w:line="89" w:lineRule="exact"/>
        <w:rPr>
          <w:sz w:val="20"/>
          <w:szCs w:val="20"/>
          <w:color w:val="auto"/>
        </w:rPr>
      </w:pPr>
    </w:p>
    <w:p>
      <w:pPr>
        <w:jc w:val="both"/>
        <w:ind w:left="1540" w:right="220" w:hanging="331"/>
        <w:spacing w:after="0" w:line="263"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such interest is not effectively connected with the non-U.S. holder’s conduct of a trade or business within the United States (or, if required by an applicable income tax treaty, is not attributable to a permanent establishment of the non-U.S. holder in the United States);</w:t>
      </w:r>
    </w:p>
    <w:p>
      <w:pPr>
        <w:spacing w:after="0" w:line="89" w:lineRule="exact"/>
        <w:rPr>
          <w:rFonts w:ascii="Arial" w:cs="Arial" w:eastAsia="Arial" w:hAnsi="Arial"/>
          <w:sz w:val="18"/>
          <w:szCs w:val="18"/>
          <w:color w:val="auto"/>
        </w:rPr>
      </w:pPr>
    </w:p>
    <w:p>
      <w:pPr>
        <w:ind w:left="1540" w:right="220" w:hanging="331"/>
        <w:spacing w:after="0" w:line="277"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non-U.S. holder does not actually or constructively own 10% or more of the total combined voting power of all classes of our stock entitled to vote within the meaning of the Code and applicable Treasury Regulations;</w:t>
      </w:r>
    </w:p>
    <w:p>
      <w:pPr>
        <w:spacing w:after="0" w:line="75" w:lineRule="exact"/>
        <w:rPr>
          <w:rFonts w:ascii="Arial" w:cs="Arial" w:eastAsia="Arial" w:hAnsi="Arial"/>
          <w:sz w:val="18"/>
          <w:szCs w:val="18"/>
          <w:color w:val="auto"/>
        </w:rPr>
      </w:pPr>
    </w:p>
    <w:p>
      <w:pPr>
        <w:ind w:left="1540" w:right="80" w:hanging="331"/>
        <w:spacing w:after="0" w:line="277"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with respect to which we are a “related person” within the meaning of the Code; and</w:t>
      </w:r>
    </w:p>
    <w:p>
      <w:pPr>
        <w:spacing w:after="0" w:line="75" w:lineRule="exact"/>
        <w:rPr>
          <w:rFonts w:ascii="Arial" w:cs="Arial" w:eastAsia="Arial" w:hAnsi="Arial"/>
          <w:sz w:val="18"/>
          <w:szCs w:val="18"/>
          <w:color w:val="auto"/>
        </w:rPr>
      </w:pPr>
    </w:p>
    <w:p>
      <w:pPr>
        <w:ind w:left="1540" w:right="120" w:hanging="331"/>
        <w:spacing w:after="0" w:line="293" w:lineRule="auto"/>
        <w:tabs>
          <w:tab w:leader="none" w:pos="1540" w:val="left"/>
        </w:tabs>
        <w:numPr>
          <w:ilvl w:val="0"/>
          <w:numId w:val="39"/>
        </w:numPr>
        <w:rPr>
          <w:rFonts w:ascii="Arial" w:cs="Arial" w:eastAsia="Arial" w:hAnsi="Arial"/>
          <w:sz w:val="16"/>
          <w:szCs w:val="16"/>
          <w:color w:val="auto"/>
        </w:rPr>
      </w:pPr>
      <w:r>
        <w:rPr>
          <w:rFonts w:ascii="Arial" w:cs="Arial" w:eastAsia="Arial" w:hAnsi="Arial"/>
          <w:sz w:val="16"/>
          <w:szCs w:val="16"/>
          <w:color w:val="auto"/>
        </w:rPr>
        <w:t>either (i) the beneficial owner of the Notes provides the applicable withholding agent with a properly completed and executed IRS Form W-8BEN or IRS Form W-8BEN-E (or other applicable IRS form), as applicable, certifying, under penalties of perjury, that such beneficial owner is not a “U.S. person” (as defined in the Code) and providing such beneficial owner’s name and address or (ii) a financial institution that holds the Notes on behalf of the beneficial owner certifies to the applicable withholding agent, under penalties of perjury, that it has received such properly completed and executed IRS Form W-8BEN or IRS Form W-8BEN-E, as applicable, from the beneficial owner and provides the applicable withholding agent with a copy thereof.</w:t>
      </w:r>
    </w:p>
    <w:p>
      <w:pPr>
        <w:spacing w:after="0" w:line="164"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If a non-U.S. holder cannot satisfy the requirements of the “portfolio interest exemption” described above, payments of interest made to the non-U.S. holder generally will be subject to U.S. federal withholding tax at a rate of 30%, or such lower rate as may be specified by an applicable income tax treaty, unless such interest is effectively connected with such non-U.S. holder’s conduct of a trade or business within the United States (and, if required by an applicable income tax treaty, is attributable to a permanent establishment of the non-U.S. holder in the United States) and such non-U.S. holder provides the applicable withholding agent with a properly completed and executed IRS Form W-8ECI (or other applicable IRS Form). In order to claim an exemption from or reduction of withholding under an applicable income tax treaty, a non-U.S. holder generally must furnish to the applicable withholding agent a properly executed IRS Form W-8BEN or IRS Form W-8BEN-E, as applicable (or other applicable IRS Form). Non-U.S. holders eligible for an exemption from or reduced rate of U.S. federal withholding tax under an applicable income tax treaty may obtain a refund of any excess amounts withheld by timely filing an appropriate claim with the IRS. Non-U.S. holders should consult their own tax advisors regarding their entitlement to benefits under an applicable income tax treaty and the requirements for claiming any such benefits.</w:t>
      </w:r>
    </w:p>
    <w:p>
      <w:pPr>
        <w:spacing w:after="0" w:line="168"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 xml:space="preserve">Interest paid to a non-U.S. holder that is effectively connected with such non-U.S. holder’s conduct of a trade or business within the United States (and, if required by an applicable income tax treaty, is attributable to a permanent establishment of the non-U.S. holder in the United States) generally will not be subject to U.S. federal withholding tax,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non-U.S. holder complies with applicable certification and other requirements. Instead, such interest generally will be subject to U.S. federal income tax on a net income basis and at the regular U.S. federal income tax rates in the same manner as if such non-U.S. holder were a U.S. person. A non-U.S. holder that is a corporation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2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S-39</w:t>
      </w:r>
    </w:p>
    <w:p>
      <w:pPr>
        <w:sectPr>
          <w:pgSz w:w="11900" w:h="16838" w:orient="portrait"/>
          <w:cols w:equalWidth="0" w:num="1">
            <w:col w:w="11060"/>
          </w:cols>
          <w:pgMar w:left="320" w:top="459" w:right="519" w:bottom="1440" w:gutter="0" w:footer="0" w:header="0"/>
        </w:sectPr>
      </w:pPr>
    </w:p>
    <w:bookmarkStart w:id="45" w:name="page46"/>
    <w:bookmarkEnd w:id="4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Subject to the discussion below under “—Information Reporting and Backup Withholding,” except with respect to accrued and unpaid interest (which will be treated as described above under “—Non-U.S. Holders— Payments of Interest”), a non-U.S. holder generally will not be subject to U.S. federal income tax or withholding tax on any gain realized upon the sale, exchange, redemption or other taxable disposition of a Note unless:</w:t>
      </w:r>
    </w:p>
    <w:p>
      <w:pPr>
        <w:spacing w:after="0" w:line="54" w:lineRule="exact"/>
        <w:rPr>
          <w:sz w:val="20"/>
          <w:szCs w:val="20"/>
          <w:color w:val="auto"/>
        </w:rPr>
      </w:pPr>
    </w:p>
    <w:p>
      <w:pPr>
        <w:ind w:left="1540" w:hanging="331"/>
        <w:spacing w:after="0" w:line="342" w:lineRule="auto"/>
        <w:tabs>
          <w:tab w:leader="none" w:pos="1540" w:val="left"/>
        </w:tabs>
        <w:numPr>
          <w:ilvl w:val="0"/>
          <w:numId w:val="40"/>
        </w:numPr>
        <w:rPr>
          <w:rFonts w:ascii="Arial" w:cs="Arial" w:eastAsia="Arial" w:hAnsi="Arial"/>
          <w:sz w:val="16"/>
          <w:szCs w:val="16"/>
          <w:color w:val="auto"/>
        </w:rPr>
      </w:pPr>
      <w:r>
        <w:rPr>
          <w:rFonts w:ascii="Arial" w:cs="Arial" w:eastAsia="Arial" w:hAnsi="Arial"/>
          <w:sz w:val="16"/>
          <w:szCs w:val="16"/>
          <w:color w:val="auto"/>
        </w:rPr>
        <w:t>such gain is effectively connected with the non-U.S. holder’s conduct of a trade or business within the United States (and, if required by an applicable income tax treaty, is attributable to a permanent establishment of the non-U.S. holder in the United States); or</w:t>
      </w:r>
    </w:p>
    <w:p>
      <w:pPr>
        <w:spacing w:after="0" w:line="29" w:lineRule="exact"/>
        <w:rPr>
          <w:rFonts w:ascii="Arial" w:cs="Arial" w:eastAsia="Arial" w:hAnsi="Arial"/>
          <w:sz w:val="16"/>
          <w:szCs w:val="16"/>
          <w:color w:val="auto"/>
        </w:rPr>
      </w:pPr>
    </w:p>
    <w:p>
      <w:pPr>
        <w:ind w:left="1540" w:right="240" w:hanging="331"/>
        <w:spacing w:after="0" w:line="277" w:lineRule="auto"/>
        <w:tabs>
          <w:tab w:leader="none" w:pos="15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non-U.S. holder is an individual who is present in the United States for 183 days or more in the taxable year of the disposition and certain other conditions are met.</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Gain described in the first bullet point above generally will be subject to U.S. federal income tax on a net income basis at the regular U.S. federal income tax rates in the same manner as if such non-U.S. holder were a U.S. person. A non-U.S. holder that is a corporation also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87" w:lineRule="exact"/>
        <w:rPr>
          <w:sz w:val="20"/>
          <w:szCs w:val="20"/>
          <w:color w:val="auto"/>
        </w:rPr>
      </w:pPr>
    </w:p>
    <w:p>
      <w:pPr>
        <w:ind w:left="120" w:right="220" w:firstLine="440"/>
        <w:spacing w:after="0" w:line="308" w:lineRule="auto"/>
        <w:rPr>
          <w:sz w:val="20"/>
          <w:szCs w:val="20"/>
          <w:color w:val="auto"/>
        </w:rPr>
      </w:pPr>
      <w:r>
        <w:rPr>
          <w:rFonts w:ascii="Arial" w:cs="Arial" w:eastAsia="Arial" w:hAnsi="Arial"/>
          <w:sz w:val="17"/>
          <w:szCs w:val="17"/>
          <w:color w:val="auto"/>
        </w:rPr>
        <w:t>Gain described in the second bullet point above generally will be subject to U.S. federal income tax at a 30% rate (or such lower rate as may be specified by an applicable income tax treaty) but may be offset by U.S.-source capital losses, if any, of the non-U.S. holder.</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Generally, we must report annually to the IRS and to each non-U.S. holder the amount of interest paid to such non-U.S. holder and the amount of tax, if any, withheld with respect to such payments. These reporting requirements apply regardless of whether withholding was reduced or eliminated by an applicable income tax treaty. This information may also be made available to the tax authorities in the country in which a non-U.S. holder resides or is established pursuant to the provisions of a treaty or agreement with those tax authorities.</w:t>
      </w:r>
    </w:p>
    <w:p>
      <w:pPr>
        <w:spacing w:after="0" w:line="18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U.S. backup withholding tax (currently, at a rate of 24%) is imposed on certain payments to persons that fail to furnish the information required under the U.S. information reporting rules. Interest paid to a non-U.S. holder generally will be exempt from backup withholding if the non-U.S. holder provides the applicable withholding agent with a properly executed IRS Form W-8BEN or IRS Form W-8BEN-E, as applicable (or other applicable IRS form), or otherwise establishes an exemption.</w:t>
      </w:r>
    </w:p>
    <w:p>
      <w:pPr>
        <w:spacing w:after="0" w:line="18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Under Treasury Regulations, the payment of proceeds from the disposition of a Note by a non-U.S. holder effected at a U.S. office of a broker generally will be subject to information reporting and backup withholding, unless the non-U.S. holder provides a properly executed IRS Form W-8BEN or IRS Form W-8BEN-E, as applicable (or other applicable IRS form), certifying such non-U.S. holder’s non-U.S. status or by otherwise establishing an exemption. The payment of proceeds from the disposition of Notes by a non-U.S. holder effected at a non-U.S. office of a U.S. broker or a non-U.S. broker with certain specified U.S. connections generally will be subject to information reporting (but not backup withholding) unless such non-U.S. holder provides a properly executed IRS Form W-8BEN or IRS Form W- 8BEN-E, as applicable (or other applicable IRS form), certifying such non-U.S. holder’s non-U.S. status or by otherwise establishing an exemption. Backup withholding will apply if the disposition is subject to information reporting and the broker has actual knowledge that the non-U.S. holder is a U.S. person.</w:t>
      </w:r>
    </w:p>
    <w:p>
      <w:pPr>
        <w:spacing w:after="0" w:line="178" w:lineRule="exact"/>
        <w:rPr>
          <w:sz w:val="20"/>
          <w:szCs w:val="20"/>
          <w:color w:val="auto"/>
        </w:rPr>
      </w:pPr>
    </w:p>
    <w:p>
      <w:pPr>
        <w:jc w:val="both"/>
        <w:ind w:left="120" w:right="300" w:firstLine="440"/>
        <w:spacing w:after="0" w:line="286" w:lineRule="auto"/>
        <w:rPr>
          <w:sz w:val="20"/>
          <w:szCs w:val="20"/>
          <w:color w:val="auto"/>
        </w:rPr>
      </w:pPr>
      <w:r>
        <w:rPr>
          <w:rFonts w:ascii="Arial" w:cs="Arial" w:eastAsia="Arial" w:hAnsi="Arial"/>
          <w:sz w:val="17"/>
          <w:szCs w:val="17"/>
          <w:color w:val="auto"/>
        </w:rPr>
        <w:t xml:space="preserve">Backup withholding is not an additional tax. Any amounts withheld under the backup withholding rules will be allowed as a refund or a credit against a non-U.S. holder’s U.S. federal income tax liability, if any,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required information is furnished timely to the IRS. Non-U.S. holders should consult their own tax advisors regarding the application of these rules to their particular circumstances.</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S-40</w:t>
      </w:r>
    </w:p>
    <w:p>
      <w:pPr>
        <w:sectPr>
          <w:pgSz w:w="11900" w:h="16838" w:orient="portrait"/>
          <w:cols w:equalWidth="0" w:num="1">
            <w:col w:w="11100"/>
          </w:cols>
          <w:pgMar w:left="320" w:top="459" w:right="479" w:bottom="1440" w:gutter="0" w:footer="0" w:header="0"/>
        </w:sectPr>
      </w:pPr>
    </w:p>
    <w:bookmarkStart w:id="46" w:name="page47"/>
    <w:bookmarkEnd w:id="4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Withholding Requirements under the Foreign Account Tax Compliance Act</w:t>
      </w:r>
    </w:p>
    <w:p>
      <w:pPr>
        <w:spacing w:after="0" w:line="121"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Withholding at a rate of 30% generally will be required in certain circumstances on interest payable on certain debt instruments that are held by or through certain foreign financial institutions (including investment funds), unless such institution (i) enters into, and complies with, an agreement with the IRS to report, on an annual basis, information with respect to interests in, and accounts maintained by, the institution that are owned by certain U.S. persons or by certain non-U.S. entities that are wholly or partially owned by U.S. persons and to withhold on certain payments, or (ii) if required under an intergovernmental agreement between the United States and an applicable foreign country, reports such information to its local tax authority, which will exchange such information with the U.S. authorities. An intergovernmental agreement between the United States and applicable foreign country may modify these requirements. Accordingly, the entity through which a debt instrument is held may affect the determination of whether such withholding is required. Similarly, interest payable on certain debt instruments held by an investor that is a non-financial non-U.S. entity that does not qualify under certain exemptions generally will be subject to withholding at a rate of 30%, unless such entity either (i) certifies that such entity does not have any “substantial United States owners” or (ii) provides certain information regarding the entity’s “substantial United States owners,” which the applicable withholding agent will in turn provide to the United States Department of the Treasury.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S-41</w:t>
      </w:r>
    </w:p>
    <w:p>
      <w:pPr>
        <w:sectPr>
          <w:pgSz w:w="11900" w:h="16838" w:orient="portrait"/>
          <w:cols w:equalWidth="0" w:num="1">
            <w:col w:w="11080"/>
          </w:cols>
          <w:pgMar w:left="320" w:top="459" w:right="499" w:bottom="1440" w:gutter="0" w:footer="0" w:header="0"/>
        </w:sectPr>
      </w:pPr>
    </w:p>
    <w:bookmarkStart w:id="47" w:name="page48"/>
    <w:bookmarkEnd w:id="4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UNDERWRITING; CONFLICTS OF INTEREST</w:t>
      </w:r>
    </w:p>
    <w:p>
      <w:pPr>
        <w:spacing w:after="0" w:line="22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J.P. Morgan Securities LLC, BofA Securities, Inc. and Wells Fargo Securities, LLC are acting as joint book-running managers and representatives of the underwriters named below. Under the terms and subject to the conditions set forth in the underwriting agreement dated the date of this prospectus supplement, the underwriters named below have severally agreed to purchase, and we have agreed to sell to them, severally, the respective principal amounts of the Notes of each series as set forth below:</w:t>
      </w:r>
    </w:p>
    <w:p>
      <w:pPr>
        <w:spacing w:after="0" w:line="19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45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Underwriters</w:t>
            </w:r>
          </w:p>
        </w:tc>
        <w:tc>
          <w:tcPr>
            <w:tcW w:w="20" w:type="dxa"/>
            <w:vAlign w:val="bottom"/>
          </w:tcPr>
          <w:p>
            <w:pPr>
              <w:spacing w:after="0"/>
              <w:rPr>
                <w:sz w:val="14"/>
                <w:szCs w:val="14"/>
                <w:color w:val="auto"/>
              </w:rPr>
            </w:pPr>
          </w:p>
        </w:tc>
        <w:tc>
          <w:tcPr>
            <w:tcW w:w="1260" w:type="dxa"/>
            <w:vAlign w:val="bottom"/>
          </w:tcPr>
          <w:p>
            <w:pPr>
              <w:spacing w:after="0"/>
              <w:rPr>
                <w:sz w:val="20"/>
                <w:szCs w:val="20"/>
                <w:color w:val="auto"/>
              </w:rPr>
            </w:pPr>
            <w:r>
              <w:rPr>
                <w:rFonts w:ascii="Arial" w:cs="Arial" w:eastAsia="Arial" w:hAnsi="Arial"/>
                <w:sz w:val="14"/>
                <w:szCs w:val="14"/>
                <w:b w:val="1"/>
                <w:bCs w:val="1"/>
                <w:color w:val="auto"/>
                <w:w w:val="93"/>
              </w:rPr>
              <w:t>Principal Amount of</w:t>
            </w:r>
          </w:p>
        </w:tc>
        <w:tc>
          <w:tcPr>
            <w:tcW w:w="1220" w:type="dxa"/>
            <w:vAlign w:val="bottom"/>
          </w:tcPr>
          <w:p>
            <w:pPr>
              <w:spacing w:after="0"/>
              <w:rPr>
                <w:sz w:val="14"/>
                <w:szCs w:val="14"/>
                <w:color w:val="auto"/>
              </w:rPr>
            </w:pPr>
          </w:p>
        </w:tc>
        <w:tc>
          <w:tcPr>
            <w:tcW w:w="1320" w:type="dxa"/>
            <w:vAlign w:val="bottom"/>
            <w:gridSpan w:val="2"/>
          </w:tcPr>
          <w:p>
            <w:pPr>
              <w:spacing w:after="0"/>
              <w:rPr>
                <w:sz w:val="20"/>
                <w:szCs w:val="20"/>
                <w:color w:val="auto"/>
              </w:rPr>
            </w:pPr>
            <w:r>
              <w:rPr>
                <w:rFonts w:ascii="Arial" w:cs="Arial" w:eastAsia="Arial" w:hAnsi="Arial"/>
                <w:sz w:val="14"/>
                <w:szCs w:val="14"/>
                <w:b w:val="1"/>
                <w:bCs w:val="1"/>
                <w:color w:val="auto"/>
                <w:w w:val="97"/>
              </w:rPr>
              <w:t>Principal Amount of</w:t>
            </w:r>
          </w:p>
        </w:tc>
        <w:tc>
          <w:tcPr>
            <w:tcW w:w="0" w:type="dxa"/>
            <w:vAlign w:val="bottom"/>
          </w:tcPr>
          <w:p>
            <w:pPr>
              <w:spacing w:after="0"/>
              <w:rPr>
                <w:sz w:val="1"/>
                <w:szCs w:val="1"/>
                <w:color w:val="auto"/>
              </w:rPr>
            </w:pPr>
          </w:p>
        </w:tc>
      </w:tr>
      <w:tr>
        <w:trPr>
          <w:trHeight w:val="171"/>
        </w:trPr>
        <w:tc>
          <w:tcPr>
            <w:tcW w:w="454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1260" w:type="dxa"/>
            <w:vAlign w:val="bottom"/>
          </w:tcPr>
          <w:p>
            <w:pPr>
              <w:ind w:left="280"/>
              <w:spacing w:after="0"/>
              <w:rPr>
                <w:sz w:val="20"/>
                <w:szCs w:val="20"/>
                <w:color w:val="auto"/>
              </w:rPr>
            </w:pPr>
            <w:r>
              <w:rPr>
                <w:rFonts w:ascii="Arial" w:cs="Arial" w:eastAsia="Arial" w:hAnsi="Arial"/>
                <w:sz w:val="14"/>
                <w:szCs w:val="14"/>
                <w:b w:val="1"/>
                <w:bCs w:val="1"/>
                <w:color w:val="auto"/>
              </w:rPr>
              <w:t>20   Notes</w:t>
            </w:r>
          </w:p>
        </w:tc>
        <w:tc>
          <w:tcPr>
            <w:tcW w:w="1220" w:type="dxa"/>
            <w:vAlign w:val="bottom"/>
          </w:tcPr>
          <w:p>
            <w:pPr>
              <w:spacing w:after="0"/>
              <w:rPr>
                <w:sz w:val="14"/>
                <w:szCs w:val="14"/>
                <w:color w:val="auto"/>
              </w:rPr>
            </w:pPr>
          </w:p>
        </w:tc>
        <w:tc>
          <w:tcPr>
            <w:tcW w:w="1320" w:type="dxa"/>
            <w:vAlign w:val="bottom"/>
            <w:gridSpan w:val="2"/>
          </w:tcPr>
          <w:p>
            <w:pPr>
              <w:ind w:left="300"/>
              <w:spacing w:after="0"/>
              <w:rPr>
                <w:sz w:val="20"/>
                <w:szCs w:val="20"/>
                <w:color w:val="auto"/>
              </w:rPr>
            </w:pPr>
            <w:r>
              <w:rPr>
                <w:rFonts w:ascii="Arial" w:cs="Arial" w:eastAsia="Arial" w:hAnsi="Arial"/>
                <w:sz w:val="14"/>
                <w:szCs w:val="14"/>
                <w:b w:val="1"/>
                <w:bCs w:val="1"/>
                <w:color w:val="auto"/>
              </w:rPr>
              <w:t>20   Notes</w:t>
            </w:r>
          </w:p>
        </w:tc>
        <w:tc>
          <w:tcPr>
            <w:tcW w:w="0" w:type="dxa"/>
            <w:vAlign w:val="bottom"/>
          </w:tcPr>
          <w:p>
            <w:pPr>
              <w:spacing w:after="0"/>
              <w:rPr>
                <w:sz w:val="1"/>
                <w:szCs w:val="1"/>
                <w:color w:val="auto"/>
              </w:rPr>
            </w:pPr>
          </w:p>
        </w:tc>
      </w:tr>
      <w:tr>
        <w:trPr>
          <w:trHeight w:val="210"/>
        </w:trPr>
        <w:tc>
          <w:tcPr>
            <w:tcW w:w="3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J.P. Morgan Securities LLC</w:t>
            </w:r>
          </w:p>
        </w:tc>
        <w:tc>
          <w:tcPr>
            <w:tcW w:w="11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220" w:type="dxa"/>
            <w:vAlign w:val="bottom"/>
            <w:tcBorders>
              <w:top w:val="single" w:sz="8" w:color="CCEEFF"/>
            </w:tcBorders>
            <w:shd w:val="clear" w:color="auto" w:fill="CCEEFF"/>
          </w:tcPr>
          <w:p>
            <w:pPr>
              <w:spacing w:after="0"/>
              <w:rPr>
                <w:sz w:val="18"/>
                <w:szCs w:val="18"/>
                <w:color w:val="auto"/>
              </w:rPr>
            </w:pPr>
          </w:p>
        </w:tc>
        <w:tc>
          <w:tcPr>
            <w:tcW w:w="12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BofA Securities, Inc.</w:t>
            </w:r>
          </w:p>
        </w:tc>
        <w:tc>
          <w:tcPr>
            <w:tcW w:w="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Wells Fargo Securities, LLC</w:t>
            </w:r>
          </w:p>
        </w:tc>
        <w:tc>
          <w:tcPr>
            <w:tcW w:w="20" w:type="dxa"/>
            <w:vAlign w:val="bottom"/>
            <w:shd w:val="clear" w:color="auto" w:fill="CCEEFF"/>
          </w:tcPr>
          <w:p>
            <w:pPr>
              <w:spacing w:after="0"/>
              <w:rPr>
                <w:sz w:val="18"/>
                <w:szCs w:val="18"/>
                <w:color w:val="auto"/>
              </w:rPr>
            </w:pPr>
          </w:p>
        </w:tc>
        <w:tc>
          <w:tcPr>
            <w:tcW w:w="1260" w:type="dxa"/>
            <w:vAlign w:val="bottom"/>
            <w:tcBorders>
              <w:bottom w:val="single" w:sz="8" w:color="auto"/>
            </w:tcBorders>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280" w:type="dxa"/>
            <w:vAlign w:val="bottom"/>
            <w:tcBorders>
              <w:bottom w:val="single" w:sz="8" w:color="auto"/>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54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2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1220" w:type="dxa"/>
            <w:vAlign w:val="bottom"/>
          </w:tcPr>
          <w:p>
            <w:pPr>
              <w:spacing w:after="0"/>
              <w:rPr>
                <w:sz w:val="19"/>
                <w:szCs w:val="19"/>
                <w:color w:val="auto"/>
              </w:rPr>
            </w:pPr>
          </w:p>
        </w:tc>
        <w:tc>
          <w:tcPr>
            <w:tcW w:w="12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underwriters are offering the Notes subject to their receipt and acceptance of the Notes from us and subject to the underwriters’ right to reject any order in whole or in part and subject to prior sale. The underwriting agreement provides that the obligations of the several underwriters to pay for and accept delivery of the Notes offered by this prospectus supplement are subject to, among other things, the approval of certain legal matters by their counsel and other conditions. The underwriters are obligated to take and pay for all of the Notes offered by this prospectus supplement if any such Notes are taken.</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underwriters initially propose to offer some of the Notes directly to the public at the respective public offering prices shown on the cover page</w:t>
      </w:r>
    </w:p>
    <w:p>
      <w:pPr>
        <w:spacing w:after="0" w:line="46" w:lineRule="exact"/>
        <w:rPr>
          <w:sz w:val="20"/>
          <w:szCs w:val="20"/>
          <w:color w:val="auto"/>
        </w:rPr>
      </w:pPr>
    </w:p>
    <w:p>
      <w:pPr>
        <w:ind w:left="120" w:right="60"/>
        <w:spacing w:after="0" w:line="265" w:lineRule="auto"/>
        <w:rPr>
          <w:sz w:val="20"/>
          <w:szCs w:val="20"/>
          <w:color w:val="auto"/>
        </w:rPr>
      </w:pPr>
      <w:r>
        <w:rPr>
          <w:rFonts w:ascii="Arial" w:cs="Arial" w:eastAsia="Arial" w:hAnsi="Arial"/>
          <w:sz w:val="17"/>
          <w:szCs w:val="17"/>
          <w:color w:val="auto"/>
        </w:rPr>
        <w:t>of this prospectus supplement and some of the Notes to certain dealers at that price less a concession not in excess of % of the principal amount, in the case of the 20 Notes, and % of the principal amount, in the case of the 20 Notes. The underwriters may allow, and those dealers may reallow, a concession not in excess of % of the principal amount, in the case of the 20 Notes, and of % of the principal amount, in the case of the 20 Notes. After the initial offering of the Notes, the respective offering prices and other selling terms of each series of the Notes offered</w:t>
      </w:r>
    </w:p>
    <w:p>
      <w:pPr>
        <w:spacing w:after="0" w:line="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hereby may from time to time be varied by the underwriters. The underwriters may offer and sell Notes through certain of their affiliates.</w:t>
      </w:r>
    </w:p>
    <w:p>
      <w:pPr>
        <w:spacing w:after="0" w:line="211"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The following table shows the underwriting discounts and commissions that we will pay to the underwriters in connection with this offering, expressed as a percentage of the principal amount of the Notes and in total:</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8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680" w:type="dxa"/>
            <w:vAlign w:val="bottom"/>
          </w:tcPr>
          <w:p>
            <w:pPr>
              <w:spacing w:after="0"/>
              <w:rPr>
                <w:sz w:val="20"/>
                <w:szCs w:val="20"/>
                <w:color w:val="auto"/>
              </w:rPr>
            </w:pPr>
            <w:r>
              <w:rPr>
                <w:rFonts w:ascii="Arial" w:cs="Arial" w:eastAsia="Arial" w:hAnsi="Arial"/>
                <w:sz w:val="14"/>
                <w:szCs w:val="14"/>
                <w:b w:val="1"/>
                <w:bCs w:val="1"/>
                <w:color w:val="auto"/>
                <w:w w:val="87"/>
              </w:rPr>
              <w:t>Percentage</w:t>
            </w:r>
          </w:p>
        </w:tc>
        <w:tc>
          <w:tcPr>
            <w:tcW w:w="5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4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r>
      <w:tr>
        <w:trPr>
          <w:trHeight w:val="210"/>
        </w:trPr>
        <w:tc>
          <w:tcPr>
            <w:tcW w:w="5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Per 20</w:t>
            </w:r>
          </w:p>
        </w:tc>
        <w:tc>
          <w:tcPr>
            <w:tcW w:w="5700" w:type="dxa"/>
            <w:vAlign w:val="bottom"/>
            <w:tcBorders>
              <w:top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Note</w:t>
            </w:r>
          </w:p>
        </w:tc>
        <w:tc>
          <w:tcPr>
            <w:tcW w:w="6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87"/>
              </w:rPr>
              <w:t>%</w:t>
            </w:r>
          </w:p>
        </w:tc>
        <w:tc>
          <w:tcPr>
            <w:tcW w:w="36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ind w:right="347"/>
              <w:spacing w:after="0"/>
              <w:rPr>
                <w:sz w:val="20"/>
                <w:szCs w:val="20"/>
                <w:color w:val="auto"/>
              </w:rPr>
            </w:pPr>
            <w:r>
              <w:rPr>
                <w:rFonts w:ascii="Arial" w:cs="Arial" w:eastAsia="Arial" w:hAnsi="Arial"/>
                <w:sz w:val="15"/>
                <w:szCs w:val="15"/>
                <w:color w:val="auto"/>
                <w:w w:val="71"/>
              </w:rPr>
              <w:t>$</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580" w:type="dxa"/>
            <w:vAlign w:val="bottom"/>
          </w:tcPr>
          <w:p>
            <w:pPr>
              <w:spacing w:after="0"/>
              <w:rPr>
                <w:sz w:val="20"/>
                <w:szCs w:val="20"/>
                <w:color w:val="auto"/>
              </w:rPr>
            </w:pPr>
            <w:r>
              <w:rPr>
                <w:rFonts w:ascii="Arial" w:cs="Arial" w:eastAsia="Arial" w:hAnsi="Arial"/>
                <w:sz w:val="18"/>
                <w:szCs w:val="18"/>
                <w:color w:val="auto"/>
              </w:rPr>
              <w:t>Per 20</w:t>
            </w:r>
          </w:p>
        </w:tc>
        <w:tc>
          <w:tcPr>
            <w:tcW w:w="6380" w:type="dxa"/>
            <w:vAlign w:val="bottom"/>
            <w:gridSpan w:val="2"/>
          </w:tcPr>
          <w:p>
            <w:pPr>
              <w:ind w:left="100"/>
              <w:spacing w:after="0"/>
              <w:rPr>
                <w:sz w:val="20"/>
                <w:szCs w:val="20"/>
                <w:color w:val="auto"/>
              </w:rPr>
            </w:pPr>
            <w:r>
              <w:rPr>
                <w:rFonts w:ascii="Arial" w:cs="Arial" w:eastAsia="Arial" w:hAnsi="Arial"/>
                <w:sz w:val="18"/>
                <w:szCs w:val="18"/>
                <w:color w:val="auto"/>
              </w:rPr>
              <w:t>Note</w:t>
            </w:r>
          </w:p>
        </w:tc>
        <w:tc>
          <w:tcPr>
            <w:tcW w:w="5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6960" w:type="dxa"/>
            <w:vAlign w:val="bottom"/>
            <w:gridSpan w:val="3"/>
            <w:shd w:val="clear" w:color="auto" w:fill="CCEEFF"/>
          </w:tcPr>
          <w:p>
            <w:pPr>
              <w:ind w:left="360"/>
              <w:spacing w:after="0"/>
              <w:rPr>
                <w:sz w:val="20"/>
                <w:szCs w:val="20"/>
                <w:color w:val="auto"/>
              </w:rPr>
            </w:pPr>
            <w:r>
              <w:rPr>
                <w:rFonts w:ascii="Arial" w:cs="Arial" w:eastAsia="Arial" w:hAnsi="Arial"/>
                <w:sz w:val="18"/>
                <w:szCs w:val="18"/>
                <w:color w:val="auto"/>
              </w:rPr>
              <w:t>Total</w:t>
            </w:r>
          </w:p>
        </w:tc>
        <w:tc>
          <w:tcPr>
            <w:tcW w:w="50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87"/>
              </w:rPr>
              <w:t>%</w:t>
            </w:r>
          </w:p>
        </w:tc>
        <w:tc>
          <w:tcPr>
            <w:tcW w:w="860" w:type="dxa"/>
            <w:vAlign w:val="bottom"/>
            <w:gridSpan w:val="2"/>
            <w:shd w:val="clear" w:color="auto" w:fill="CCEEFF"/>
          </w:tcPr>
          <w:p>
            <w:pPr>
              <w:jc w:val="right"/>
              <w:ind w:right="347"/>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r>
    </w:tbl>
    <w:p>
      <w:pPr>
        <w:spacing w:after="0" w:line="202"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We estimate that the expenses of this offering payable by us, excluding underwriting discounts and commissions, will be approximately</w:t>
      </w:r>
    </w:p>
    <w:p>
      <w:pPr>
        <w:spacing w:after="0" w:line="35" w:lineRule="exact"/>
        <w:rPr>
          <w:sz w:val="20"/>
          <w:szCs w:val="20"/>
          <w:color w:val="auto"/>
        </w:rPr>
      </w:pPr>
    </w:p>
    <w:p>
      <w:pPr>
        <w:ind w:left="740" w:hanging="624"/>
        <w:spacing w:after="0"/>
        <w:tabs>
          <w:tab w:leader="none" w:pos="7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million.</w:t>
      </w:r>
    </w:p>
    <w:p>
      <w:pPr>
        <w:spacing w:after="0" w:line="21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do not intend to apply for listing of the Notes on any securities exchange or any automated quotation system. However, the underwriters may make a market in the Notes, as permitted by applicable laws and regulations. The underwriters are not obligated, however, to make a market in the Notes and any market making with respect to the Notes may be discontinued at any time at the sole discretion of the underwriters. Accordingly, no assurance can be given as to the liquidity of, or trading market for, the Notes.</w:t>
      </w:r>
    </w:p>
    <w:p>
      <w:pPr>
        <w:spacing w:after="0" w:line="187"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In order to facilitate the offering of the Notes, the underwriters may engage in transactions that stabilize, maintain or otherwise affect the market prices of the Notes. Specifically, the underwriters may over-allot in connection with the offering, creating a short position in the Notes for their own accounts. In addition, to cover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S-42</w:t>
      </w:r>
    </w:p>
    <w:p>
      <w:pPr>
        <w:sectPr>
          <w:pgSz w:w="11900" w:h="16838" w:orient="portrait"/>
          <w:cols w:equalWidth="0" w:num="1">
            <w:col w:w="11120"/>
          </w:cols>
          <w:pgMar w:left="320" w:top="459" w:right="459" w:bottom="1440" w:gutter="0" w:footer="0" w:header="0"/>
        </w:sectPr>
      </w:pPr>
    </w:p>
    <w:bookmarkStart w:id="48" w:name="page49"/>
    <w:bookmarkEnd w:id="4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over-allotments or to stabilize the prices of the Notes, the underwriters may bid for, and purchase, Notes in the open market to stabilize the prices of the Notes. The underwriting syndicate may also reclaim selling concessions allowed to an underwriter or a dealer for distributing Notes in this offering if the syndicate repurchases previously distributed Notes to cover syndicate short positions to stabilize the prices of the Notes. Any of these activities may stabilize or maintain the market prices of the Notes above independent market levels or prevent or delay a decline in the market price of the Notes. The underwriters are not required to engage in these activities and may end any of these activities at any time.</w:t>
      </w:r>
    </w:p>
    <w:p>
      <w:pPr>
        <w:spacing w:after="0" w:line="176"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We have agreed to indemnify the underwriters against specified liabilities, including liabilities under the Securities Act, and to contribute to payments which the underwriters may be required to make in respect of any such liabilities.</w:t>
      </w:r>
    </w:p>
    <w:p>
      <w:pPr>
        <w:spacing w:after="0" w:line="170"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the ordinary course of business, the underwriters and/or their affiliates have provided and may in the future continue to provide investment banking, commercial banking, financial advisory and other financial services to us and our subsidiaries for which they have received and may in the future receive compensation. In that regard, affiliates of some or all of the underwriters are or have been lenders and/or agents, and affiliates of some or all of the underwriters are or have been lead arrangers and joint bookrunners, under our 2024 and 2026 Term Loan Agreement and/or our Revolving Credit Agreement. Additionally, affiliates of some of the underwriters have acted or are acting as the Trustee for the Notes offered hereby and/or one or more of our previously issued series of Senior Notes.</w:t>
      </w:r>
    </w:p>
    <w:p>
      <w:pPr>
        <w:spacing w:after="0" w:line="192"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In addition, in the ordinary course of their various business activities, the underwriters and their respective affiliates may make or hold a broad array of investments and actively trade debt and equity securities (or related derivative securities) and financial instruments (including bank loans) for their own account and for the accounts of their customers and such investment and securities activities may involve securities and/or instruments of ours or our subsidiaries. Certain of the underwriters or their affiliates that have lending relationships with us or our subsidiaries may also choose to hedge their credit exposure to us or our subsidiaries, as the case may be, consistent with their customary risk management policies. Typically those underwriters and their affiliates would hedge such exposure by entering into transactions, which may consist of either the purchase of credit default swaps or the creation of short positions in securities of ours or our subsidiaries, including potentially the Notes offered hereby. Any such credit default swaps or short positions could adversely affect future trading prices of the Notes offered hereby. The underwriters and their respective affiliates may also make investment recommendations and/or publish or express independent research views in respect of our securities or financial instruments and may at any time hold, or recommend to clients that they acquire, long and/or short positions in such securities and instruments.</w:t>
      </w:r>
    </w:p>
    <w:p>
      <w:pPr>
        <w:spacing w:after="0" w:line="3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Conflicts of Interest</w:t>
      </w:r>
    </w:p>
    <w:p>
      <w:pPr>
        <w:spacing w:after="0" w:line="229" w:lineRule="exact"/>
        <w:rPr>
          <w:sz w:val="20"/>
          <w:szCs w:val="20"/>
          <w:color w:val="auto"/>
        </w:rPr>
      </w:pPr>
    </w:p>
    <w:p>
      <w:pPr>
        <w:ind w:left="120" w:right="260" w:firstLine="440"/>
        <w:spacing w:after="0" w:line="257" w:lineRule="auto"/>
        <w:rPr>
          <w:sz w:val="20"/>
          <w:szCs w:val="20"/>
          <w:color w:val="auto"/>
        </w:rPr>
      </w:pPr>
      <w:r>
        <w:rPr>
          <w:rFonts w:ascii="Arial" w:cs="Arial" w:eastAsia="Arial" w:hAnsi="Arial"/>
          <w:sz w:val="18"/>
          <w:szCs w:val="18"/>
          <w:color w:val="auto"/>
        </w:rPr>
        <w:t>As a result of our intended use of proceeds for the repayment of debt, including amounts outstanding under our term loans due 2024 and the Revolving Credit Agreement, certain underwriters (or their respective affiliates) may receive more than 5% of the net proceeds of this offering, not including underwriting compensation, thus creating a conflict of interest within the meaning of FINRA Rule 5121. Accordingly, this offering is being made in compliance with the requirements of FINRA Rule 5121. The appointment of a “qualified independent underwriter” is not necessary in connection with this offering as the Notes are investment grade-rated securities.</w:t>
      </w:r>
    </w:p>
    <w:p>
      <w:pPr>
        <w:spacing w:after="0" w:line="188"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In particular, affiliates of the underwriters, including affiliates of J.P. Morgan Securities LLC, BofA Securities, Inc. and Wells Fargo Securities, LLC act as agents and lenders and an affiliate of J.P. Morgan Securities LLC serves as administrative agent under our term loans due 2024. Additionally, affiliates of the underwriters, including affiliates of J.P. Morgan Securities LLC, BofA Securities, Inc. and Wells Fargo Securities, LLC, act as agents and lenders and an affiliate of BofA Securities, Inc. serves as administrative agent under the Revolving Credit Agreement.</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S-43</w:t>
      </w:r>
    </w:p>
    <w:p>
      <w:pPr>
        <w:sectPr>
          <w:pgSz w:w="11900" w:h="16838" w:orient="portrait"/>
          <w:cols w:equalWidth="0" w:num="1">
            <w:col w:w="11140"/>
          </w:cols>
          <w:pgMar w:left="320" w:top="459" w:right="43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Offering Restrictions</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European Economic Area</w:t>
      </w:r>
    </w:p>
    <w:p>
      <w:pPr>
        <w:spacing w:after="0" w:line="117" w:lineRule="exact"/>
        <w:rPr>
          <w:sz w:val="20"/>
          <w:szCs w:val="20"/>
          <w:color w:val="auto"/>
        </w:rPr>
      </w:pPr>
    </w:p>
    <w:p>
      <w:pPr>
        <w:ind w:left="120" w:right="60" w:firstLine="440"/>
        <w:spacing w:after="0" w:line="288" w:lineRule="auto"/>
        <w:rPr>
          <w:sz w:val="20"/>
          <w:szCs w:val="20"/>
          <w:color w:val="auto"/>
        </w:rPr>
      </w:pPr>
      <w:r>
        <w:rPr>
          <w:rFonts w:ascii="Arial" w:cs="Arial" w:eastAsia="Arial" w:hAnsi="Arial"/>
          <w:sz w:val="16"/>
          <w:szCs w:val="16"/>
          <w:color w:val="auto"/>
        </w:rPr>
        <w:t>The Notes are not intended to be offered, sold or otherwise made available to and should not be offered, sold or otherwise made available to any retail investor in the European Economic Area (the “EEA”). For these purposes, a retail investor means a person who is one (or more) of: (a) a retail client as defined in point (11) of Article 4(1) of Directive 2014/65/EU (as amended, “MiFID II”); (b) a customer within the meaning of Directive (EU) 2016/97 (as amended, the “Insurance Distribution Directive”), where that customer would not qualify as a professional client as defined in point (10) of Article 4(1) of MiFID II; or (c) not a qualified investor as defined in Regulation (EU) 2017/1129 (as amended, the “Prospectus Regulation”). Consequently no key information document required by Regulation (EU) No 1286/2014 (as amended, the “PRIIPs Regulation”) for offering or selling the Notes or otherwise making them available to retail investors in the EEA has been prepared and therefore offering or selling the Notes or otherwise making them available to any retail investor in the EEA may be unlawful under the PRIIPs Regulation. This prospectus supplement has been prepared on the basis that any offer of Notes in any Member State of the EEA will be made pursuant to an exemption under the Prospectus Regulation from the requirement to publish a prospectus for offers of notes. This prospectus supplement is not a prospectus for the purposes of the Prospectus Regulation.</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United Kingdom</w:t>
      </w:r>
    </w:p>
    <w:p>
      <w:pPr>
        <w:spacing w:after="0" w:line="117"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The Notes are not intended to be offered, sold or otherwise made available to and should not be offered, sold or otherwise made available to any retail investor in the United Kingdom (the “U.K.”). For these purposes, a retail investor means a person who is one (or more) of (a) a retail client, as defined in point (8) of Article 2 of Regulation (EU) 2017/565 as it forms part of domestic law by virtue of the European Union (Withdrawal) Act 2018 (the “EUWA”); (b) a customer within the meaning of the provisions of the Financial Services and Markets Act 2000 (as amended, the “FSMA”) and any rules or regulations made under the FSMA to implement Directive (EU) 2016/97, where that customer would not qualify as a professional client, as defined in point (8) of Article 2(1) of Regulation (EU) 600/2014 as it forms part of domestic law by virtue of the EUWA; or (c) not a qualified investor as defined in Regulation (EU) 2017/1129 as it forms part of domestic law by virtue of the EUWA (the “U.K. Prospectus Regulation”). Consequently no key information document required by Regulation (EU) 1286/2014 as it forms part of domestic law by virtue of the EUWA (the “U.K. PRIIPs Regulation”) for offering or selling the Notes or otherwise making them available to retail investors in the U.K. has been prepared and therefore offering or selling the Notes or otherwise making them available to any retail investor in the U.K. may be unlawful under the U.K. PRIIPs Regulation. This prospectus supplement has been prepared on the basis that any offer of Notes in the U.K. will be made pursuant to an exemption under the U.K. Prospectus Regulation and the FSMA from the requirement to publish a prospectus for offers of notes. This prospectus supplement is not a prospectus for the purposes of the U.K. Prospectus Regulation or the FSMA.</w:t>
      </w:r>
    </w:p>
    <w:p>
      <w:pPr>
        <w:spacing w:after="0" w:line="29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Australia</w:t>
      </w:r>
    </w:p>
    <w:p>
      <w:pPr>
        <w:spacing w:after="0" w:line="117" w:lineRule="exact"/>
        <w:rPr>
          <w:sz w:val="20"/>
          <w:szCs w:val="20"/>
          <w:color w:val="auto"/>
        </w:rPr>
      </w:pPr>
    </w:p>
    <w:p>
      <w:pPr>
        <w:ind w:left="120" w:right="200" w:firstLine="440"/>
        <w:spacing w:after="0" w:line="301" w:lineRule="auto"/>
        <w:rPr>
          <w:sz w:val="20"/>
          <w:szCs w:val="20"/>
          <w:color w:val="auto"/>
        </w:rPr>
      </w:pPr>
      <w:r>
        <w:rPr>
          <w:rFonts w:ascii="Arial" w:cs="Arial" w:eastAsia="Arial" w:hAnsi="Arial"/>
          <w:sz w:val="16"/>
          <w:szCs w:val="16"/>
          <w:color w:val="auto"/>
        </w:rPr>
        <w:t>No placement document, prospectus, product disclosure statement or other disclosure document has been lodged with the Australian Securities and Investments Commission, in relation to the offering. This prospectus supplement and accompanying prospectus do not constitute a prospectus, product disclosure statement or other disclosure document under the Corporations Act 2001 (the “Corporations Act”), and does not purport to include the information required for a prospectus, product disclosure statement or other disclosure document under the Corporations Act.</w:t>
      </w:r>
    </w:p>
    <w:p>
      <w:pPr>
        <w:spacing w:after="0" w:line="157"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Any offer in Australia of the Notes may only be made to persons (the “Exempt Investors”) who are “sophisticated investors” (within the meaning of section 708(8) of the Corporations Act), “professional investors” (within the meaning of section 708(11) of the Corporations Act) or otherwise pursuant to one or more exemptions contained in section 708 of the Corporations Act so that it is lawful to offer the Notes without disclosure to investors under Chapter 6D of the Corporations Act.</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S-44</w:t>
      </w:r>
    </w:p>
    <w:p>
      <w:pPr>
        <w:sectPr>
          <w:pgSz w:w="11900" w:h="16838" w:orient="portrait"/>
          <w:cols w:equalWidth="0" w:num="1">
            <w:col w:w="11100"/>
          </w:cols>
          <w:pgMar w:left="320" w:top="459" w:right="479" w:bottom="1440" w:gutter="0" w:footer="0" w:header="0"/>
        </w:sectPr>
      </w:pPr>
    </w:p>
    <w:bookmarkStart w:id="50" w:name="page51"/>
    <w:bookmarkEnd w:id="5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Notes applied for by Exempt Investors in Australia must not be offered for sale in Australia in the period of 12 months after the date of allotment under the offering, except in circumstances where disclosure to investors under Chapter 6D of the Corporations Act would not be required pursuant to an exemption under section 708 of the Corporations Act or otherwise or where the offer is pursuant to a disclosure document which complies with Chapter 6D of the Corporations Act. Any person acquiring the Notes must observe such Australian on-sale restrictions. This prospectus supplement and accompanying prospectus contain general information only and do not take account of the investment objectives, financial situation or particular needs of any particular person. They do not contain any securities recommendations or financial product advice. Before making an investment decision, investors need to consider whether the information in this prospectus supplement and accompanying prospectus are appropriate to their needs, objectives and circumstances, and, if necessary, seek expert advice on those matters.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Canada</w:t>
      </w:r>
    </w:p>
    <w:p>
      <w:pPr>
        <w:spacing w:after="0" w:line="117" w:lineRule="exact"/>
        <w:rPr>
          <w:sz w:val="20"/>
          <w:szCs w:val="20"/>
          <w:color w:val="auto"/>
        </w:rPr>
      </w:pPr>
    </w:p>
    <w:p>
      <w:pPr>
        <w:ind w:left="120" w:right="400" w:firstLine="440"/>
        <w:spacing w:after="0" w:line="301" w:lineRule="auto"/>
        <w:rPr>
          <w:sz w:val="20"/>
          <w:szCs w:val="20"/>
          <w:color w:val="auto"/>
        </w:rPr>
      </w:pPr>
      <w:r>
        <w:rPr>
          <w:rFonts w:ascii="Arial" w:cs="Arial" w:eastAsia="Arial" w:hAnsi="Arial"/>
          <w:sz w:val="16"/>
          <w:szCs w:val="16"/>
          <w:color w:val="auto"/>
        </w:rPr>
        <w:t xml:space="preserve">The Notes may be sold only to purchasers purchasing, or deemed to be purchasing, as principal that are accredited investors, as defined in National Instrument 45-106 </w:t>
      </w:r>
      <w:r>
        <w:rPr>
          <w:rFonts w:ascii="Arial" w:cs="Arial" w:eastAsia="Arial" w:hAnsi="Arial"/>
          <w:sz w:val="16"/>
          <w:szCs w:val="16"/>
          <w:i w:val="1"/>
          <w:iCs w:val="1"/>
          <w:color w:val="auto"/>
        </w:rPr>
        <w:t>Prospectus Exemptions</w:t>
      </w:r>
      <w:r>
        <w:rPr>
          <w:rFonts w:ascii="Arial" w:cs="Arial" w:eastAsia="Arial" w:hAnsi="Arial"/>
          <w:sz w:val="16"/>
          <w:szCs w:val="16"/>
          <w:color w:val="auto"/>
        </w:rPr>
        <w:t xml:space="preserve"> or subsection 73.3(1) of the </w:t>
      </w:r>
      <w:r>
        <w:rPr>
          <w:rFonts w:ascii="Arial" w:cs="Arial" w:eastAsia="Arial" w:hAnsi="Arial"/>
          <w:sz w:val="16"/>
          <w:szCs w:val="16"/>
          <w:i w:val="1"/>
          <w:iCs w:val="1"/>
          <w:color w:val="auto"/>
        </w:rPr>
        <w:t>Securities Act</w:t>
      </w:r>
      <w:r>
        <w:rPr>
          <w:rFonts w:ascii="Arial" w:cs="Arial" w:eastAsia="Arial" w:hAnsi="Arial"/>
          <w:sz w:val="16"/>
          <w:szCs w:val="16"/>
          <w:color w:val="auto"/>
        </w:rPr>
        <w:t xml:space="preserve"> (Ontario), and are permitted clients, as defined in National Instrument 31-103 </w:t>
      </w:r>
      <w:r>
        <w:rPr>
          <w:rFonts w:ascii="Arial" w:cs="Arial" w:eastAsia="Arial" w:hAnsi="Arial"/>
          <w:sz w:val="16"/>
          <w:szCs w:val="16"/>
          <w:i w:val="1"/>
          <w:iCs w:val="1"/>
          <w:color w:val="auto"/>
        </w:rPr>
        <w:t>Registration Requirements, Exemptions and Ongoing Registrant Obligations</w:t>
      </w:r>
      <w:r>
        <w:rPr>
          <w:rFonts w:ascii="Arial" w:cs="Arial" w:eastAsia="Arial" w:hAnsi="Arial"/>
          <w:sz w:val="16"/>
          <w:szCs w:val="16"/>
          <w:color w:val="auto"/>
        </w:rPr>
        <w:t>. Any resale of the Notes must be made in accordance with an exemption from, or in a transaction not subject to, the prospectus requirements of applicable securities laws.</w:t>
      </w:r>
    </w:p>
    <w:p>
      <w:pPr>
        <w:spacing w:after="0" w:line="157"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Securities legislation in certain provinces or territories of Canada may provide a purchaser with remedies for rescission or damages if this prospectus supplement and accompanying prospectus (including any amendment thereto) contain a misrepresentation, provided that the remedies for rescission or damages are exercised by the purchaser within the time limit prescribed by the securities legislation of the purchaser’s province or territory. The purchaser should refer to any applicable provisions of the securities legislation of the purchaser’s province or territory for particulars of these rights or consult with a legal advisor.</w:t>
      </w:r>
    </w:p>
    <w:p>
      <w:pPr>
        <w:spacing w:after="0" w:line="188"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Pursuant to section 3A.3 of National Instrument 33-105 </w:t>
      </w:r>
      <w:r>
        <w:rPr>
          <w:rFonts w:ascii="Arial" w:cs="Arial" w:eastAsia="Arial" w:hAnsi="Arial"/>
          <w:sz w:val="18"/>
          <w:szCs w:val="18"/>
          <w:i w:val="1"/>
          <w:iCs w:val="1"/>
          <w:color w:val="auto"/>
        </w:rPr>
        <w:t>Underwriting Conflicts</w:t>
      </w:r>
      <w:r>
        <w:rPr>
          <w:rFonts w:ascii="Arial" w:cs="Arial" w:eastAsia="Arial" w:hAnsi="Arial"/>
          <w:sz w:val="18"/>
          <w:szCs w:val="18"/>
          <w:color w:val="auto"/>
        </w:rPr>
        <w:t xml:space="preserve"> (“NI 33-105”), the underwriters are not required to comply with the disclosure requirements of NI 33-105 regarding underwriter conflicts of interest in connection with this offering.</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Hong Kong</w:t>
      </w:r>
    </w:p>
    <w:p>
      <w:pPr>
        <w:spacing w:after="0" w:line="117" w:lineRule="exact"/>
        <w:rPr>
          <w:sz w:val="20"/>
          <w:szCs w:val="20"/>
          <w:color w:val="auto"/>
        </w:rPr>
      </w:pPr>
    </w:p>
    <w:p>
      <w:pPr>
        <w:ind w:left="120" w:right="60" w:firstLine="440"/>
        <w:spacing w:after="0" w:line="270" w:lineRule="auto"/>
        <w:rPr>
          <w:sz w:val="20"/>
          <w:szCs w:val="20"/>
          <w:color w:val="auto"/>
        </w:rPr>
      </w:pPr>
      <w:r>
        <w:rPr>
          <w:rFonts w:ascii="Arial" w:cs="Arial" w:eastAsia="Arial" w:hAnsi="Arial"/>
          <w:sz w:val="17"/>
          <w:szCs w:val="17"/>
          <w:color w:val="auto"/>
        </w:rPr>
        <w:t>Each underwriter (i) has not offered or sold and will not offer or sell in Hong Kong, by means of any document, any Notes other than (a) to “professional investors” as defined in the Securities and Futures Ordinance (Cap. 571) of Hong Kong (the “SFO”) and any rules made under that Ordinance; or (b) in other circumstances which do not result in the document being a “prospectus” as defined in the Companies (Winding Up and Miscellaneous Provisions) Ordinance (Cap. 32) of Hong Kong or which do not constitute an offer to the public within the meaning of that Ordinance; and (ii) has not issued or had in its possession for the purposes of issue, and will not issue or have in its possession for the purposes of issue, whether in Hong Kong or elsewhere, any advertisement, invitation or document relating to the Notes, which is directed at, or the contents of which are likely to be accessed or read by, the public of Hong Kong (except if permitted to do so under the securities laws of Hong Kong) other than with respect to the Notes which are or are intended to be disposed of only to persons outside Hong Kong or only to “professional investors” as defined in the SFO and any rules made under that Ordinance.</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Japan</w:t>
      </w:r>
    </w:p>
    <w:p>
      <w:pPr>
        <w:spacing w:after="0" w:line="117" w:lineRule="exact"/>
        <w:rPr>
          <w:sz w:val="20"/>
          <w:szCs w:val="20"/>
          <w:color w:val="auto"/>
        </w:rPr>
      </w:pPr>
    </w:p>
    <w:p>
      <w:pPr>
        <w:jc w:val="both"/>
        <w:ind w:left="120" w:right="160" w:firstLine="440"/>
        <w:spacing w:after="0" w:line="263" w:lineRule="auto"/>
        <w:rPr>
          <w:sz w:val="20"/>
          <w:szCs w:val="20"/>
          <w:color w:val="auto"/>
        </w:rPr>
      </w:pPr>
      <w:r>
        <w:rPr>
          <w:rFonts w:ascii="Arial" w:cs="Arial" w:eastAsia="Arial" w:hAnsi="Arial"/>
          <w:sz w:val="18"/>
          <w:szCs w:val="18"/>
          <w:color w:val="auto"/>
        </w:rPr>
        <w:t>The Notes have not been and will not be registered under the Financial Instruments and Exchange Law of Japan (the “Financial Instruments and Exchange Law”) and each underwriter has agreed that it will not offer or sell any Notes, directly or indirectly, in Japan or to, or for the benefit of, any resident of Japan (which term as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S-45</w:t>
      </w:r>
    </w:p>
    <w:p>
      <w:pPr>
        <w:sectPr>
          <w:pgSz w:w="11900" w:h="16838" w:orient="portrait"/>
          <w:cols w:equalWidth="0" w:num="1">
            <w:col w:w="11100"/>
          </w:cols>
          <w:pgMar w:left="320" w:top="459" w:right="47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311" w:lineRule="auto"/>
        <w:rPr>
          <w:sz w:val="20"/>
          <w:szCs w:val="20"/>
          <w:color w:val="auto"/>
        </w:rPr>
      </w:pPr>
      <w:r>
        <w:rPr>
          <w:rFonts w:ascii="Arial" w:cs="Arial" w:eastAsia="Arial" w:hAnsi="Arial"/>
          <w:sz w:val="16"/>
          <w:szCs w:val="16"/>
          <w:color w:val="auto"/>
        </w:rPr>
        <w:t>used herein means any person resident in Japan, including any corporation or other entity organized under the laws of Japan), or to others for re-offering or resale, directly or indirectly, in Japan or to a resident of Japan, except pursuant to an exemption from the registration requirements of, and otherwise in compliance with, the Financial Instruments and Exchange Law and any other applicable laws, regulations and ministerial guidelines of Japan.</w:t>
      </w:r>
    </w:p>
    <w:p>
      <w:pPr>
        <w:spacing w:after="0" w:line="25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Singapore</w:t>
      </w:r>
    </w:p>
    <w:p>
      <w:pPr>
        <w:spacing w:after="0" w:line="117"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This prospectus supplement and accompanying prospectus have not been registered as a prospectus with the Monetary Authority of Singapore. Accordingly, each underwriter has not offered or sold any Notes or caused such Notes to be made the subject of an invitation for subscription or purchase and will not offer or sell such Notes or cause such Notes to be made the subject of an invitation for subscription or purchase, and has not circulated or distributed, nor will it circulate or distribute, this prospectus supplement and accompanying prospectus or any other document or material in connection with the offer or sale, or invitation for subscription or purchase, of such Notes, whether directly or indirectly, to persons in Singapore other than (i) to an institutional investor under Section 274 of the Securities and Futures Act, Chapter 289 of Singapore (the “SFA”), (ii) to a relevant person pursuant to Section 275(1), or any person pursuant to Section 275(1A), and in accordance with the conditions specified in Section 275, of the SFA, or (iii) otherwise pursuant to, and in accordance with the conditions of, any other applicable provision of the SFA.</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Where the Notes are subscribed or purchased under Section 275 of the SFA by a relevant person which is:</w:t>
      </w:r>
    </w:p>
    <w:p>
      <w:pPr>
        <w:spacing w:after="0" w:line="131" w:lineRule="exact"/>
        <w:rPr>
          <w:sz w:val="20"/>
          <w:szCs w:val="20"/>
          <w:color w:val="auto"/>
        </w:rPr>
      </w:pPr>
    </w:p>
    <w:p>
      <w:pPr>
        <w:ind w:left="1080" w:right="100" w:hanging="532"/>
        <w:spacing w:after="0" w:line="308"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 corporation (which is not an accredited investor (as defined in Section 4A of the SFA)) the sole business of which is to hold investments and the entire share capital of which is owned by one or more individuals, each of whom is an accredited investor; or</w:t>
      </w:r>
    </w:p>
    <w:p>
      <w:pPr>
        <w:spacing w:after="0" w:line="51" w:lineRule="exact"/>
        <w:rPr>
          <w:rFonts w:ascii="Arial" w:cs="Arial" w:eastAsia="Arial" w:hAnsi="Arial"/>
          <w:sz w:val="17"/>
          <w:szCs w:val="17"/>
          <w:color w:val="auto"/>
        </w:rPr>
      </w:pPr>
    </w:p>
    <w:p>
      <w:pPr>
        <w:ind w:left="1080" w:right="60" w:hanging="532"/>
        <w:spacing w:after="0" w:line="259"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 trust (where the trustee is not an accredited investor) whose sole purpose is to hold investments and each beneficiary of the trust is an individual who is an accredited investor, securities (as defined in Section 239(1) of the SFA) of that corporation or the beneficiaries’ rights and interest (howsoever described) in that trust shall not be transferred within six months after that corporation or that trust has acquired the Notes pursuant to an offer made under Section 275 of the SFA, except:</w:t>
      </w:r>
    </w:p>
    <w:p>
      <w:pPr>
        <w:spacing w:after="0" w:line="92" w:lineRule="exact"/>
        <w:rPr>
          <w:rFonts w:ascii="Arial" w:cs="Arial" w:eastAsia="Arial" w:hAnsi="Arial"/>
          <w:sz w:val="18"/>
          <w:szCs w:val="18"/>
          <w:color w:val="auto"/>
        </w:rPr>
      </w:pPr>
    </w:p>
    <w:p>
      <w:pPr>
        <w:ind w:left="1540" w:right="120" w:hanging="439"/>
        <w:spacing w:after="0" w:line="277" w:lineRule="auto"/>
        <w:tabs>
          <w:tab w:leader="none" w:pos="15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to an institutional investor under Section 274 of the SFA or to a relevant person (as defined in Section 275(2) of the SFA), or to any person arising from an offer referred to in Section 275(1A), or Section 276(4)(i)(B) of the SFA;</w:t>
      </w:r>
    </w:p>
    <w:p>
      <w:pPr>
        <w:spacing w:after="0" w:line="75" w:lineRule="exact"/>
        <w:rPr>
          <w:rFonts w:ascii="Arial" w:cs="Arial" w:eastAsia="Arial" w:hAnsi="Arial"/>
          <w:sz w:val="18"/>
          <w:szCs w:val="18"/>
          <w:color w:val="auto"/>
        </w:rPr>
      </w:pPr>
    </w:p>
    <w:p>
      <w:pPr>
        <w:ind w:left="1540" w:hanging="439"/>
        <w:spacing w:after="0"/>
        <w:tabs>
          <w:tab w:leader="none" w:pos="15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where no consideration is or will be given for the transfer;</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where the transfer is by operation of law;</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as specified in Section 276(7) of the SFA; or</w:t>
      </w:r>
    </w:p>
    <w:p>
      <w:pPr>
        <w:spacing w:after="0" w:line="130" w:lineRule="exact"/>
        <w:rPr>
          <w:rFonts w:ascii="Arial" w:cs="Arial" w:eastAsia="Arial" w:hAnsi="Arial"/>
          <w:sz w:val="18"/>
          <w:szCs w:val="18"/>
          <w:color w:val="auto"/>
        </w:rPr>
      </w:pPr>
    </w:p>
    <w:p>
      <w:pPr>
        <w:ind w:left="1540" w:right="340" w:hanging="439"/>
        <w:spacing w:after="0" w:line="277" w:lineRule="auto"/>
        <w:tabs>
          <w:tab w:leader="none" w:pos="15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as specified in Regulation 32 of the Securities and Futures (Offers of Investments) (Shares and Debentures) Regulations 2005 of Singapore.</w:t>
      </w:r>
    </w:p>
    <w:p>
      <w:pPr>
        <w:spacing w:after="0" w:line="170"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i w:val="1"/>
          <w:iCs w:val="1"/>
          <w:color w:val="auto"/>
        </w:rPr>
        <w:t>Singapore SFA Product Classification</w:t>
      </w:r>
      <w:r>
        <w:rPr>
          <w:rFonts w:ascii="Arial" w:cs="Arial" w:eastAsia="Arial" w:hAnsi="Arial"/>
          <w:sz w:val="16"/>
          <w:szCs w:val="16"/>
          <w:color w:val="auto"/>
        </w:rPr>
        <w:t>—Solely for the purposes of our obligations pursuant to sections 309B(1)(a) and 309B(1)(c) of the SFA, we</w:t>
      </w:r>
      <w:r>
        <w:rPr>
          <w:rFonts w:ascii="Arial" w:cs="Arial" w:eastAsia="Arial" w:hAnsi="Arial"/>
          <w:sz w:val="16"/>
          <w:szCs w:val="16"/>
          <w:i w:val="1"/>
          <w:iCs w:val="1"/>
          <w:color w:val="auto"/>
        </w:rPr>
        <w:t xml:space="preserve"> </w:t>
      </w:r>
      <w:r>
        <w:rPr>
          <w:rFonts w:ascii="Arial" w:cs="Arial" w:eastAsia="Arial" w:hAnsi="Arial"/>
          <w:sz w:val="16"/>
          <w:szCs w:val="16"/>
          <w:color w:val="auto"/>
        </w:rPr>
        <w:t>have determined, and hereby notify all relevant persons (as defined in Section 309A of the SFA), that the Notes are “prescribed capital markets products” (as defined in the Securities and Futures (Capital Markets Products) Regulations 2018) and Excluded Investment Products (as defined in MAS Notice SFA 04- N12: Notice on the Sale of Investment Products and MAS Notice FAA-N16: Notice on Recommendations on Investment Products).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South Korea</w:t>
      </w:r>
    </w:p>
    <w:p>
      <w:pPr>
        <w:spacing w:after="0" w:line="117"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The Notes may not be offered, sold and delivered directly or indirectly, or offered or sold to any person for reoffering or resale, directly or indirectly, in South Korea or to, or for the account or benefit of, any resident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S-46</w:t>
      </w:r>
    </w:p>
    <w:p>
      <w:pPr>
        <w:sectPr>
          <w:pgSz w:w="11900" w:h="16838" w:orient="portrait"/>
          <w:cols w:equalWidth="0" w:num="1">
            <w:col w:w="11120"/>
          </w:cols>
          <w:pgMar w:left="320" w:top="459" w:right="459" w:bottom="1440" w:gutter="0" w:footer="0" w:header="0"/>
        </w:sectPr>
      </w:pPr>
    </w:p>
    <w:bookmarkStart w:id="52" w:name="page53"/>
    <w:bookmarkEnd w:id="5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South Korea except pursuant to the applicable laws and regulations of South Korea, including the Financial Investment Services and Capital Markets Act of Korea and the Foreign Exchange Transaction Act of Korea and the decrees and regulations thereunder. The Notes have not been and will not be registered with the Financial Services Commission of South Korea for public offering in South Korea. Furthermore, the Notes may not be resold to South Korean residents unless the purchaser of the Notes complies with all applicable regulatory requirements (including but not limited to government approval requirements under the Foreign Exchange Transaction Act of Korea and its subordinate decrees and regulations) in connection with their purchase.</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Switzerland</w:t>
      </w:r>
    </w:p>
    <w:p>
      <w:pPr>
        <w:spacing w:after="0" w:line="117" w:lineRule="exact"/>
        <w:rPr>
          <w:sz w:val="20"/>
          <w:szCs w:val="20"/>
          <w:color w:val="auto"/>
        </w:rPr>
      </w:pPr>
    </w:p>
    <w:p>
      <w:pPr>
        <w:ind w:left="120" w:right="260" w:firstLine="440"/>
        <w:spacing w:after="0" w:line="293" w:lineRule="auto"/>
        <w:rPr>
          <w:sz w:val="20"/>
          <w:szCs w:val="20"/>
          <w:color w:val="auto"/>
        </w:rPr>
      </w:pPr>
      <w:r>
        <w:rPr>
          <w:rFonts w:ascii="Arial" w:cs="Arial" w:eastAsia="Arial" w:hAnsi="Arial"/>
          <w:sz w:val="16"/>
          <w:szCs w:val="16"/>
          <w:color w:val="auto"/>
        </w:rPr>
        <w:t>This prospectus supplement and the accompanying prospectus are not intended to constitute an offer or solicitation to purchase or invest in the Notes. The Notes may not be publicly offered, directly or indirectly, in Switzerland within the meaning of the Swiss Financial Services Act (the “FinSA”), and no application has or will be made to admit the Notes to trading on any trading venue (exchange or multilateral trading facility) in Switzerland. Neither this prospectus supplement, the accompanying prospectus nor any other offering or marketing material relating to the Notes constitutes a prospectus pursuant to the FinSA, and neither this prospectus supplement, the accompanying prospectus, nor any other offering or marketing material relating to the Notes may be publicly distributed or otherwise made publicly available in Switzerland.</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Taiwan</w:t>
      </w:r>
    </w:p>
    <w:p>
      <w:pPr>
        <w:spacing w:after="0" w:line="117"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Notes have not been and will not be registered with the Financial Supervisory Commission of Taiwan pursuant to relevant securities laws and regulations and may not be sold, issued or offered within Taiwan through a public offering or in circumstances which constitute an offer within the meaning of the Securities and Exchange Act of Taiwan that require a registration or approval of the Financial Supervisory Commission of Taiwan. No person or entity in Taiwan has been authorized to offer, sell, give advice regarding or otherwise intermediate the offering and sale of the Notes in Taiwan.</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S-47</w:t>
      </w:r>
    </w:p>
    <w:p>
      <w:pPr>
        <w:sectPr>
          <w:pgSz w:w="11900" w:h="16838" w:orient="portrait"/>
          <w:cols w:equalWidth="0" w:num="1">
            <w:col w:w="11080"/>
          </w:cols>
          <w:pgMar w:left="320" w:top="459" w:right="499" w:bottom="1440" w:gutter="0" w:footer="0" w:header="0"/>
        </w:sectPr>
      </w:pPr>
    </w:p>
    <w:bookmarkStart w:id="53" w:name="page54"/>
    <w:bookmarkEnd w:id="5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Weil, Gotshal &amp; Manges LLP, New York, New York, will pass upon the validity of the Notes on behalf of us. The underwriters have been represented in connection with this offering by Davis Polk &amp; Wardwell LLP, Menlo Park, California.</w:t>
      </w:r>
    </w:p>
    <w:p>
      <w:pPr>
        <w:spacing w:after="0" w:line="382"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INDEPENDENT REGISTERED PUBLIC ACCOUNTING FIRM</w:t>
      </w:r>
    </w:p>
    <w:p>
      <w:pPr>
        <w:spacing w:after="0" w:line="22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financial statements of Marvell and its consolidated subsidiaries as of January 28, 2023 and January 29, 2022 and for each of the three years in the period ended January 28, 2023, and the related financial statement schedules, incorporated in this prospectus supplement by reference to our Annual Report on Form 10-K for the year ended January 28, 2023, and the effectiveness of internal control over financial reporting as of January 28, 2023, have been audited by Deloitte &amp; Touche LLP, an independent registered public accounting firm, as stated in their reports, which are incorporated herein by reference.</w:t>
      </w:r>
    </w:p>
    <w:p>
      <w:pPr>
        <w:spacing w:after="0" w:line="120"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S-48</w:t>
      </w:r>
    </w:p>
    <w:p>
      <w:pPr>
        <w:sectPr>
          <w:pgSz w:w="11900" w:h="16838" w:orient="portrait"/>
          <w:cols w:equalWidth="0" w:num="1">
            <w:col w:w="11000"/>
          </w:cols>
          <w:pgMar w:left="320" w:top="459" w:right="579" w:bottom="1440" w:gutter="0" w:footer="0" w:header="0"/>
        </w:sectPr>
      </w:pPr>
    </w:p>
    <w:bookmarkStart w:id="54" w:name="page55"/>
    <w:bookmarkEnd w:id="5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171450</wp:posOffset>
            </wp:positionV>
            <wp:extent cx="1508760" cy="43688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39"/>
        <w:spacing w:after="0"/>
        <w:rPr>
          <w:sz w:val="20"/>
          <w:szCs w:val="20"/>
          <w:color w:val="auto"/>
        </w:rPr>
      </w:pPr>
      <w:r>
        <w:rPr>
          <w:rFonts w:ascii="Arial" w:cs="Arial" w:eastAsia="Arial" w:hAnsi="Arial"/>
          <w:sz w:val="43"/>
          <w:szCs w:val="43"/>
          <w:b w:val="1"/>
          <w:bCs w:val="1"/>
          <w:color w:val="auto"/>
        </w:rPr>
        <w:t>MARVELL TECHNOLOGY, INC.</w:t>
      </w: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32"/>
          <w:szCs w:val="32"/>
          <w:b w:val="1"/>
          <w:bCs w:val="1"/>
          <w:color w:val="auto"/>
        </w:rPr>
        <w:t>$1,232,259,000</w:t>
      </w:r>
    </w:p>
    <w:p>
      <w:pPr>
        <w:spacing w:after="0" w:line="231"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DEBT SECURITIES</w:t>
      </w:r>
    </w:p>
    <w:p>
      <w:pPr>
        <w:spacing w:after="0" w:line="38"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COMMON SHARES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WARRANTS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234315</wp:posOffset>
            </wp:positionV>
            <wp:extent cx="1474470"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6">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4"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From time to time, we may offer and sell up to $1,232,259,000 in the aggregate of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4"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7"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Our common shares are listed on the Nasdaq Global Select Market (“Nasdaq”) under the symbol “MRVL.” On August 26, 2021, the closing price of our common shares as reported on Nasdaq was $63.24 per share. Our principal executive offices are located at 1000 N. West Street, Suite 1200, Wilmington, Delaware 19801 and our telephone number is (302) 295-4840.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211455</wp:posOffset>
            </wp:positionV>
            <wp:extent cx="1474470"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ind w:left="120" w:right="260" w:firstLine="440"/>
        <w:spacing w:after="0" w:line="334" w:lineRule="auto"/>
        <w:rPr>
          <w:sz w:val="20"/>
          <w:szCs w:val="20"/>
          <w:color w:val="auto"/>
        </w:rPr>
      </w:pPr>
      <w:r>
        <w:rPr>
          <w:rFonts w:ascii="Arial" w:cs="Arial" w:eastAsia="Arial" w:hAnsi="Arial"/>
          <w:sz w:val="19"/>
          <w:szCs w:val="19"/>
          <w:b w:val="1"/>
          <w:bCs w:val="1"/>
          <w:color w:val="auto"/>
        </w:rPr>
        <w:t>Investing in our securities involves certain risks. See the “</w:t>
      </w:r>
      <w:r>
        <w:rPr>
          <w:rFonts w:ascii="Arial" w:cs="Arial" w:eastAsia="Arial" w:hAnsi="Arial"/>
          <w:sz w:val="19"/>
          <w:szCs w:val="19"/>
          <w:b w:val="1"/>
          <w:bCs w:val="1"/>
          <w:u w:val="single" w:color="auto"/>
          <w:color w:val="0000EE"/>
        </w:rPr>
        <w:t>Risk Factors</w:t>
      </w:r>
      <w:r>
        <w:rPr>
          <w:rFonts w:ascii="Arial" w:cs="Arial" w:eastAsia="Arial" w:hAnsi="Arial"/>
          <w:sz w:val="19"/>
          <w:szCs w:val="19"/>
          <w:b w:val="1"/>
          <w:bCs w:val="1"/>
          <w:color w:val="auto"/>
        </w:rPr>
        <w:t>” section on page 2 of this prospectus and the risk factors we incorporate by reference herein and, if any, in the relevant prospectus supplement.</w:t>
      </w:r>
    </w:p>
    <w:p>
      <w:pPr>
        <w:spacing w:after="0" w:line="103" w:lineRule="exact"/>
        <w:rPr>
          <w:sz w:val="20"/>
          <w:szCs w:val="20"/>
          <w:color w:val="auto"/>
        </w:rPr>
      </w:pPr>
    </w:p>
    <w:p>
      <w:pPr>
        <w:ind w:left="120" w:firstLine="440"/>
        <w:spacing w:after="0" w:line="347" w:lineRule="auto"/>
        <w:rPr>
          <w:sz w:val="20"/>
          <w:szCs w:val="20"/>
          <w:color w:val="auto"/>
        </w:rPr>
      </w:pPr>
      <w:r>
        <w:rPr>
          <w:rFonts w:ascii="Arial" w:cs="Arial" w:eastAsia="Arial" w:hAnsi="Arial"/>
          <w:sz w:val="16"/>
          <w:szCs w:val="16"/>
          <w:b w:val="1"/>
          <w:bCs w:val="1"/>
          <w:color w:val="auto"/>
        </w:rPr>
        <w:t>None of the Securities and Exchange Commission, any state securities commission or any other regulatory body has approved or disapproved of these securities or determined if this prospectus is truthful or complete.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170815</wp:posOffset>
            </wp:positionV>
            <wp:extent cx="147447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8">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6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date of this prospectus is August 27, 2021.</w:t>
      </w:r>
    </w:p>
    <w:p>
      <w:pPr>
        <w:sectPr>
          <w:pgSz w:w="11900" w:h="16838" w:orient="portrait"/>
          <w:cols w:equalWidth="0" w:num="1">
            <w:col w:w="11100"/>
          </w:cols>
          <w:pgMar w:left="320" w:top="459" w:right="479" w:bottom="1440" w:gutter="0" w:footer="0" w:header="0"/>
        </w:sectPr>
      </w:pPr>
    </w:p>
    <w:bookmarkStart w:id="55" w:name="page56"/>
    <w:bookmarkEnd w:id="5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760" w:type="dxa"/>
            <w:vAlign w:val="bottom"/>
            <w:gridSpan w:val="2"/>
          </w:tcPr>
          <w:p>
            <w:pPr>
              <w:ind w:left="28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91"/>
        </w:trPr>
        <w:tc>
          <w:tcPr>
            <w:tcW w:w="4260" w:type="dxa"/>
            <w:vAlign w:val="bottom"/>
            <w:gridSpan w:val="16"/>
            <w:vMerge w:val="restart"/>
          </w:tcPr>
          <w:p>
            <w:pPr>
              <w:spacing w:after="0"/>
              <w:rPr>
                <w:sz w:val="20"/>
                <w:szCs w:val="20"/>
                <w:color w:val="auto"/>
              </w:rPr>
            </w:pPr>
            <w:r>
              <w:rPr>
                <w:rFonts w:ascii="Arial" w:cs="Arial" w:eastAsia="Arial" w:hAnsi="Arial"/>
                <w:sz w:val="18"/>
                <w:szCs w:val="18"/>
                <w:b w:val="1"/>
                <w:bCs w:val="1"/>
                <w:color w:val="0000EE"/>
              </w:rPr>
              <w:t>About This Prospectus</w:t>
            </w:r>
          </w:p>
        </w:tc>
        <w:tc>
          <w:tcPr>
            <w:tcW w:w="6460" w:type="dxa"/>
            <w:vAlign w:val="bottom"/>
          </w:tcPr>
          <w:p>
            <w:pPr>
              <w:spacing w:after="0"/>
              <w:rPr>
                <w:sz w:val="24"/>
                <w:szCs w:val="2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9"/>
        </w:trPr>
        <w:tc>
          <w:tcPr>
            <w:tcW w:w="4260" w:type="dxa"/>
            <w:vAlign w:val="bottom"/>
            <w:gridSpan w:val="16"/>
            <w:vMerge w:val="continue"/>
          </w:tcPr>
          <w:p>
            <w:pPr>
              <w:spacing w:after="0"/>
              <w:rPr>
                <w:sz w:val="14"/>
                <w:szCs w:val="14"/>
                <w:color w:val="auto"/>
              </w:rPr>
            </w:pPr>
          </w:p>
        </w:tc>
        <w:tc>
          <w:tcPr>
            <w:tcW w:w="6460" w:type="dxa"/>
            <w:vAlign w:val="bottom"/>
          </w:tcPr>
          <w:p>
            <w:pPr>
              <w:spacing w:after="0"/>
              <w:rPr>
                <w:sz w:val="14"/>
                <w:szCs w:val="14"/>
                <w:color w:val="auto"/>
              </w:rPr>
            </w:pPr>
          </w:p>
        </w:tc>
        <w:tc>
          <w:tcPr>
            <w:tcW w:w="300" w:type="dxa"/>
            <w:vAlign w:val="bottom"/>
          </w:tcPr>
          <w:p>
            <w:pPr>
              <w:jc w:val="center"/>
              <w:spacing w:after="0" w:line="169" w:lineRule="exact"/>
              <w:rPr>
                <w:sz w:val="20"/>
                <w:szCs w:val="20"/>
                <w:color w:val="auto"/>
              </w:rPr>
            </w:pPr>
            <w:r>
              <w:rPr>
                <w:rFonts w:ascii="Arial" w:cs="Arial" w:eastAsia="Arial" w:hAnsi="Arial"/>
                <w:sz w:val="18"/>
                <w:szCs w:val="18"/>
                <w:b w:val="1"/>
                <w:bCs w:val="1"/>
                <w:color w:val="auto"/>
                <w:w w:val="99"/>
              </w:rPr>
              <w:t>ii</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080" w:type="dxa"/>
            <w:vAlign w:val="bottom"/>
            <w:tcBorders>
              <w:bottom w:val="single" w:sz="8" w:color="0000EE"/>
            </w:tcBorders>
            <w:gridSpan w:val="14"/>
          </w:tcPr>
          <w:p>
            <w:pPr>
              <w:spacing w:after="0" w:line="196" w:lineRule="exact"/>
              <w:rPr>
                <w:sz w:val="20"/>
                <w:szCs w:val="20"/>
                <w:color w:val="auto"/>
              </w:rPr>
            </w:pPr>
            <w:r>
              <w:rPr>
                <w:rFonts w:ascii="Arial" w:cs="Arial" w:eastAsia="Arial" w:hAnsi="Arial"/>
                <w:sz w:val="18"/>
                <w:szCs w:val="18"/>
                <w:b w:val="1"/>
                <w:bCs w:val="1"/>
                <w:color w:val="0000EE"/>
                <w:w w:val="93"/>
              </w:rPr>
              <w:t>Where You Can Find More Information</w:t>
            </w:r>
          </w:p>
        </w:tc>
        <w:tc>
          <w:tcPr>
            <w:tcW w:w="1180" w:type="dxa"/>
            <w:vAlign w:val="bottom"/>
            <w:gridSpan w:val="2"/>
          </w:tcPr>
          <w:p>
            <w:pPr>
              <w:spacing w:after="0"/>
              <w:rPr>
                <w:sz w:val="17"/>
                <w:szCs w:val="17"/>
                <w:color w:val="auto"/>
              </w:rPr>
            </w:pP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9"/>
              </w:rPr>
              <w:t>ii</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Documents Incorporated by Reference</w:t>
            </w: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rPr>
              <w:t>iii</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w w:val="96"/>
              </w:rPr>
              <w:t>Disclosure Regarding Forward-Looking Statements</w:t>
            </w: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2"/>
              </w:rPr>
              <w:t>iv</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bottom w:val="single" w:sz="8" w:color="0000EE"/>
            </w:tcBorders>
            <w:gridSpan w:val="4"/>
          </w:tcPr>
          <w:p>
            <w:pPr>
              <w:spacing w:after="0" w:line="196" w:lineRule="exact"/>
              <w:rPr>
                <w:sz w:val="20"/>
                <w:szCs w:val="20"/>
                <w:color w:val="auto"/>
              </w:rPr>
            </w:pPr>
            <w:r>
              <w:rPr>
                <w:rFonts w:ascii="Arial" w:cs="Arial" w:eastAsia="Arial" w:hAnsi="Arial"/>
                <w:sz w:val="18"/>
                <w:szCs w:val="18"/>
                <w:b w:val="1"/>
                <w:bCs w:val="1"/>
                <w:color w:val="0000EE"/>
                <w:w w:val="92"/>
              </w:rPr>
              <w:t>Our Company</w:t>
            </w:r>
          </w:p>
        </w:tc>
        <w:tc>
          <w:tcPr>
            <w:tcW w:w="2840" w:type="dxa"/>
            <w:vAlign w:val="bottom"/>
            <w:tcBorders>
              <w:top w:val="single" w:sz="8" w:color="0000EE"/>
            </w:tcBorders>
            <w:gridSpan w:val="11"/>
          </w:tcPr>
          <w:p>
            <w:pPr>
              <w:spacing w:after="0"/>
              <w:rPr>
                <w:sz w:val="17"/>
                <w:szCs w:val="17"/>
                <w:color w:val="auto"/>
              </w:rPr>
            </w:pPr>
          </w:p>
        </w:tc>
        <w:tc>
          <w:tcPr>
            <w:tcW w:w="300" w:type="dxa"/>
            <w:vAlign w:val="bottom"/>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1</w:t>
            </w:r>
          </w:p>
        </w:tc>
        <w:tc>
          <w:tcPr>
            <w:tcW w:w="0" w:type="dxa"/>
            <w:vAlign w:val="bottom"/>
          </w:tcPr>
          <w:p>
            <w:pPr>
              <w:spacing w:after="0"/>
              <w:rPr>
                <w:sz w:val="1"/>
                <w:szCs w:val="1"/>
                <w:color w:val="auto"/>
              </w:rPr>
            </w:pPr>
          </w:p>
        </w:tc>
      </w:tr>
      <w:tr>
        <w:trPr>
          <w:trHeight w:val="196"/>
        </w:trPr>
        <w:tc>
          <w:tcPr>
            <w:tcW w:w="980" w:type="dxa"/>
            <w:vAlign w:val="bottom"/>
            <w:tcBorders>
              <w:bottom w:val="single" w:sz="8" w:color="0000EE"/>
            </w:tcBorders>
            <w:gridSpan w:val="2"/>
          </w:tcPr>
          <w:p>
            <w:pPr>
              <w:spacing w:after="0" w:line="196" w:lineRule="exact"/>
              <w:rPr>
                <w:sz w:val="20"/>
                <w:szCs w:val="20"/>
                <w:color w:val="auto"/>
              </w:rPr>
            </w:pPr>
            <w:r>
              <w:rPr>
                <w:rFonts w:ascii="Arial" w:cs="Arial" w:eastAsia="Arial" w:hAnsi="Arial"/>
                <w:sz w:val="18"/>
                <w:szCs w:val="18"/>
                <w:b w:val="1"/>
                <w:bCs w:val="1"/>
                <w:color w:val="0000EE"/>
                <w:w w:val="88"/>
              </w:rPr>
              <w:t>Risk Factors</w:t>
            </w:r>
          </w:p>
        </w:tc>
        <w:tc>
          <w:tcPr>
            <w:tcW w:w="3280" w:type="dxa"/>
            <w:vAlign w:val="bottom"/>
            <w:gridSpan w:val="14"/>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2</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Use of Proceeds</w:t>
            </w: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3</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676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Description of Securities We May Offer</w:t>
            </w: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3020" w:type="dxa"/>
            <w:vAlign w:val="bottom"/>
            <w:tcBorders>
              <w:top w:val="single" w:sz="8" w:color="0000EE"/>
            </w:tcBorders>
            <w:gridSpan w:val="13"/>
          </w:tcPr>
          <w:p>
            <w:pPr>
              <w:spacing w:after="0" w:line="196" w:lineRule="exact"/>
              <w:rPr>
                <w:sz w:val="20"/>
                <w:szCs w:val="20"/>
                <w:color w:val="auto"/>
              </w:rPr>
            </w:pPr>
            <w:r>
              <w:rPr>
                <w:rFonts w:ascii="Arial" w:cs="Arial" w:eastAsia="Arial" w:hAnsi="Arial"/>
                <w:sz w:val="18"/>
                <w:szCs w:val="18"/>
                <w:b w:val="1"/>
                <w:bCs w:val="1"/>
                <w:color w:val="0000EE"/>
              </w:rPr>
              <w:t>Description of Debt Securities</w:t>
            </w:r>
          </w:p>
        </w:tc>
        <w:tc>
          <w:tcPr>
            <w:tcW w:w="1240" w:type="dxa"/>
            <w:vAlign w:val="bottom"/>
            <w:gridSpan w:val="3"/>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2280" w:type="dxa"/>
            <w:vAlign w:val="bottom"/>
            <w:tcBorders>
              <w:top w:val="single" w:sz="8" w:color="0000EE"/>
            </w:tcBorders>
            <w:gridSpan w:val="11"/>
          </w:tcPr>
          <w:p>
            <w:pPr>
              <w:spacing w:after="0" w:line="196" w:lineRule="exact"/>
              <w:rPr>
                <w:sz w:val="20"/>
                <w:szCs w:val="20"/>
                <w:color w:val="auto"/>
              </w:rPr>
            </w:pPr>
            <w:r>
              <w:rPr>
                <w:rFonts w:ascii="Arial" w:cs="Arial" w:eastAsia="Arial" w:hAnsi="Arial"/>
                <w:sz w:val="18"/>
                <w:szCs w:val="18"/>
                <w:b w:val="1"/>
                <w:bCs w:val="1"/>
                <w:color w:val="0000EE"/>
                <w:w w:val="94"/>
              </w:rPr>
              <w:t>Description of Capital Stock</w:t>
            </w:r>
          </w:p>
        </w:tc>
        <w:tc>
          <w:tcPr>
            <w:tcW w:w="1980" w:type="dxa"/>
            <w:vAlign w:val="bottom"/>
            <w:gridSpan w:val="5"/>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21</w:t>
            </w:r>
          </w:p>
        </w:tc>
        <w:tc>
          <w:tcPr>
            <w:tcW w:w="0" w:type="dxa"/>
            <w:vAlign w:val="bottom"/>
          </w:tcPr>
          <w:p>
            <w:pPr>
              <w:spacing w:after="0"/>
              <w:rPr>
                <w:sz w:val="1"/>
                <w:szCs w:val="1"/>
                <w:color w:val="auto"/>
              </w:rPr>
            </w:pPr>
          </w:p>
        </w:tc>
      </w:tr>
      <w:tr>
        <w:trPr>
          <w:trHeight w:val="196"/>
        </w:trPr>
        <w:tc>
          <w:tcPr>
            <w:tcW w:w="2160" w:type="dxa"/>
            <w:vAlign w:val="bottom"/>
            <w:tcBorders>
              <w:top w:val="single" w:sz="8" w:color="0000EE"/>
            </w:tcBorders>
            <w:gridSpan w:val="10"/>
          </w:tcPr>
          <w:p>
            <w:pPr>
              <w:spacing w:after="0" w:line="196" w:lineRule="exact"/>
              <w:rPr>
                <w:sz w:val="20"/>
                <w:szCs w:val="20"/>
                <w:color w:val="auto"/>
              </w:rPr>
            </w:pPr>
            <w:r>
              <w:rPr>
                <w:rFonts w:ascii="Arial" w:cs="Arial" w:eastAsia="Arial" w:hAnsi="Arial"/>
                <w:sz w:val="18"/>
                <w:szCs w:val="18"/>
                <w:b w:val="1"/>
                <w:bCs w:val="1"/>
                <w:color w:val="0000EE"/>
              </w:rPr>
              <w:t>Description of Warrants</w:t>
            </w:r>
          </w:p>
        </w:tc>
        <w:tc>
          <w:tcPr>
            <w:tcW w:w="2100" w:type="dxa"/>
            <w:vAlign w:val="bottom"/>
            <w:gridSpan w:val="6"/>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23</w:t>
            </w:r>
          </w:p>
        </w:tc>
        <w:tc>
          <w:tcPr>
            <w:tcW w:w="0" w:type="dxa"/>
            <w:vAlign w:val="bottom"/>
          </w:tcPr>
          <w:p>
            <w:pPr>
              <w:spacing w:after="0"/>
              <w:rPr>
                <w:sz w:val="1"/>
                <w:szCs w:val="1"/>
                <w:color w:val="auto"/>
              </w:rPr>
            </w:pPr>
          </w:p>
        </w:tc>
      </w:tr>
      <w:tr>
        <w:trPr>
          <w:trHeight w:val="196"/>
        </w:trPr>
        <w:tc>
          <w:tcPr>
            <w:tcW w:w="1540" w:type="dxa"/>
            <w:vAlign w:val="bottom"/>
            <w:tcBorders>
              <w:top w:val="single" w:sz="8" w:color="0000EE"/>
              <w:bottom w:val="single" w:sz="8" w:color="0000EE"/>
            </w:tcBorders>
            <w:gridSpan w:val="7"/>
          </w:tcPr>
          <w:p>
            <w:pPr>
              <w:spacing w:after="0" w:line="196" w:lineRule="exact"/>
              <w:rPr>
                <w:sz w:val="20"/>
                <w:szCs w:val="20"/>
                <w:color w:val="auto"/>
              </w:rPr>
            </w:pPr>
            <w:r>
              <w:rPr>
                <w:rFonts w:ascii="Arial" w:cs="Arial" w:eastAsia="Arial" w:hAnsi="Arial"/>
                <w:sz w:val="18"/>
                <w:szCs w:val="18"/>
                <w:b w:val="1"/>
                <w:bCs w:val="1"/>
                <w:color w:val="0000EE"/>
                <w:w w:val="88"/>
              </w:rPr>
              <w:t>Description of Units</w:t>
            </w:r>
          </w:p>
        </w:tc>
        <w:tc>
          <w:tcPr>
            <w:tcW w:w="320" w:type="dxa"/>
            <w:vAlign w:val="bottom"/>
            <w:tcBorders>
              <w:top w:val="single" w:sz="8" w:color="0000EE"/>
            </w:tcBorders>
            <w:gridSpan w:val="2"/>
          </w:tcPr>
          <w:p>
            <w:pPr>
              <w:spacing w:after="0"/>
              <w:rPr>
                <w:sz w:val="17"/>
                <w:szCs w:val="17"/>
                <w:color w:val="auto"/>
              </w:rPr>
            </w:pPr>
          </w:p>
        </w:tc>
        <w:tc>
          <w:tcPr>
            <w:tcW w:w="2400" w:type="dxa"/>
            <w:vAlign w:val="bottom"/>
            <w:gridSpan w:val="7"/>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24</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Plan of Distribution</w:t>
            </w: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25</w:t>
            </w:r>
          </w:p>
        </w:tc>
        <w:tc>
          <w:tcPr>
            <w:tcW w:w="0" w:type="dxa"/>
            <w:vAlign w:val="bottom"/>
          </w:tcPr>
          <w:p>
            <w:pPr>
              <w:spacing w:after="0"/>
              <w:rPr>
                <w:sz w:val="1"/>
                <w:szCs w:val="1"/>
                <w:color w:val="auto"/>
              </w:rPr>
            </w:pPr>
          </w:p>
        </w:tc>
      </w:tr>
      <w:tr>
        <w:trPr>
          <w:trHeight w:val="196"/>
        </w:trPr>
        <w:tc>
          <w:tcPr>
            <w:tcW w:w="1520" w:type="dxa"/>
            <w:vAlign w:val="bottom"/>
            <w:tcBorders>
              <w:top w:val="single" w:sz="8" w:color="0000EE"/>
            </w:tcBorders>
            <w:gridSpan w:val="6"/>
          </w:tcPr>
          <w:p>
            <w:pPr>
              <w:spacing w:after="0" w:line="196" w:lineRule="exact"/>
              <w:rPr>
                <w:sz w:val="20"/>
                <w:szCs w:val="20"/>
                <w:color w:val="auto"/>
              </w:rPr>
            </w:pPr>
            <w:r>
              <w:rPr>
                <w:rFonts w:ascii="Arial" w:cs="Arial" w:eastAsia="Arial" w:hAnsi="Arial"/>
                <w:sz w:val="18"/>
                <w:szCs w:val="18"/>
                <w:b w:val="1"/>
                <w:bCs w:val="1"/>
                <w:color w:val="0000EE"/>
              </w:rPr>
              <w:t>Legal Matters</w:t>
            </w:r>
          </w:p>
        </w:tc>
        <w:tc>
          <w:tcPr>
            <w:tcW w:w="2740" w:type="dxa"/>
            <w:vAlign w:val="bottom"/>
            <w:gridSpan w:val="10"/>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r>
        <w:trPr>
          <w:trHeight w:val="196"/>
        </w:trPr>
        <w:tc>
          <w:tcPr>
            <w:tcW w:w="600" w:type="dxa"/>
            <w:vAlign w:val="bottom"/>
            <w:tcBorders>
              <w:top w:val="single" w:sz="8" w:color="0000EE"/>
              <w:bottom w:val="single" w:sz="8" w:color="0000EE"/>
            </w:tcBorders>
          </w:tcPr>
          <w:p>
            <w:pPr>
              <w:spacing w:after="0" w:line="196" w:lineRule="exact"/>
              <w:rPr>
                <w:sz w:val="20"/>
                <w:szCs w:val="20"/>
                <w:color w:val="auto"/>
              </w:rPr>
            </w:pPr>
            <w:r>
              <w:rPr>
                <w:rFonts w:ascii="Arial" w:cs="Arial" w:eastAsia="Arial" w:hAnsi="Arial"/>
                <w:sz w:val="18"/>
                <w:szCs w:val="18"/>
                <w:b w:val="1"/>
                <w:bCs w:val="1"/>
                <w:color w:val="0000EE"/>
                <w:w w:val="87"/>
              </w:rPr>
              <w:t>Experts</w:t>
            </w:r>
          </w:p>
        </w:tc>
        <w:tc>
          <w:tcPr>
            <w:tcW w:w="480" w:type="dxa"/>
            <w:vAlign w:val="bottom"/>
            <w:tcBorders>
              <w:top w:val="single" w:sz="8" w:color="0000EE"/>
            </w:tcBorders>
            <w:gridSpan w:val="2"/>
          </w:tcPr>
          <w:p>
            <w:pPr>
              <w:spacing w:after="0"/>
              <w:rPr>
                <w:sz w:val="17"/>
                <w:szCs w:val="17"/>
                <w:color w:val="auto"/>
              </w:rPr>
            </w:pPr>
          </w:p>
        </w:tc>
        <w:tc>
          <w:tcPr>
            <w:tcW w:w="3180" w:type="dxa"/>
            <w:vAlign w:val="bottom"/>
            <w:gridSpan w:val="13"/>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40"/>
          </w:cols>
          <w:pgMar w:left="320" w:top="459" w:right="439" w:bottom="1440" w:gutter="0" w:footer="0" w:header="0"/>
        </w:sectPr>
      </w:pPr>
    </w:p>
    <w:bookmarkStart w:id="56" w:name="page57"/>
    <w:bookmarkEnd w:id="5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2"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ABOUT THIS PROSPECTUS</w:t>
      </w:r>
    </w:p>
    <w:p>
      <w:pPr>
        <w:spacing w:after="0" w:line="227" w:lineRule="exact"/>
        <w:rPr>
          <w:sz w:val="20"/>
          <w:szCs w:val="20"/>
          <w:color w:val="auto"/>
        </w:rPr>
      </w:pPr>
    </w:p>
    <w:p>
      <w:pPr>
        <w:jc w:val="both"/>
        <w:ind w:left="120" w:right="120" w:firstLine="440"/>
        <w:spacing w:after="0" w:line="261" w:lineRule="auto"/>
        <w:rPr>
          <w:sz w:val="20"/>
          <w:szCs w:val="20"/>
          <w:color w:val="auto"/>
        </w:rPr>
      </w:pPr>
      <w:r>
        <w:rPr>
          <w:rFonts w:ascii="Arial" w:cs="Arial" w:eastAsia="Arial" w:hAnsi="Arial"/>
          <w:sz w:val="17"/>
          <w:szCs w:val="17"/>
          <w:color w:val="auto"/>
        </w:rPr>
        <w:t>This prospectus is part of a registration statement that we filed with the Securities and Exchange Commission (the “SEC”) utilizing a “shelf” registration process. Under this shelf registration process, we may, from time to time, sell up to $1,232,259,000 of the securities described in this prospectus in one or more offerings.</w:t>
      </w:r>
    </w:p>
    <w:p>
      <w:pPr>
        <w:spacing w:after="0" w:line="186" w:lineRule="exact"/>
        <w:rPr>
          <w:sz w:val="20"/>
          <w:szCs w:val="20"/>
          <w:color w:val="auto"/>
        </w:rPr>
      </w:pPr>
    </w:p>
    <w:p>
      <w:pPr>
        <w:ind w:left="120" w:right="160" w:firstLine="440"/>
        <w:spacing w:after="0" w:line="278"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70"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78" w:lineRule="exact"/>
        <w:rPr>
          <w:sz w:val="20"/>
          <w:szCs w:val="20"/>
          <w:color w:val="auto"/>
        </w:rPr>
      </w:pPr>
    </w:p>
    <w:p>
      <w:pPr>
        <w:ind w:left="120" w:right="40" w:firstLine="440"/>
        <w:spacing w:after="0" w:line="274" w:lineRule="auto"/>
        <w:rPr>
          <w:sz w:val="20"/>
          <w:szCs w:val="20"/>
          <w:color w:val="auto"/>
        </w:rPr>
      </w:pPr>
      <w:r>
        <w:rPr>
          <w:rFonts w:ascii="Arial" w:cs="Arial" w:eastAsia="Arial" w:hAnsi="Arial"/>
          <w:sz w:val="16"/>
          <w:szCs w:val="16"/>
          <w:color w:val="auto"/>
        </w:rPr>
        <w:t>In this prospectus, unless otherwise stated, the terms “we,” “us,” “our” and the “Company” refer to Marvell Technology, Inc. and its consolidated subsidiaries. On April 20, 2021, Marvell Technology Group, Ltd. (“MTGL”) completed its acquisition of Inphi Corporation (“Inphi”). MTGL and Inphi became wholly owned subsidiaries of the new parent company, Marvell Technology, Inc., on April 20, 2021. Prior to April 20, 2021, MTGL was the public reporting company and Marvell Technology, Inc. is the successor public reporting company to MTGL. This shelf registration statement and prospectus replaces the shelf registration statement and prospectus initially filed by MTGL on March 23, 2020 and deregistered on April 20, 2021.</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fiscal year ends on the Saturday nearest January 31.</w:t>
      </w:r>
    </w:p>
    <w:p>
      <w:pPr>
        <w:spacing w:after="0" w:line="200" w:lineRule="exact"/>
        <w:rPr>
          <w:sz w:val="20"/>
          <w:szCs w:val="20"/>
          <w:color w:val="auto"/>
        </w:rPr>
      </w:pPr>
    </w:p>
    <w:p>
      <w:pPr>
        <w:spacing w:after="0" w:line="235"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WHERE YOU CAN FIND MORE INFORMATION</w:t>
      </w:r>
    </w:p>
    <w:p>
      <w:pPr>
        <w:spacing w:after="0" w:line="227" w:lineRule="exact"/>
        <w:rPr>
          <w:sz w:val="20"/>
          <w:szCs w:val="20"/>
          <w:color w:val="auto"/>
        </w:rPr>
      </w:pPr>
    </w:p>
    <w:p>
      <w:pPr>
        <w:ind w:left="120" w:right="20" w:firstLine="440"/>
        <w:spacing w:after="0" w:line="274" w:lineRule="auto"/>
        <w:rPr>
          <w:sz w:val="20"/>
          <w:szCs w:val="20"/>
          <w:color w:val="auto"/>
        </w:rPr>
      </w:pPr>
      <w:r>
        <w:rPr>
          <w:rFonts w:ascii="Arial" w:cs="Arial" w:eastAsia="Arial" w:hAnsi="Arial"/>
          <w:sz w:val="17"/>
          <w:szCs w:val="17"/>
          <w:color w:val="auto"/>
        </w:rPr>
        <w:t>We file annual, quarterly and current reports, proxy statements and other information and documents with the SEC. You may read and copy any document we file with the SEC:</w:t>
      </w:r>
    </w:p>
    <w:p>
      <w:pPr>
        <w:spacing w:after="0" w:line="80" w:lineRule="exact"/>
        <w:rPr>
          <w:sz w:val="20"/>
          <w:szCs w:val="20"/>
          <w:color w:val="auto"/>
        </w:rPr>
      </w:pPr>
    </w:p>
    <w:p>
      <w:pPr>
        <w:ind w:left="980" w:hanging="432"/>
        <w:spacing w:after="0" w:line="261" w:lineRule="auto"/>
        <w:tabs>
          <w:tab w:leader="none" w:pos="9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91" w:lineRule="exact"/>
        <w:rPr>
          <w:rFonts w:ascii="Arial" w:cs="Arial" w:eastAsia="Arial" w:hAnsi="Arial"/>
          <w:sz w:val="17"/>
          <w:szCs w:val="17"/>
          <w:color w:val="auto"/>
        </w:rPr>
      </w:pPr>
    </w:p>
    <w:p>
      <w:pPr>
        <w:ind w:left="980" w:hanging="432"/>
        <w:spacing w:after="0"/>
        <w:tabs>
          <w:tab w:leader="none" w:pos="9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on the SEC website located at www.sec.gov.</w:t>
      </w:r>
    </w:p>
    <w:p>
      <w:pPr>
        <w:spacing w:after="0" w:line="223" w:lineRule="exact"/>
        <w:rPr>
          <w:sz w:val="20"/>
          <w:szCs w:val="20"/>
          <w:color w:val="auto"/>
        </w:rPr>
      </w:pPr>
    </w:p>
    <w:p>
      <w:pPr>
        <w:ind w:left="120" w:right="20" w:firstLine="440"/>
        <w:spacing w:after="0" w:line="252" w:lineRule="auto"/>
        <w:rPr>
          <w:sz w:val="20"/>
          <w:szCs w:val="20"/>
          <w:color w:val="auto"/>
        </w:rPr>
      </w:pPr>
      <w:r>
        <w:rPr>
          <w:rFonts w:ascii="Arial" w:cs="Arial" w:eastAsia="Arial" w:hAnsi="Arial"/>
          <w:sz w:val="17"/>
          <w:szCs w:val="17"/>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7"/>
          <w:szCs w:val="17"/>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120"/>
          </w:cols>
          <w:pgMar w:left="320" w:top="459" w:right="459" w:bottom="1440" w:gutter="0" w:footer="0" w:header="0"/>
        </w:sectPr>
      </w:pPr>
    </w:p>
    <w:bookmarkStart w:id="57" w:name="page58"/>
    <w:bookmarkEnd w:id="5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532"/>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82">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our definitive proxy statement on </w:t>
      </w:r>
      <w:hyperlink r:id="rId83">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 xml:space="preserve">our Quarterly Reports on Form 10-Q for the period ended May 1, 2021, as filed with the SEC on </w:t>
      </w:r>
      <w:hyperlink r:id="rId84">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85">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20" w:hanging="532"/>
        <w:spacing w:after="0" w:line="277" w:lineRule="auto"/>
        <w:tabs>
          <w:tab w:leader="none" w:pos="1080" w:val="left"/>
        </w:tabs>
        <w:numPr>
          <w:ilvl w:val="0"/>
          <w:numId w:val="44"/>
        </w:numPr>
        <w:rPr>
          <w:rFonts w:ascii="Arial" w:cs="Arial" w:eastAsia="Arial" w:hAnsi="Arial"/>
          <w:sz w:val="18"/>
          <w:szCs w:val="18"/>
          <w:color w:val="0000EE"/>
        </w:rPr>
      </w:pPr>
      <w:hyperlink r:id="rId86">
        <w:r>
          <w:rPr>
            <w:rFonts w:ascii="Arial" w:cs="Arial" w:eastAsia="Arial" w:hAnsi="Arial"/>
            <w:sz w:val="18"/>
            <w:szCs w:val="18"/>
            <w:color w:val="auto"/>
          </w:rPr>
          <w:t xml:space="preserve">Our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86">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87">
        <w:r>
          <w:rPr>
            <w:rFonts w:ascii="Arial" w:cs="Arial" w:eastAsia="Arial" w:hAnsi="Arial"/>
            <w:sz w:val="18"/>
            <w:szCs w:val="18"/>
            <w:u w:val="single" w:color="auto"/>
            <w:color w:val="0000EE"/>
          </w:rPr>
          <w:t>April 16, 2021</w:t>
        </w:r>
      </w:hyperlink>
      <w:hyperlink r:id="rId86">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88">
        <w:r>
          <w:rPr>
            <w:rFonts w:ascii="Arial" w:cs="Arial" w:eastAsia="Arial" w:hAnsi="Arial"/>
            <w:sz w:val="18"/>
            <w:szCs w:val="18"/>
            <w:u w:val="single" w:color="auto"/>
            <w:color w:val="0000EE"/>
          </w:rPr>
          <w:t xml:space="preserve">April 19, 2021 </w:t>
        </w:r>
      </w:hyperlink>
      <w:hyperlink r:id="rId86">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89">
        <w:r>
          <w:rPr>
            <w:rFonts w:ascii="Arial" w:cs="Arial" w:eastAsia="Arial" w:hAnsi="Arial"/>
            <w:sz w:val="18"/>
            <w:szCs w:val="18"/>
            <w:u w:val="single" w:color="auto"/>
            <w:color w:val="0000EE"/>
          </w:rPr>
          <w:t>April 20, 2021</w:t>
        </w:r>
      </w:hyperlink>
      <w:hyperlink r:id="rId86">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hanging="532"/>
        <w:spacing w:after="0"/>
        <w:tabs>
          <w:tab w:leader="none" w:pos="1080" w:val="left"/>
        </w:tabs>
        <w:numPr>
          <w:ilvl w:val="0"/>
          <w:numId w:val="44"/>
        </w:numPr>
        <w:rPr>
          <w:rFonts w:ascii="Arial" w:cs="Arial" w:eastAsia="Arial" w:hAnsi="Arial"/>
          <w:sz w:val="17"/>
          <w:szCs w:val="17"/>
          <w:color w:val="auto"/>
        </w:rPr>
      </w:pPr>
      <w:r>
        <w:rPr>
          <w:rFonts w:ascii="Arial" w:cs="Arial" w:eastAsia="Arial" w:hAnsi="Arial"/>
          <w:sz w:val="17"/>
          <w:szCs w:val="17"/>
          <w:color w:val="auto"/>
        </w:rPr>
        <w:t xml:space="preserve">the Current Reports on Form 8-K filed with the SEC on </w:t>
      </w:r>
      <w:hyperlink r:id="rId90">
        <w:r>
          <w:rPr>
            <w:rFonts w:ascii="Arial" w:cs="Arial" w:eastAsia="Arial" w:hAnsi="Arial"/>
            <w:sz w:val="17"/>
            <w:szCs w:val="17"/>
            <w:u w:val="single" w:color="auto"/>
            <w:color w:val="0000EE"/>
          </w:rPr>
          <w:t>April 21, 2021</w:t>
        </w:r>
      </w:hyperlink>
      <w:r>
        <w:rPr>
          <w:rFonts w:ascii="Arial" w:cs="Arial" w:eastAsia="Arial" w:hAnsi="Arial"/>
          <w:sz w:val="17"/>
          <w:szCs w:val="17"/>
          <w:color w:val="auto"/>
        </w:rPr>
        <w:t xml:space="preserve">, </w:t>
      </w:r>
      <w:hyperlink r:id="rId91">
        <w:r>
          <w:rPr>
            <w:rFonts w:ascii="Arial" w:cs="Arial" w:eastAsia="Arial" w:hAnsi="Arial"/>
            <w:sz w:val="17"/>
            <w:szCs w:val="17"/>
            <w:u w:val="single" w:color="auto"/>
            <w:color w:val="0000EE"/>
          </w:rPr>
          <w:t>May 3, 2021</w:t>
        </w:r>
      </w:hyperlink>
      <w:r>
        <w:rPr>
          <w:rFonts w:ascii="Arial" w:cs="Arial" w:eastAsia="Arial" w:hAnsi="Arial"/>
          <w:sz w:val="17"/>
          <w:szCs w:val="17"/>
          <w:color w:val="auto"/>
        </w:rPr>
        <w:t xml:space="preserve">, </w:t>
      </w:r>
      <w:hyperlink r:id="rId92">
        <w:r>
          <w:rPr>
            <w:rFonts w:ascii="Arial" w:cs="Arial" w:eastAsia="Arial" w:hAnsi="Arial"/>
            <w:sz w:val="17"/>
            <w:szCs w:val="17"/>
            <w:u w:val="single" w:color="auto"/>
            <w:color w:val="0000EE"/>
          </w:rPr>
          <w:t>May 4, 2021</w:t>
        </w:r>
      </w:hyperlink>
      <w:r>
        <w:rPr>
          <w:rFonts w:ascii="Arial" w:cs="Arial" w:eastAsia="Arial" w:hAnsi="Arial"/>
          <w:sz w:val="17"/>
          <w:szCs w:val="17"/>
          <w:color w:val="auto"/>
        </w:rPr>
        <w:t xml:space="preserve">, </w:t>
      </w:r>
      <w:hyperlink r:id="rId93">
        <w:r>
          <w:rPr>
            <w:rFonts w:ascii="Arial" w:cs="Arial" w:eastAsia="Arial" w:hAnsi="Arial"/>
            <w:sz w:val="17"/>
            <w:szCs w:val="17"/>
            <w:u w:val="single" w:color="auto"/>
            <w:color w:val="0000EE"/>
          </w:rPr>
          <w:t>June 3, 2021</w:t>
        </w:r>
      </w:hyperlink>
      <w:r>
        <w:rPr>
          <w:rFonts w:ascii="Arial" w:cs="Arial" w:eastAsia="Arial" w:hAnsi="Arial"/>
          <w:sz w:val="17"/>
          <w:szCs w:val="17"/>
          <w:color w:val="auto"/>
        </w:rPr>
        <w:t xml:space="preserve">, </w:t>
      </w:r>
      <w:hyperlink r:id="rId94">
        <w:r>
          <w:rPr>
            <w:rFonts w:ascii="Arial" w:cs="Arial" w:eastAsia="Arial" w:hAnsi="Arial"/>
            <w:sz w:val="17"/>
            <w:szCs w:val="17"/>
            <w:u w:val="single" w:color="auto"/>
            <w:color w:val="0000EE"/>
          </w:rPr>
          <w:t>July 20, 2021</w:t>
        </w:r>
      </w:hyperlink>
      <w:r>
        <w:rPr>
          <w:rFonts w:ascii="Arial" w:cs="Arial" w:eastAsia="Arial" w:hAnsi="Arial"/>
          <w:sz w:val="17"/>
          <w:szCs w:val="17"/>
          <w:color w:val="auto"/>
        </w:rPr>
        <w:t>,</w:t>
      </w:r>
    </w:p>
    <w:p>
      <w:pPr>
        <w:spacing w:after="0" w:line="34" w:lineRule="exact"/>
        <w:rPr>
          <w:rFonts w:ascii="Arial" w:cs="Arial" w:eastAsia="Arial" w:hAnsi="Arial"/>
          <w:sz w:val="17"/>
          <w:szCs w:val="17"/>
          <w:color w:val="auto"/>
        </w:rPr>
      </w:pPr>
    </w:p>
    <w:p>
      <w:pPr>
        <w:ind w:left="1080"/>
        <w:spacing w:after="0" w:line="260" w:lineRule="auto"/>
        <w:rPr>
          <w:rFonts w:ascii="Arial" w:cs="Arial" w:eastAsia="Arial" w:hAnsi="Arial"/>
          <w:sz w:val="18"/>
          <w:szCs w:val="18"/>
          <w:color w:val="000000"/>
        </w:rPr>
      </w:pPr>
      <w:hyperlink r:id="rId95">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96">
        <w:r>
          <w:rPr>
            <w:rFonts w:ascii="Arial" w:cs="Arial" w:eastAsia="Arial" w:hAnsi="Arial"/>
            <w:sz w:val="18"/>
            <w:szCs w:val="18"/>
            <w:u w:val="single" w:color="auto"/>
            <w:color w:val="0000EE"/>
          </w:rPr>
          <w:t xml:space="preserve">August 27, 2021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our Form 8-K12B filed</w:t>
      </w:r>
      <w:r>
        <w:rPr>
          <w:rFonts w:ascii="Arial" w:cs="Arial" w:eastAsia="Arial" w:hAnsi="Arial"/>
          <w:sz w:val="18"/>
          <w:szCs w:val="18"/>
          <w:color w:val="0000EE"/>
        </w:rPr>
        <w:t xml:space="preserve"> </w:t>
      </w:r>
      <w:r>
        <w:rPr>
          <w:rFonts w:ascii="Arial" w:cs="Arial" w:eastAsia="Arial" w:hAnsi="Arial"/>
          <w:sz w:val="18"/>
          <w:szCs w:val="18"/>
          <w:color w:val="000000"/>
        </w:rPr>
        <w:t xml:space="preserve">with the SEC on </w:t>
      </w:r>
      <w:hyperlink r:id="rId97">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5" w:lineRule="exact"/>
        <w:rPr>
          <w:rFonts w:ascii="Arial" w:cs="Arial" w:eastAsia="Arial" w:hAnsi="Arial"/>
          <w:sz w:val="18"/>
          <w:szCs w:val="18"/>
          <w:color w:val="0000EE"/>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0000EE"/>
        </w:rPr>
      </w:pPr>
    </w:p>
    <w:p>
      <w:pPr>
        <w:jc w:val="both"/>
        <w:ind w:left="120" w:right="40" w:firstLine="440"/>
        <w:spacing w:after="0" w:line="263"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6"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c/o Marvell Semiconductor, Inc. 5488 Marvell Lane</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EE"/>
        </w:rPr>
      </w:pPr>
    </w:p>
    <w:p>
      <w:pPr>
        <w:jc w:val="right"/>
        <w:ind w:left="560" w:right="9360" w:hanging="4"/>
        <w:spacing w:after="0" w:line="323" w:lineRule="auto"/>
        <w:tabs>
          <w:tab w:leader="none" w:pos="995" w:val="left"/>
        </w:tabs>
        <w:numPr>
          <w:ilvl w:val="0"/>
          <w:numId w:val="45"/>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0000EE"/>
        </w:rPr>
      </w:pPr>
    </w:p>
    <w:p>
      <w:pPr>
        <w:jc w:val="center"/>
        <w:ind w:right="-1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58" w:name="page59"/>
    <w:bookmarkEnd w:id="5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MTGL’s most recent Annual Report on Form 10-K and our most recent Quarterly Reports on Form 10-Q under the heading “Risk Factors,” which is incorporated herein by reference, as well as those discussed in other documents that are incorporated by reference in this prospectus. We assume no obligation to revise or update any forward-looking statements for any reason, except as required by law.</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120"/>
          </w:cols>
          <w:pgMar w:left="320" w:top="459" w:right="459" w:bottom="1440" w:gutter="0" w:footer="0" w:header="0"/>
        </w:sectPr>
      </w:pPr>
    </w:p>
    <w:bookmarkStart w:id="59" w:name="page60"/>
    <w:bookmarkEnd w:id="5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88"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We maintain a website at www.marvell.com where general information about us is available. We are not incorporating the contents of the website into this prospectus.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60" w:name="page61"/>
    <w:bookmarkEnd w:id="6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jc w:val="both"/>
        <w:ind w:left="120" w:firstLine="440"/>
        <w:spacing w:after="0" w:line="287" w:lineRule="auto"/>
        <w:rPr>
          <w:sz w:val="20"/>
          <w:szCs w:val="20"/>
          <w:color w:val="auto"/>
        </w:rPr>
      </w:pPr>
      <w:r>
        <w:rPr>
          <w:rFonts w:ascii="Arial" w:cs="Arial" w:eastAsia="Arial" w:hAnsi="Arial"/>
          <w:sz w:val="16"/>
          <w:szCs w:val="16"/>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the most recent Annual Report on Form 10-K of MTGL and our most recent Quarterly Reports on Form 10-Q and in other documents that we incorporate by reference in this prospectus.</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See “Where You Can Find More Information.”</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00"/>
          </w:cols>
          <w:pgMar w:left="320" w:top="459" w:right="479" w:bottom="1440" w:gutter="0" w:footer="0" w:header="0"/>
        </w:sectPr>
      </w:pPr>
    </w:p>
    <w:bookmarkStart w:id="61" w:name="page62"/>
    <w:bookmarkEnd w:id="6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62" w:name="page63"/>
    <w:bookmarkEnd w:id="6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6"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We will issue the debt securities in one or more series under the indenture between us and U.S. Bank National Association, as trustee, dated April 12, 2021 (the “indenture”).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6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The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4"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Inc.. and not to any of its subsidiaries. References to the “applicable prospectus supplement” are to the prospectus supplement to this prospectus that describes the specific terms and conditions of a series of debt securities.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229"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63" w:name="page64"/>
    <w:bookmarkEnd w:id="6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120" w:right="180" w:firstLine="440"/>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540" w:hanging="316"/>
        <w:spacing w:after="0"/>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540" w:right="60" w:hanging="316"/>
        <w:spacing w:after="0" w:line="27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540" w:right="160" w:hanging="316"/>
        <w:spacing w:after="0" w:line="308" w:lineRule="auto"/>
        <w:tabs>
          <w:tab w:leader="none" w:pos="540" w:val="left"/>
        </w:tabs>
        <w:numPr>
          <w:ilvl w:val="0"/>
          <w:numId w:val="46"/>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540" w:hanging="316"/>
        <w:spacing w:after="0" w:line="27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540" w:right="120" w:hanging="316"/>
        <w:spacing w:after="0" w:line="296" w:lineRule="auto"/>
        <w:tabs>
          <w:tab w:leader="none" w:pos="5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66" w:lineRule="exact"/>
        <w:rPr>
          <w:rFonts w:ascii="Arial" w:cs="Arial" w:eastAsia="Arial" w:hAnsi="Arial"/>
          <w:sz w:val="16"/>
          <w:szCs w:val="16"/>
          <w:color w:val="auto"/>
        </w:rPr>
      </w:pPr>
    </w:p>
    <w:p>
      <w:pPr>
        <w:ind w:left="540" w:hanging="316"/>
        <w:spacing w:after="0" w:line="311" w:lineRule="auto"/>
        <w:tabs>
          <w:tab w:leader="none" w:pos="5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4" w:lineRule="exact"/>
        <w:rPr>
          <w:rFonts w:ascii="Arial" w:cs="Arial" w:eastAsia="Arial" w:hAnsi="Arial"/>
          <w:sz w:val="16"/>
          <w:szCs w:val="16"/>
          <w:color w:val="auto"/>
        </w:rPr>
      </w:pPr>
    </w:p>
    <w:p>
      <w:pPr>
        <w:ind w:left="540" w:right="60" w:hanging="316"/>
        <w:spacing w:after="0" w:line="263"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89" w:lineRule="exact"/>
        <w:rPr>
          <w:rFonts w:ascii="Arial" w:cs="Arial" w:eastAsia="Arial" w:hAnsi="Arial"/>
          <w:sz w:val="18"/>
          <w:szCs w:val="18"/>
          <w:color w:val="auto"/>
        </w:rPr>
      </w:pPr>
    </w:p>
    <w:p>
      <w:pPr>
        <w:ind w:left="540" w:hanging="316"/>
        <w:spacing w:after="0" w:line="259"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540" w:right="520" w:hanging="316"/>
        <w:spacing w:after="0" w:line="27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20"/>
          </w:cols>
          <w:pgMar w:left="320" w:top="459" w:right="459" w:bottom="1440" w:gutter="0" w:footer="0" w:header="0"/>
        </w:sectPr>
      </w:pPr>
    </w:p>
    <w:bookmarkStart w:id="64" w:name="page65"/>
    <w:bookmarkEnd w:id="6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40" w:hanging="316"/>
        <w:spacing w:after="0"/>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540" w:right="160" w:hanging="316"/>
        <w:spacing w:after="0" w:line="27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75" w:lineRule="exact"/>
        <w:rPr>
          <w:rFonts w:ascii="Arial" w:cs="Arial" w:eastAsia="Arial" w:hAnsi="Arial"/>
          <w:sz w:val="18"/>
          <w:szCs w:val="18"/>
          <w:color w:val="auto"/>
        </w:rPr>
      </w:pPr>
    </w:p>
    <w:p>
      <w:pPr>
        <w:ind w:left="540" w:right="120" w:hanging="316"/>
        <w:spacing w:after="0" w:line="27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75" w:lineRule="exact"/>
        <w:rPr>
          <w:rFonts w:ascii="Arial" w:cs="Arial" w:eastAsia="Arial" w:hAnsi="Arial"/>
          <w:sz w:val="18"/>
          <w:szCs w:val="18"/>
          <w:color w:val="auto"/>
        </w:rPr>
      </w:pPr>
    </w:p>
    <w:p>
      <w:pPr>
        <w:ind w:left="540" w:hanging="316"/>
        <w:spacing w:after="0" w:line="25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93" w:lineRule="exact"/>
        <w:rPr>
          <w:rFonts w:ascii="Arial" w:cs="Arial" w:eastAsia="Arial" w:hAnsi="Arial"/>
          <w:sz w:val="18"/>
          <w:szCs w:val="18"/>
          <w:color w:val="auto"/>
        </w:rPr>
      </w:pPr>
    </w:p>
    <w:p>
      <w:pPr>
        <w:ind w:left="540" w:right="60" w:hanging="316"/>
        <w:spacing w:after="0" w:line="342" w:lineRule="auto"/>
        <w:tabs>
          <w:tab w:leader="none" w:pos="5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29" w:lineRule="exact"/>
        <w:rPr>
          <w:rFonts w:ascii="Arial" w:cs="Arial" w:eastAsia="Arial" w:hAnsi="Arial"/>
          <w:sz w:val="16"/>
          <w:szCs w:val="16"/>
          <w:color w:val="auto"/>
        </w:rPr>
      </w:pPr>
    </w:p>
    <w:p>
      <w:pPr>
        <w:ind w:left="540" w:right="40" w:hanging="316"/>
        <w:spacing w:after="0" w:line="308" w:lineRule="auto"/>
        <w:tabs>
          <w:tab w:leader="none" w:pos="540" w:val="left"/>
        </w:tabs>
        <w:numPr>
          <w:ilvl w:val="0"/>
          <w:numId w:val="47"/>
        </w:numPr>
        <w:rPr>
          <w:rFonts w:ascii="Arial" w:cs="Arial" w:eastAsia="Arial" w:hAnsi="Arial"/>
          <w:sz w:val="17"/>
          <w:szCs w:val="17"/>
          <w:color w:val="auto"/>
        </w:rPr>
      </w:pPr>
      <w:r>
        <w:rPr>
          <w:rFonts w:ascii="Arial" w:cs="Arial" w:eastAsia="Arial" w:hAnsi="Arial"/>
          <w:sz w:val="17"/>
          <w:szCs w:val="17"/>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51" w:lineRule="exact"/>
        <w:rPr>
          <w:rFonts w:ascii="Arial" w:cs="Arial" w:eastAsia="Arial" w:hAnsi="Arial"/>
          <w:sz w:val="17"/>
          <w:szCs w:val="17"/>
          <w:color w:val="auto"/>
        </w:rPr>
      </w:pPr>
    </w:p>
    <w:p>
      <w:pPr>
        <w:ind w:left="540" w:right="60" w:hanging="316"/>
        <w:spacing w:after="0" w:line="25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540" w:right="20" w:hanging="316"/>
        <w:spacing w:after="0" w:line="263"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9" w:lineRule="exact"/>
        <w:rPr>
          <w:rFonts w:ascii="Arial" w:cs="Arial" w:eastAsia="Arial" w:hAnsi="Arial"/>
          <w:sz w:val="18"/>
          <w:szCs w:val="18"/>
          <w:color w:val="auto"/>
        </w:rPr>
      </w:pPr>
    </w:p>
    <w:p>
      <w:pPr>
        <w:ind w:left="540" w:right="260" w:hanging="316"/>
        <w:spacing w:after="0" w:line="25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540" w:right="180" w:hanging="316"/>
        <w:spacing w:after="0" w:line="25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93" w:lineRule="exact"/>
        <w:rPr>
          <w:rFonts w:ascii="Arial" w:cs="Arial" w:eastAsia="Arial" w:hAnsi="Arial"/>
          <w:sz w:val="18"/>
          <w:szCs w:val="18"/>
          <w:color w:val="auto"/>
        </w:rPr>
      </w:pPr>
    </w:p>
    <w:p>
      <w:pPr>
        <w:ind w:left="540" w:right="280" w:hanging="316"/>
        <w:spacing w:after="0" w:line="342" w:lineRule="auto"/>
        <w:tabs>
          <w:tab w:leader="none" w:pos="5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29" w:lineRule="exact"/>
        <w:rPr>
          <w:rFonts w:ascii="Arial" w:cs="Arial" w:eastAsia="Arial" w:hAnsi="Arial"/>
          <w:sz w:val="16"/>
          <w:szCs w:val="16"/>
          <w:color w:val="auto"/>
        </w:rPr>
      </w:pPr>
    </w:p>
    <w:p>
      <w:pPr>
        <w:ind w:left="540" w:hanging="316"/>
        <w:spacing w:after="0"/>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40"/>
          </w:cols>
          <w:pgMar w:left="320" w:top="459" w:right="439" w:bottom="1440" w:gutter="0" w:footer="0" w:header="0"/>
        </w:sectPr>
      </w:pPr>
    </w:p>
    <w:bookmarkStart w:id="65" w:name="page66"/>
    <w:bookmarkEnd w:id="6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40" w:right="80" w:hanging="316"/>
        <w:spacing w:after="0" w:line="263" w:lineRule="auto"/>
        <w:tabs>
          <w:tab w:leader="none" w:pos="5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9" w:lineRule="exact"/>
        <w:rPr>
          <w:rFonts w:ascii="Arial" w:cs="Arial" w:eastAsia="Arial" w:hAnsi="Arial"/>
          <w:sz w:val="18"/>
          <w:szCs w:val="18"/>
          <w:color w:val="auto"/>
        </w:rPr>
      </w:pPr>
    </w:p>
    <w:p>
      <w:pPr>
        <w:ind w:left="540" w:right="200" w:hanging="316"/>
        <w:spacing w:after="0" w:line="263" w:lineRule="auto"/>
        <w:tabs>
          <w:tab w:leader="none" w:pos="5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540" w:right="120" w:hanging="316"/>
        <w:spacing w:after="0" w:line="342" w:lineRule="auto"/>
        <w:tabs>
          <w:tab w:leader="none" w:pos="540" w:val="left"/>
        </w:tabs>
        <w:numPr>
          <w:ilvl w:val="0"/>
          <w:numId w:val="48"/>
        </w:numPr>
        <w:rPr>
          <w:rFonts w:ascii="Arial" w:cs="Arial" w:eastAsia="Arial" w:hAnsi="Arial"/>
          <w:sz w:val="16"/>
          <w:szCs w:val="16"/>
          <w:color w:val="auto"/>
        </w:rPr>
      </w:pPr>
      <w:r>
        <w:rPr>
          <w:rFonts w:ascii="Arial" w:cs="Arial" w:eastAsia="Arial" w:hAnsi="Arial"/>
          <w:sz w:val="16"/>
          <w:szCs w:val="16"/>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29" w:lineRule="exact"/>
        <w:rPr>
          <w:rFonts w:ascii="Arial" w:cs="Arial" w:eastAsia="Arial" w:hAnsi="Arial"/>
          <w:sz w:val="16"/>
          <w:szCs w:val="16"/>
          <w:color w:val="auto"/>
        </w:rPr>
      </w:pPr>
    </w:p>
    <w:p>
      <w:pPr>
        <w:ind w:left="540" w:right="80" w:hanging="316"/>
        <w:spacing w:after="0" w:line="277" w:lineRule="auto"/>
        <w:tabs>
          <w:tab w:leader="none" w:pos="5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540" w:right="200" w:hanging="316"/>
        <w:spacing w:after="0" w:line="277" w:lineRule="auto"/>
        <w:tabs>
          <w:tab w:leader="none" w:pos="5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2"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66" w:name="page67"/>
    <w:bookmarkEnd w:id="6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unless otherwise required by any applicable exchange’s or depositary’s requirements,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92"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6"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67" w:name="page68"/>
    <w:bookmarkEnd w:id="6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 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8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120" w:right="120" w:firstLine="440"/>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D. Jason (Marvell Technology),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5580" w:right="4180" w:hanging="5032"/>
        <w:spacing w:after="0" w:line="449" w:lineRule="auto"/>
        <w:tabs>
          <w:tab w:leader="none" w:pos="1089" w:val="left"/>
        </w:tabs>
        <w:numPr>
          <w:ilvl w:val="0"/>
          <w:numId w:val="49"/>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 9</w:t>
      </w:r>
    </w:p>
    <w:p>
      <w:pPr>
        <w:sectPr>
          <w:pgSz w:w="11900" w:h="16838" w:orient="portrait"/>
          <w:cols w:equalWidth="0" w:num="1">
            <w:col w:w="11120"/>
          </w:cols>
          <w:pgMar w:left="320" w:top="459" w:right="459" w:bottom="1440" w:gutter="0" w:footer="0" w:header="0"/>
        </w:sectPr>
      </w:pPr>
    </w:p>
    <w:bookmarkStart w:id="68" w:name="page69"/>
    <w:bookmarkEnd w:id="6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right="80" w:hanging="532"/>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120" w:right="12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151" w:lineRule="exact"/>
        <w:rPr>
          <w:sz w:val="20"/>
          <w:szCs w:val="20"/>
          <w:color w:val="auto"/>
        </w:rPr>
      </w:pPr>
    </w:p>
    <w:p>
      <w:pPr>
        <w:ind w:left="1080" w:hanging="532"/>
        <w:spacing w:after="0" w:line="273" w:lineRule="auto"/>
        <w:tabs>
          <w:tab w:leader="none" w:pos="1080" w:val="left"/>
        </w:tabs>
        <w:numPr>
          <w:ilvl w:val="0"/>
          <w:numId w:val="51"/>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51"/>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6" w:lineRule="exact"/>
        <w:rPr>
          <w:sz w:val="20"/>
          <w:szCs w:val="20"/>
          <w:color w:val="auto"/>
        </w:rPr>
      </w:pPr>
    </w:p>
    <w:p>
      <w:pPr>
        <w:ind w:left="120" w:right="220"/>
        <w:spacing w:after="0" w:line="263"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4"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 xml:space="preserve">Payments of Additional Amounts. </w:t>
      </w:r>
      <w:r>
        <w:rPr>
          <w:rFonts w:ascii="Arial" w:cs="Arial" w:eastAsia="Arial" w:hAnsi="Arial"/>
          <w:sz w:val="18"/>
          <w:szCs w:val="18"/>
          <w:color w:val="auto"/>
        </w:rPr>
        <w:t>If we consolidate with or merge with or into another company and the resulting, surviving or transferee company is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not organized and existing under the laws of the United States of</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69" w:name="page70"/>
    <w:bookmarkEnd w:id="6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60"/>
        <w:spacing w:after="0" w:line="286" w:lineRule="auto"/>
        <w:rPr>
          <w:sz w:val="20"/>
          <w:szCs w:val="20"/>
          <w:color w:val="auto"/>
        </w:rPr>
      </w:pPr>
      <w:r>
        <w:rPr>
          <w:rFonts w:ascii="Arial" w:cs="Arial" w:eastAsia="Arial" w:hAnsi="Arial"/>
          <w:sz w:val="16"/>
          <w:szCs w:val="16"/>
          <w:color w:val="auto"/>
        </w:rPr>
        <w:t>America, any State thereof or the District of Columbia (such company or any successor thereto, the “surviving entity”), then the surviving entity will make all payments of principal of and premium, if any, interest and any other amounts on, or in respect of, 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any jurisdiction in which the surviving entity is considered to 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53"/>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20" w:hanging="532"/>
        <w:spacing w:after="0" w:line="275" w:lineRule="auto"/>
        <w:tabs>
          <w:tab w:leader="none" w:pos="1080" w:val="left"/>
        </w:tabs>
        <w:numPr>
          <w:ilvl w:val="0"/>
          <w:numId w:val="53"/>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1" w:lineRule="exact"/>
        <w:rPr>
          <w:rFonts w:ascii="Arial" w:cs="Arial" w:eastAsia="Arial" w:hAnsi="Arial"/>
          <w:sz w:val="17"/>
          <w:szCs w:val="17"/>
          <w:color w:val="auto"/>
        </w:rPr>
      </w:pPr>
    </w:p>
    <w:p>
      <w:pPr>
        <w:jc w:val="both"/>
        <w:ind w:left="1080" w:right="100" w:hanging="532"/>
        <w:spacing w:after="0" w:line="311" w:lineRule="auto"/>
        <w:tabs>
          <w:tab w:leader="none" w:pos="1080" w:val="left"/>
        </w:tabs>
        <w:numPr>
          <w:ilvl w:val="0"/>
          <w:numId w:val="53"/>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70" w:name="page71"/>
    <w:bookmarkEnd w:id="7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87"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6" w:lineRule="exact"/>
        <w:rPr>
          <w:sz w:val="20"/>
          <w:szCs w:val="20"/>
          <w:color w:val="auto"/>
        </w:rPr>
      </w:pPr>
    </w:p>
    <w:p>
      <w:pPr>
        <w:ind w:left="120" w:right="10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8"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w:t>
      </w:r>
    </w:p>
    <w:p>
      <w:pPr>
        <w:spacing w:after="0" w:line="2" w:lineRule="exact"/>
        <w:rPr>
          <w:sz w:val="20"/>
          <w:szCs w:val="20"/>
          <w:color w:val="auto"/>
        </w:rPr>
      </w:pPr>
    </w:p>
    <w:p>
      <w:pPr>
        <w:ind w:left="120" w:right="400"/>
        <w:spacing w:after="0" w:line="323" w:lineRule="auto"/>
        <w:rPr>
          <w:sz w:val="20"/>
          <w:szCs w:val="20"/>
          <w:color w:val="auto"/>
        </w:rPr>
      </w:pPr>
      <w:r>
        <w:rPr>
          <w:rFonts w:ascii="Arial" w:cs="Arial" w:eastAsia="Arial" w:hAnsi="Arial"/>
          <w:sz w:val="16"/>
          <w:szCs w:val="16"/>
          <w:color w:val="auto"/>
        </w:rPr>
        <w:t>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38" w:lineRule="exact"/>
        <w:rPr>
          <w:sz w:val="20"/>
          <w:szCs w:val="20"/>
          <w:color w:val="auto"/>
        </w:rPr>
      </w:pPr>
    </w:p>
    <w:p>
      <w:pPr>
        <w:ind w:left="120" w:right="180" w:firstLine="440"/>
        <w:spacing w:after="0" w:line="311" w:lineRule="auto"/>
        <w:rPr>
          <w:sz w:val="20"/>
          <w:szCs w:val="20"/>
          <w:color w:val="auto"/>
        </w:rPr>
      </w:pPr>
      <w:r>
        <w:rPr>
          <w:rFonts w:ascii="Arial" w:cs="Arial" w:eastAsia="Arial" w:hAnsi="Arial"/>
          <w:sz w:val="16"/>
          <w:szCs w:val="16"/>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71" w:name="page72"/>
    <w:bookmarkEnd w:id="7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340"/>
        <w:spacing w:after="0" w:line="259" w:lineRule="auto"/>
        <w:rPr>
          <w:sz w:val="20"/>
          <w:szCs w:val="20"/>
          <w:color w:val="auto"/>
        </w:rPr>
      </w:pPr>
      <w:r>
        <w:rPr>
          <w:rFonts w:ascii="Arial" w:cs="Arial" w:eastAsia="Arial" w:hAnsi="Arial"/>
          <w:sz w:val="18"/>
          <w:szCs w:val="18"/>
          <w:color w:val="auto"/>
        </w:rPr>
        <w:t>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 except as set forth in the applicable prospectus supplement::</w:t>
      </w:r>
    </w:p>
    <w:p>
      <w:pPr>
        <w:spacing w:after="0" w:line="92" w:lineRule="exact"/>
        <w:rPr>
          <w:sz w:val="20"/>
          <w:szCs w:val="20"/>
          <w:color w:val="auto"/>
        </w:rPr>
      </w:pPr>
    </w:p>
    <w:p>
      <w:pPr>
        <w:ind w:left="1080" w:hanging="532"/>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80" w:right="320" w:hanging="532"/>
        <w:spacing w:after="0" w:line="275" w:lineRule="auto"/>
        <w:tabs>
          <w:tab w:leader="none" w:pos="1080" w:val="left"/>
        </w:tabs>
        <w:numPr>
          <w:ilvl w:val="0"/>
          <w:numId w:val="54"/>
        </w:numPr>
        <w:rPr>
          <w:rFonts w:ascii="Arial" w:cs="Arial" w:eastAsia="Arial" w:hAnsi="Arial"/>
          <w:sz w:val="17"/>
          <w:szCs w:val="17"/>
          <w:color w:val="auto"/>
        </w:rPr>
      </w:pPr>
      <w:r>
        <w:rPr>
          <w:rFonts w:ascii="Arial" w:cs="Arial" w:eastAsia="Arial" w:hAnsi="Arial"/>
          <w:sz w:val="17"/>
          <w:szCs w:val="17"/>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81" w:lineRule="exact"/>
        <w:rPr>
          <w:rFonts w:ascii="Arial" w:cs="Arial" w:eastAsia="Arial" w:hAnsi="Arial"/>
          <w:sz w:val="17"/>
          <w:szCs w:val="17"/>
          <w:color w:val="auto"/>
        </w:rPr>
      </w:pPr>
    </w:p>
    <w:p>
      <w:pPr>
        <w:ind w:left="1080" w:hanging="532"/>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7"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72" w:name="page73"/>
    <w:bookmarkEnd w:id="7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80" w:right="300" w:hanging="532"/>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the trustee has been offered indemnity satisfactory to it against its costs, expenses and liabilities in complying with such request;</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4" w:lineRule="exact"/>
        <w:rPr>
          <w:sz w:val="20"/>
          <w:szCs w:val="20"/>
          <w:color w:val="auto"/>
        </w:rPr>
      </w:pPr>
    </w:p>
    <w:p>
      <w:pPr>
        <w:ind w:left="1080" w:hanging="532"/>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80" w:right="160" w:hanging="532"/>
        <w:spacing w:after="0" w:line="259"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80" w:right="620" w:hanging="532"/>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80" w:right="40" w:hanging="532"/>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73" w:name="page74"/>
    <w:bookmarkEnd w:id="7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right="440" w:hanging="532"/>
        <w:spacing w:after="0" w:line="277"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80" w:right="220" w:hanging="532"/>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89" w:lineRule="exact"/>
        <w:rPr>
          <w:rFonts w:ascii="Arial" w:cs="Arial" w:eastAsia="Arial" w:hAnsi="Arial"/>
          <w:sz w:val="18"/>
          <w:szCs w:val="18"/>
          <w:color w:val="auto"/>
        </w:rPr>
      </w:pPr>
    </w:p>
    <w:p>
      <w:pPr>
        <w:jc w:val="both"/>
        <w:ind w:left="1080" w:right="80" w:hanging="532"/>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9" w:lineRule="exact"/>
        <w:rPr>
          <w:rFonts w:ascii="Arial" w:cs="Arial" w:eastAsia="Arial" w:hAnsi="Arial"/>
          <w:sz w:val="18"/>
          <w:szCs w:val="18"/>
          <w:color w:val="auto"/>
        </w:rPr>
      </w:pPr>
    </w:p>
    <w:p>
      <w:pPr>
        <w:ind w:left="1080" w:right="500" w:hanging="532"/>
        <w:spacing w:after="0" w:line="308" w:lineRule="auto"/>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6"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80" w:hanging="532"/>
        <w:spacing w:after="0" w:line="263"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20" w:hanging="532"/>
        <w:spacing w:after="0" w:line="342" w:lineRule="auto"/>
        <w:tabs>
          <w:tab w:leader="none" w:pos="108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jc w:val="both"/>
        <w:ind w:left="1080" w:right="120" w:hanging="532"/>
        <w:spacing w:after="0" w:line="263"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right="260" w:hanging="532"/>
        <w:spacing w:after="0" w:line="277"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facilitate the issuance of debt securities registered under the Securities Act and offered in exchange of any securities issued under the indenture or in uncertificated form;</w:t>
      </w:r>
    </w:p>
    <w:p>
      <w:pPr>
        <w:spacing w:after="0" w:line="75" w:lineRule="exact"/>
        <w:rPr>
          <w:rFonts w:ascii="Arial" w:cs="Arial" w:eastAsia="Arial" w:hAnsi="Arial"/>
          <w:sz w:val="18"/>
          <w:szCs w:val="18"/>
          <w:color w:val="auto"/>
        </w:rPr>
      </w:pPr>
    </w:p>
    <w:p>
      <w:pPr>
        <w:ind w:left="1080" w:right="160" w:hanging="532"/>
        <w:spacing w:after="0" w:line="301" w:lineRule="auto"/>
        <w:tabs>
          <w:tab w:leader="none" w:pos="108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cure any ambiguity, mistake or omission, defect or inconsistency;</w:t>
      </w:r>
    </w:p>
    <w:p>
      <w:pPr>
        <w:spacing w:after="0" w:line="130" w:lineRule="exact"/>
        <w:rPr>
          <w:rFonts w:ascii="Arial" w:cs="Arial" w:eastAsia="Arial" w:hAnsi="Arial"/>
          <w:sz w:val="18"/>
          <w:szCs w:val="18"/>
          <w:color w:val="auto"/>
        </w:rPr>
      </w:pPr>
    </w:p>
    <w:p>
      <w:pPr>
        <w:ind w:left="1080" w:hanging="532"/>
        <w:spacing w:after="0" w:line="277"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00"/>
          </w:cols>
          <w:pgMar w:left="320" w:top="459" w:right="479" w:bottom="1440" w:gutter="0" w:footer="0" w:header="0"/>
        </w:sectPr>
      </w:pPr>
    </w:p>
    <w:bookmarkStart w:id="74" w:name="page75"/>
    <w:bookmarkEnd w:id="7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100" w:right="240"/>
        <w:spacing w:after="0" w:line="277" w:lineRule="auto"/>
        <w:rPr>
          <w:sz w:val="20"/>
          <w:szCs w:val="20"/>
          <w:color w:val="auto"/>
        </w:rPr>
      </w:pPr>
      <w:r>
        <w:rPr>
          <w:rFonts w:ascii="Arial" w:cs="Arial" w:eastAsia="Arial" w:hAnsi="Arial"/>
          <w:sz w:val="18"/>
          <w:szCs w:val="18"/>
          <w:color w:val="auto"/>
        </w:rPr>
        <w:t>provided that any such action shall not adversely affect the interests of the holders of debt securities of such series or any other series of debt securities in any material respect;</w:t>
      </w:r>
    </w:p>
    <w:p>
      <w:pPr>
        <w:spacing w:after="0" w:line="76" w:lineRule="exact"/>
        <w:rPr>
          <w:sz w:val="20"/>
          <w:szCs w:val="20"/>
          <w:color w:val="auto"/>
        </w:rPr>
      </w:pPr>
    </w:p>
    <w:p>
      <w:pPr>
        <w:ind w:left="1080" w:right="120" w:hanging="532"/>
        <w:spacing w:after="0" w:line="277"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w:t>
      </w:r>
    </w:p>
    <w:p>
      <w:pPr>
        <w:spacing w:after="0" w:line="75" w:lineRule="exact"/>
        <w:rPr>
          <w:rFonts w:ascii="Arial" w:cs="Arial" w:eastAsia="Arial" w:hAnsi="Arial"/>
          <w:sz w:val="18"/>
          <w:szCs w:val="18"/>
          <w:color w:val="auto"/>
        </w:rPr>
      </w:pPr>
    </w:p>
    <w:p>
      <w:pPr>
        <w:ind w:left="1080" w:right="100" w:hanging="532"/>
        <w:spacing w:after="0" w:line="263"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 and</w:t>
      </w:r>
    </w:p>
    <w:p>
      <w:pPr>
        <w:spacing w:after="0" w:line="89" w:lineRule="exact"/>
        <w:rPr>
          <w:rFonts w:ascii="Arial" w:cs="Arial" w:eastAsia="Arial" w:hAnsi="Arial"/>
          <w:sz w:val="18"/>
          <w:szCs w:val="18"/>
          <w:color w:val="auto"/>
        </w:rPr>
      </w:pPr>
    </w:p>
    <w:p>
      <w:pPr>
        <w:jc w:val="both"/>
        <w:ind w:left="1080" w:right="60" w:hanging="532"/>
        <w:spacing w:after="0" w:line="263"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4"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75" w:name="page76"/>
    <w:bookmarkEnd w:id="7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scheduled payment of principal and interest in accordance with their terms will provide money in an amount sufficient to pay the principal or premium, if any, and interest on the debt securities on the scheduled due dates therefor.</w:t>
      </w:r>
    </w:p>
    <w:p>
      <w:pPr>
        <w:spacing w:after="0" w:line="170"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4"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76" w:name="page77"/>
    <w:bookmarkEnd w:id="7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2"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So long as DTC or its nominee is the registered holder and owner of a global security, DTC or such nominee, as the case may be, will be considered the sole legal owner of the debt security represented by the 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2"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4"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77" w:name="page78"/>
    <w:bookmarkEnd w:id="7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60" w:firstLine="440"/>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80" w:right="220" w:hanging="532"/>
        <w:spacing w:after="0" w:line="277"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75"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has occurred and is continuing.</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120" w:right="220" w:firstLine="440"/>
        <w:spacing w:after="0" w:line="301"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7"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5"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40"/>
          </w:cols>
          <w:pgMar w:left="320" w:top="459" w:right="439" w:bottom="1440" w:gutter="0" w:footer="0" w:header="0"/>
        </w:sectPr>
      </w:pPr>
    </w:p>
    <w:bookmarkStart w:id="78" w:name="page79"/>
    <w:bookmarkEnd w:id="7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debt securities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40"/>
          </w:cols>
          <w:pgMar w:left="320" w:top="459" w:right="539" w:bottom="1440" w:gutter="0" w:footer="0" w:header="0"/>
        </w:sectPr>
      </w:pPr>
    </w:p>
    <w:bookmarkStart w:id="79" w:name="page80"/>
    <w:bookmarkEnd w:id="7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CAPITAL STOCK</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Authorized Capital Stock</w:t>
      </w:r>
    </w:p>
    <w:p>
      <w:pPr>
        <w:spacing w:after="0" w:line="121" w:lineRule="exact"/>
        <w:rPr>
          <w:sz w:val="20"/>
          <w:szCs w:val="20"/>
          <w:color w:val="auto"/>
        </w:rPr>
      </w:pPr>
    </w:p>
    <w:p>
      <w:pPr>
        <w:ind w:left="120" w:right="540"/>
        <w:spacing w:after="0" w:line="308" w:lineRule="auto"/>
        <w:rPr>
          <w:sz w:val="20"/>
          <w:szCs w:val="20"/>
          <w:color w:val="auto"/>
        </w:rPr>
      </w:pPr>
      <w:r>
        <w:rPr>
          <w:rFonts w:ascii="Arial" w:cs="Arial" w:eastAsia="Arial" w:hAnsi="Arial"/>
          <w:sz w:val="17"/>
          <w:szCs w:val="17"/>
          <w:color w:val="auto"/>
        </w:rPr>
        <w:t>The total number of shares of capital stock which we have the authority to issue is 1,258,000,000 shares. This authorized capital stock consists of 1,250,000,000 shares of common stock and 8,000,000 shares of preferred stock, each having a par value of $0.002 per share.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August 19, 2021, we had 823,563,003 common shares issued and outstanding and no shares of preferred stock outstanding.</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Stock</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Each holder of our common stock is entitled to one vote for each common share held upon all questions presented to the stockholders. Holders of our common stock have the exclusive right to vote for the election of directors and for all other purposes (subject to the express terms of any preferred stock issued by us). Our stockholders have no preemptive rights and no rights to convert such stockholders’ common stock into any other securities. There are no redemption or sinking fund provisions applicable to our common stock.</w:t>
      </w:r>
    </w:p>
    <w:p>
      <w:pPr>
        <w:spacing w:after="0" w:line="17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stockholders will be entitled to receive dividends as may be declared from time to time by our board of directors out of funds legally available therefor. Our stockholders are entitled to share pro rata, upon any liquidation or dissolution of us, in all remaining assets available for distribution to stockholders after payment or providing for our liabilities and the liquidation preference of any of our outstanding preferred stock. The rights, preferences and privileges of our common stockholders are subject to and may be adversely affected by the rights of holders of any series of preferred stock that we may designate and issue.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Classes or Series of Preferred Stock</w:t>
      </w:r>
    </w:p>
    <w:p>
      <w:pPr>
        <w:spacing w:after="0" w:line="12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Our amended and restated certificate of incorporation (our “certificate of incorporation”) permits our board of directors, without further action by the holders of our common stock, to cause us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our common stock, our board of directors may designate and authorize the issuance of additional classes or series of our preferred stock having voting rights, dividend rights, conversion rights, redemption provisions (including sinking fund provisions) and rights in liquidation, dissolution or winding up that are superior to those of our common stock.</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Certificate of Incorporation and Bylaw Provisions</w:t>
      </w:r>
    </w:p>
    <w:p>
      <w:pPr>
        <w:spacing w:after="0" w:line="12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A number of provisions in our certificate of incorporation and our amended and restated bylaws (our “bylaws”) may make it more difficult to acquire control of us or remove our management.</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Removal of Directors; Board Vacancies; Board Size</w:t>
      </w:r>
    </w:p>
    <w:p>
      <w:pPr>
        <w:spacing w:after="0" w:line="117"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Our certificate of incorporation provides for the removal of any of our directors without cause and requires a stockholder vote of at least a majority of the voting power of the then outstanding voting stock. In addition, the our certificate of incorporation provides that any vacancy occurring on the our board of directors may be filled by a majority of directors then in office, even if less than a quorum. Finally, the authorized number of directors may be changed only by a resolution of our board of directors. This system of removing directors, filling vacancies and fixing the size of the board makes it more difficult for stockholders to replace a majority of the directors.</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80" w:name="page81"/>
    <w:bookmarkEnd w:id="8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Advance Notice of Proposals and Nominations</w:t>
      </w:r>
    </w:p>
    <w:p>
      <w:pPr>
        <w:spacing w:after="0" w:line="11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Our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our principal executive offices of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 These provisions may prevent stockholders from bringing matters before an annual meeting of stockholders or from nominating candidates for election as directors at an annual meeting of stockholders.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Limits on Special Meetings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Our certificate of incorporation provides that a special meeting of the stockholders: (1) may be called at any time by our board of directors and</w:t>
      </w:r>
    </w:p>
    <w:p>
      <w:pPr>
        <w:spacing w:after="0" w:line="46" w:lineRule="exact"/>
        <w:rPr>
          <w:sz w:val="20"/>
          <w:szCs w:val="20"/>
          <w:color w:val="auto"/>
        </w:rPr>
      </w:pPr>
    </w:p>
    <w:p>
      <w:pPr>
        <w:ind w:left="120" w:right="120" w:hanging="4"/>
        <w:spacing w:after="0" w:line="253" w:lineRule="auto"/>
        <w:tabs>
          <w:tab w:leader="none" w:pos="375" w:val="left"/>
        </w:tabs>
        <w:numPr>
          <w:ilvl w:val="0"/>
          <w:numId w:val="61"/>
        </w:numPr>
        <w:rPr>
          <w:rFonts w:ascii="Arial" w:cs="Arial" w:eastAsia="Arial" w:hAnsi="Arial"/>
          <w:sz w:val="18"/>
          <w:szCs w:val="18"/>
          <w:color w:val="auto"/>
        </w:rPr>
      </w:pPr>
      <w:r>
        <w:rPr>
          <w:rFonts w:ascii="Arial" w:cs="Arial" w:eastAsia="Arial" w:hAnsi="Arial"/>
          <w:sz w:val="18"/>
          <w:szCs w:val="18"/>
          <w:color w:val="auto"/>
        </w:rPr>
        <w:t>shall be called by the chair of our board of directors or our secretary upon the written request or requests of one or more persons that (a) own (as defined in our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our bylaws.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Amendment of our Bylaws</w:t>
      </w:r>
    </w:p>
    <w:p>
      <w:pPr>
        <w:spacing w:after="0" w:line="11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Our board of directors are authorized to adopt, amend and repeal our bylaws. Our stockholders also have the power to adopt, amend and repeal our bylaws by a stockholder vote of at least a majority of the voting power of the then outstanding voting stock.</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Preferred Stock</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Our ability to issue an indeterminate number of shares of the authorized shares of preferred stock with such rights, privileges and preferences as our board of directors may fix may have the effect of delaying or preventing a takeover or other change of control of us.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Shareholder Rights Plan</w:t>
      </w:r>
    </w:p>
    <w:p>
      <w:pPr>
        <w:spacing w:after="0" w:line="117"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Our bylaws provide that our board of directors is expressly authorized to adopt a shareholder rights plan as a defensive measure at any time it determines to be in the best interest of us and our shareholders, including in response to any pending or threatened unsolicited offer in respect of a business combination. Our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We have not opted out of Section 203 of the Delaware General Corporation Law (the “DGCL”). 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40"/>
          </w:cols>
          <w:pgMar w:left="320" w:top="459" w:right="539" w:bottom="1440" w:gutter="0" w:footer="0" w:header="0"/>
        </w:sectPr>
      </w:pPr>
    </w:p>
    <w:bookmarkStart w:id="81" w:name="page82"/>
    <w:bookmarkEnd w:id="8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combination or the transaction that resulted in such stockholder becoming an interested stockholder. An “interested stockholder” is defined as either</w:t>
      </w:r>
    </w:p>
    <w:p>
      <w:pPr>
        <w:spacing w:after="0" w:line="46" w:lineRule="exact"/>
        <w:rPr>
          <w:sz w:val="20"/>
          <w:szCs w:val="20"/>
          <w:color w:val="auto"/>
        </w:rPr>
      </w:pPr>
    </w:p>
    <w:p>
      <w:pPr>
        <w:ind w:left="120" w:right="40" w:hanging="4"/>
        <w:spacing w:after="0" w:line="323" w:lineRule="auto"/>
        <w:tabs>
          <w:tab w:leader="none" w:pos="335" w:val="left"/>
        </w:tabs>
        <w:numPr>
          <w:ilvl w:val="0"/>
          <w:numId w:val="62"/>
        </w:numPr>
        <w:rPr>
          <w:rFonts w:ascii="Arial" w:cs="Arial" w:eastAsia="Arial" w:hAnsi="Arial"/>
          <w:sz w:val="16"/>
          <w:szCs w:val="16"/>
          <w:color w:val="auto"/>
        </w:rPr>
      </w:pPr>
      <w:r>
        <w:rPr>
          <w:rFonts w:ascii="Arial" w:cs="Arial" w:eastAsia="Arial" w:hAnsi="Arial"/>
          <w:sz w:val="16"/>
          <w:szCs w:val="16"/>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24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Exclusive Forum</w:t>
      </w:r>
    </w:p>
    <w:p>
      <w:pPr>
        <w:spacing w:after="0" w:line="11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Our certificate of incorporation provides that unless we, in writing, select or consent to the selection of an alternative forum: (a) the sole and exclusive forum for any complaint asserting any internal corporate claims (including claims in the right of the Company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our certificate of incorporation, a court of a state other than the State of Delaware could decide that such provisions are not enforceable under the laws of that state.</w:t>
      </w:r>
    </w:p>
    <w:p>
      <w:pPr>
        <w:spacing w:after="0" w:line="3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120" w:right="100" w:firstLine="440"/>
        <w:spacing w:after="0" w:line="296"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6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w:t>
      </w:r>
    </w:p>
    <w:p>
      <w:pPr>
        <w:spacing w:after="0" w:line="130" w:lineRule="exact"/>
        <w:rPr>
          <w:rFonts w:ascii="Arial" w:cs="Arial" w:eastAsia="Arial" w:hAnsi="Arial"/>
          <w:sz w:val="18"/>
          <w:szCs w:val="18"/>
          <w:color w:val="auto"/>
        </w:rPr>
      </w:pPr>
    </w:p>
    <w:p>
      <w:pPr>
        <w:ind w:left="1080" w:right="520" w:hanging="532"/>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5540" w:hanging="4992"/>
        <w:spacing w:after="0" w:line="449" w:lineRule="auto"/>
        <w:tabs>
          <w:tab w:leader="none" w:pos="1094"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price or prices at which and currency or currencies in which the securities purchasable upon exercise of the warrants may be purchased; 23</w:t>
      </w:r>
    </w:p>
    <w:p>
      <w:pPr>
        <w:sectPr>
          <w:pgSz w:w="11900" w:h="16838" w:orient="portrait"/>
          <w:cols w:equalWidth="0" w:num="1">
            <w:col w:w="11120"/>
          </w:cols>
          <w:pgMar w:left="320" w:top="459" w:right="459" w:bottom="1440" w:gutter="0" w:footer="0" w:header="0"/>
        </w:sectPr>
      </w:pPr>
    </w:p>
    <w:bookmarkStart w:id="82" w:name="page83"/>
    <w:bookmarkEnd w:id="8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b w:val="1"/>
          <w:bCs w:val="1"/>
          <w:i w:val="1"/>
          <w:iCs w:val="1"/>
          <w:color w:val="auto"/>
        </w:rPr>
        <w:t>Exercise of Warrants</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warrant will entitle the holder of warrants to purchase for cash the amount of debt or equity securities at the exercise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120" w:right="200" w:firstLine="440"/>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5"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80" w:right="440" w:hanging="532"/>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120" w:right="320" w:firstLine="440"/>
        <w:spacing w:after="0" w:line="263"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83" w:name="page84"/>
    <w:bookmarkEnd w:id="8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offer and sell the securities described in this prospectus from time to time in one or more transactions:</w:t>
      </w:r>
    </w:p>
    <w:p>
      <w:pPr>
        <w:spacing w:after="0" w:line="131" w:lineRule="exact"/>
        <w:rPr>
          <w:sz w:val="20"/>
          <w:szCs w:val="20"/>
          <w:color w:val="auto"/>
        </w:rPr>
      </w:pPr>
    </w:p>
    <w:p>
      <w:pPr>
        <w:ind w:left="1080" w:hanging="532"/>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securities may be offered and sold at a fixed price or prices, which may be changed, or from time to time at market prices or at negotiated prices.</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4"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4" w:lineRule="exact"/>
        <w:rPr>
          <w:sz w:val="20"/>
          <w:szCs w:val="20"/>
          <w:color w:val="auto"/>
        </w:rPr>
      </w:pPr>
    </w:p>
    <w:p>
      <w:pPr>
        <w:ind w:left="120" w:right="120" w:firstLine="440"/>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6"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84" w:name="page85"/>
    <w:bookmarkEnd w:id="8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85" w:name="page86"/>
    <w:bookmarkEnd w:id="8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Unless otherwise indicated in the applicable prospectus supplement, certain legal matters as to U.S., Delaware and New York law will be passed upon for us by Gibson, Dunn &amp; Crutcher LLP, San Francisco, California.</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28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00"/>
          </w:cols>
          <w:pgMar w:left="320" w:top="459" w:right="479" w:bottom="1440" w:gutter="0" w:footer="0" w:header="0"/>
        </w:sectPr>
      </w:pPr>
    </w:p>
    <w:bookmarkStart w:id="86" w:name="page87"/>
    <w:bookmarkEnd w:id="86"/>
    <w:p>
      <w:pPr>
        <w:spacing w:after="0"/>
        <w:rPr>
          <w:sz w:val="20"/>
          <w:szCs w:val="20"/>
          <w:color w:val="auto"/>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254635</wp:posOffset>
            </wp:positionV>
            <wp:extent cx="6995160" cy="171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7">
                      <a:extLst>
                        <a:ext uri="{28A0092B-C50C-407E-A947-70E740481C1C}"/>
                      </a:extLst>
                    </a:blip>
                    <a:srcRect/>
                    <a:stretch>
                      <a:fillRect/>
                    </a:stretch>
                  </pic:blipFill>
                  <pic:spPr bwMode="auto">
                    <a:xfrm>
                      <a:off x="0" y="0"/>
                      <a:ext cx="6995160" cy="1714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306070</wp:posOffset>
            </wp:positionV>
            <wp:extent cx="6995160" cy="825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400"/>
          </w:cols>
          <w:pgMar w:left="320" w:top="459" w:right="11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jc w:val="center"/>
        <w:ind w:right="-839"/>
        <w:spacing w:after="0"/>
        <w:rPr>
          <w:sz w:val="20"/>
          <w:szCs w:val="20"/>
          <w:color w:val="auto"/>
        </w:rPr>
      </w:pPr>
      <w:r>
        <w:rPr>
          <w:rFonts w:ascii="Arial" w:cs="Arial" w:eastAsia="Arial" w:hAnsi="Arial"/>
          <w:sz w:val="29"/>
          <w:szCs w:val="29"/>
          <w:b w:val="1"/>
          <w:bCs w:val="1"/>
          <w:color w:val="auto"/>
        </w:rPr>
        <w:t>$</w:t>
      </w:r>
    </w:p>
    <w:p>
      <w:pPr>
        <w:spacing w:after="0" w:line="220" w:lineRule="exact"/>
        <w:rPr>
          <w:sz w:val="20"/>
          <w:szCs w:val="20"/>
          <w:color w:val="auto"/>
        </w:rPr>
      </w:pPr>
    </w:p>
    <w:p>
      <w:pPr>
        <w:jc w:val="center"/>
        <w:ind w:right="-839"/>
        <w:spacing w:after="0"/>
        <w:rPr>
          <w:sz w:val="20"/>
          <w:szCs w:val="20"/>
          <w:color w:val="auto"/>
        </w:rPr>
      </w:pPr>
      <w:r>
        <w:rPr>
          <w:rFonts w:ascii="Arial" w:cs="Arial" w:eastAsia="Arial" w:hAnsi="Arial"/>
          <w:sz w:val="29"/>
          <w:szCs w:val="29"/>
          <w:b w:val="1"/>
          <w:bCs w:val="1"/>
          <w:color w:val="auto"/>
        </w:rPr>
        <w:t>Marvell Technology, Inc.</w:t>
      </w:r>
    </w:p>
    <w:p>
      <w:pPr>
        <w:spacing w:after="0" w:line="220" w:lineRule="exact"/>
        <w:rPr>
          <w:sz w:val="20"/>
          <w:szCs w:val="20"/>
          <w:color w:val="auto"/>
        </w:rPr>
      </w:pPr>
    </w:p>
    <w:p>
      <w:pPr>
        <w:ind w:left="4900" w:hanging="1359"/>
        <w:spacing w:after="0"/>
        <w:tabs>
          <w:tab w:leader="none" w:pos="4900" w:val="left"/>
        </w:tabs>
        <w:numPr>
          <w:ilvl w:val="0"/>
          <w:numId w:val="67"/>
        </w:numPr>
        <w:rPr>
          <w:rFonts w:ascii="Arial" w:cs="Arial" w:eastAsia="Arial" w:hAnsi="Arial"/>
          <w:sz w:val="29"/>
          <w:szCs w:val="29"/>
          <w:b w:val="1"/>
          <w:bCs w:val="1"/>
          <w:color w:val="auto"/>
        </w:rPr>
      </w:pPr>
      <w:r>
        <w:rPr>
          <w:rFonts w:ascii="Arial" w:cs="Arial" w:eastAsia="Arial" w:hAnsi="Arial"/>
          <w:sz w:val="29"/>
          <w:szCs w:val="29"/>
          <w:b w:val="1"/>
          <w:bCs w:val="1"/>
          <w:color w:val="auto"/>
        </w:rPr>
        <w:t>% Senior Notes due 20</w:t>
      </w:r>
    </w:p>
    <w:p>
      <w:pPr>
        <w:spacing w:after="0" w:line="220" w:lineRule="exact"/>
        <w:rPr>
          <w:sz w:val="20"/>
          <w:szCs w:val="20"/>
          <w:color w:val="auto"/>
        </w:rPr>
      </w:pPr>
    </w:p>
    <w:p>
      <w:pPr>
        <w:ind w:left="4900" w:hanging="1359"/>
        <w:spacing w:after="0"/>
        <w:tabs>
          <w:tab w:leader="none" w:pos="4900" w:val="left"/>
        </w:tabs>
        <w:numPr>
          <w:ilvl w:val="0"/>
          <w:numId w:val="68"/>
        </w:numPr>
        <w:rPr>
          <w:rFonts w:ascii="Arial" w:cs="Arial" w:eastAsia="Arial" w:hAnsi="Arial"/>
          <w:sz w:val="29"/>
          <w:szCs w:val="29"/>
          <w:b w:val="1"/>
          <w:bCs w:val="1"/>
          <w:color w:val="auto"/>
        </w:rPr>
      </w:pPr>
      <w:r>
        <w:rPr>
          <w:rFonts w:ascii="Arial" w:cs="Arial" w:eastAsia="Arial" w:hAnsi="Arial"/>
          <w:sz w:val="29"/>
          <w:szCs w:val="29"/>
          <w:b w:val="1"/>
          <w:bCs w:val="1"/>
          <w:color w:val="auto"/>
        </w:rPr>
        <w:t>% Senior Notes due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1111885</wp:posOffset>
            </wp:positionV>
            <wp:extent cx="1474470" cy="825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9">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22860</wp:posOffset>
            </wp:positionV>
            <wp:extent cx="2271395" cy="7029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0">
                      <a:extLst>
                        <a:ext uri="{28A0092B-C50C-407E-A947-70E740481C1C}"/>
                      </a:extLst>
                    </a:blip>
                    <a:srcRect/>
                    <a:stretch>
                      <a:fillRect/>
                    </a:stretch>
                  </pic:blipFill>
                  <pic:spPr bwMode="auto">
                    <a:xfrm>
                      <a:off x="0" y="0"/>
                      <a:ext cx="2271395" cy="7029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3340"/>
        <w:spacing w:after="0"/>
        <w:rPr>
          <w:sz w:val="20"/>
          <w:szCs w:val="20"/>
          <w:color w:val="auto"/>
        </w:rPr>
      </w:pPr>
      <w:r>
        <w:rPr>
          <w:rFonts w:ascii="Arial" w:cs="Arial" w:eastAsia="Arial" w:hAnsi="Arial"/>
          <w:sz w:val="22"/>
          <w:szCs w:val="22"/>
          <w:b w:val="1"/>
          <w:bCs w:val="1"/>
          <w:color w:val="auto"/>
        </w:rPr>
        <w:t>PRELIMINARY PROSPECTUS SUPPLEMENT</w:t>
      </w:r>
    </w:p>
    <w:p>
      <w:pPr>
        <w:spacing w:after="0" w:line="19" w:lineRule="exact"/>
        <w:rPr>
          <w:sz w:val="20"/>
          <w:szCs w:val="20"/>
          <w:color w:val="auto"/>
        </w:rPr>
      </w:pPr>
    </w:p>
    <w:p>
      <w:pPr>
        <w:ind w:left="5660"/>
        <w:spacing w:after="0"/>
        <w:rPr>
          <w:sz w:val="20"/>
          <w:szCs w:val="20"/>
          <w:color w:val="auto"/>
        </w:rPr>
      </w:pPr>
      <w:r>
        <w:rPr>
          <w:rFonts w:ascii="Arial" w:cs="Arial" w:eastAsia="Arial" w:hAnsi="Arial"/>
          <w:sz w:val="18"/>
          <w:szCs w:val="18"/>
          <w:b w:val="1"/>
          <w:bCs w:val="1"/>
          <w:color w:val="auto"/>
        </w:rPr>
        <w:t>,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390525</wp:posOffset>
            </wp:positionV>
            <wp:extent cx="147447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20"/>
        <w:spacing w:after="0"/>
        <w:rPr>
          <w:sz w:val="20"/>
          <w:szCs w:val="20"/>
          <w:color w:val="auto"/>
        </w:rPr>
      </w:pPr>
      <w:r>
        <w:rPr>
          <w:rFonts w:ascii="Arial" w:cs="Arial" w:eastAsia="Arial" w:hAnsi="Arial"/>
          <w:sz w:val="22"/>
          <w:szCs w:val="22"/>
          <w:b w:val="1"/>
          <w:bCs w:val="1"/>
          <w:i w:val="1"/>
          <w:iCs w:val="1"/>
          <w:color w:val="auto"/>
        </w:rPr>
        <w:t>Joint Book-Running Managers</w:t>
      </w:r>
    </w:p>
    <w:p>
      <w:pPr>
        <w:spacing w:after="0" w:line="236" w:lineRule="exact"/>
        <w:rPr>
          <w:sz w:val="20"/>
          <w:szCs w:val="20"/>
          <w:color w:val="auto"/>
        </w:rPr>
      </w:pPr>
    </w:p>
    <w:p>
      <w:pPr>
        <w:ind w:left="120"/>
        <w:spacing w:after="0"/>
        <w:tabs>
          <w:tab w:leader="none" w:pos="5360" w:val="left"/>
          <w:tab w:leader="none" w:pos="8660" w:val="left"/>
        </w:tabs>
        <w:rPr>
          <w:sz w:val="20"/>
          <w:szCs w:val="20"/>
          <w:color w:val="auto"/>
        </w:rPr>
      </w:pPr>
      <w:r>
        <w:rPr>
          <w:rFonts w:ascii="Arial" w:cs="Arial" w:eastAsia="Arial" w:hAnsi="Arial"/>
          <w:sz w:val="18"/>
          <w:szCs w:val="18"/>
          <w:b w:val="1"/>
          <w:bCs w:val="1"/>
          <w:color w:val="auto"/>
        </w:rPr>
        <w:t>J.P. Morgan</w:t>
      </w:r>
      <w:r>
        <w:rPr>
          <w:sz w:val="20"/>
          <w:szCs w:val="20"/>
          <w:color w:val="auto"/>
        </w:rPr>
        <w:tab/>
      </w:r>
      <w:r>
        <w:rPr>
          <w:rFonts w:ascii="Arial" w:cs="Arial" w:eastAsia="Arial" w:hAnsi="Arial"/>
          <w:sz w:val="18"/>
          <w:szCs w:val="18"/>
          <w:b w:val="1"/>
          <w:bCs w:val="1"/>
          <w:color w:val="auto"/>
        </w:rPr>
        <w:t>BofA Securities</w:t>
      </w:r>
      <w:r>
        <w:rPr>
          <w:sz w:val="20"/>
          <w:szCs w:val="20"/>
          <w:color w:val="auto"/>
        </w:rPr>
        <w:tab/>
      </w:r>
      <w:r>
        <w:rPr>
          <w:rFonts w:ascii="Arial" w:cs="Arial" w:eastAsia="Arial" w:hAnsi="Arial"/>
          <w:sz w:val="16"/>
          <w:szCs w:val="16"/>
          <w:b w:val="1"/>
          <w:bCs w:val="1"/>
          <w:color w:val="auto"/>
        </w:rPr>
        <w:t>Wells Fargo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1997710</wp:posOffset>
            </wp:positionV>
            <wp:extent cx="6995160" cy="825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2">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2057400</wp:posOffset>
            </wp:positionV>
            <wp:extent cx="6995160" cy="171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sectPr>
      <w:pgSz w:w="11900" w:h="16838" w:orient="portrait"/>
      <w:cols w:equalWidth="0" w:num="1">
        <w:col w:w="10400"/>
      </w:cols>
      <w:pgMar w:left="320" w:top="459" w:right="11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9AC241"/>
    <w:multiLevelType w:val="hybridMultilevel"/>
    <w:lvl w:ilvl="0">
      <w:lvlJc w:val="left"/>
      <w:lvlText w:val="$"/>
      <w:numFmt w:val="bullet"/>
      <w:start w:val="1"/>
    </w:lvl>
  </w:abstractNum>
  <w:abstractNum w:abstractNumId="1">
    <w:nsid w:val="5577F8E1"/>
    <w:multiLevelType w:val="hybridMultilevel"/>
    <w:lvl w:ilvl="0">
      <w:lvlJc w:val="left"/>
      <w:lvlText w:val="•"/>
      <w:numFmt w:val="bullet"/>
      <w:start w:val="1"/>
    </w:lvl>
  </w:abstractNum>
  <w:abstractNum w:abstractNumId="2">
    <w:nsid w:val="440BADFC"/>
    <w:multiLevelType w:val="hybridMultilevel"/>
    <w:lvl w:ilvl="0">
      <w:lvlJc w:val="left"/>
      <w:lvlText w:val="(%1)"/>
      <w:numFmt w:val="decimal"/>
      <w:start w:val="408"/>
    </w:lvl>
  </w:abstractNum>
  <w:abstractNum w:abstractNumId="3">
    <w:nsid w:val="5072367"/>
    <w:multiLevelType w:val="hybridMultilevel"/>
    <w:lvl w:ilvl="0">
      <w:lvlJc w:val="left"/>
      <w:lvlText w:val="•"/>
      <w:numFmt w:val="bullet"/>
      <w:start w:val="1"/>
    </w:lvl>
  </w:abstractNum>
  <w:abstractNum w:abstractNumId="4">
    <w:nsid w:val="3804823E"/>
    <w:multiLevelType w:val="hybridMultilevel"/>
    <w:lvl w:ilvl="0">
      <w:lvlJc w:val="left"/>
      <w:lvlText w:val="•"/>
      <w:numFmt w:val="bullet"/>
      <w:start w:val="1"/>
    </w:lvl>
  </w:abstractNum>
  <w:abstractNum w:abstractNumId="5">
    <w:nsid w:val="77465F01"/>
    <w:multiLevelType w:val="hybridMultilevel"/>
    <w:lvl w:ilvl="0">
      <w:lvlJc w:val="left"/>
      <w:lvlText w:val="•"/>
      <w:numFmt w:val="bullet"/>
      <w:start w:val="1"/>
    </w:lvl>
  </w:abstractNum>
  <w:abstractNum w:abstractNumId="6">
    <w:nsid w:val="7724C67E"/>
    <w:multiLevelType w:val="hybridMultilevel"/>
    <w:lvl w:ilvl="0">
      <w:lvlJc w:val="left"/>
      <w:lvlText w:val="•"/>
      <w:numFmt w:val="bullet"/>
      <w:start w:val="1"/>
    </w:lvl>
  </w:abstractNum>
  <w:abstractNum w:abstractNumId="7">
    <w:nsid w:val="5C482A97"/>
    <w:multiLevelType w:val="hybridMultilevel"/>
    <w:lvl w:ilvl="0">
      <w:lvlJc w:val="left"/>
      <w:lvlText w:val="•"/>
      <w:numFmt w:val="bullet"/>
      <w:start w:val="1"/>
    </w:lvl>
  </w:abstractNum>
  <w:abstractNum w:abstractNumId="8">
    <w:nsid w:val="2463B9EA"/>
    <w:multiLevelType w:val="hybridMultilevel"/>
    <w:lvl w:ilvl="0">
      <w:lvlJc w:val="left"/>
      <w:lvlText w:val="•"/>
      <w:numFmt w:val="bullet"/>
      <w:start w:val="1"/>
    </w:lvl>
  </w:abstractNum>
  <w:abstractNum w:abstractNumId="9">
    <w:nsid w:val="5E884ADC"/>
    <w:multiLevelType w:val="hybridMultilevel"/>
    <w:lvl w:ilvl="0">
      <w:lvlJc w:val="left"/>
      <w:lvlText w:val="•"/>
      <w:numFmt w:val="bullet"/>
      <w:start w:val="1"/>
    </w:lvl>
  </w:abstractNum>
  <w:abstractNum w:abstractNumId="10">
    <w:nsid w:val="51EAD36B"/>
    <w:multiLevelType w:val="hybridMultilevel"/>
    <w:lvl w:ilvl="0">
      <w:lvlJc w:val="left"/>
      <w:lvlText w:val="(%1)"/>
      <w:numFmt w:val="decimal"/>
      <w:start w:val="1"/>
    </w:lvl>
  </w:abstractNum>
  <w:abstractNum w:abstractNumId="11">
    <w:nsid w:val="2D517796"/>
    <w:multiLevelType w:val="hybridMultilevel"/>
    <w:lvl w:ilvl="0">
      <w:lvlJc w:val="left"/>
      <w:lvlText w:val="•"/>
      <w:numFmt w:val="bullet"/>
      <w:start w:val="1"/>
    </w:lvl>
  </w:abstractNum>
  <w:abstractNum w:abstractNumId="12">
    <w:nsid w:val="580BD78F"/>
    <w:multiLevelType w:val="hybridMultilevel"/>
    <w:lvl w:ilvl="0">
      <w:lvlJc w:val="left"/>
      <w:lvlText w:val="•"/>
      <w:numFmt w:val="bullet"/>
      <w:start w:val="1"/>
    </w:lvl>
  </w:abstractNum>
  <w:abstractNum w:abstractNumId="13">
    <w:nsid w:val="153EA438"/>
    <w:multiLevelType w:val="hybridMultilevel"/>
    <w:lvl w:ilvl="0">
      <w:lvlJc w:val="left"/>
      <w:lvlText w:val="•"/>
      <w:numFmt w:val="bullet"/>
      <w:start w:val="1"/>
    </w:lvl>
  </w:abstractNum>
  <w:abstractNum w:abstractNumId="14">
    <w:nsid w:val="3855585C"/>
    <w:multiLevelType w:val="hybridMultilevel"/>
    <w:lvl w:ilvl="0">
      <w:lvlJc w:val="left"/>
      <w:lvlText w:val="•"/>
      <w:numFmt w:val="bullet"/>
      <w:start w:val="1"/>
    </w:lvl>
  </w:abstractNum>
  <w:abstractNum w:abstractNumId="15">
    <w:nsid w:val="70A64E2A"/>
    <w:multiLevelType w:val="hybridMultilevel"/>
    <w:lvl w:ilvl="0">
      <w:lvlJc w:val="left"/>
      <w:lvlText w:val="•"/>
      <w:numFmt w:val="bullet"/>
      <w:start w:val="1"/>
    </w:lvl>
  </w:abstractNum>
  <w:abstractNum w:abstractNumId="16">
    <w:nsid w:val="6A2342EC"/>
    <w:multiLevelType w:val="hybridMultilevel"/>
    <w:lvl w:ilvl="0">
      <w:lvlJc w:val="left"/>
      <w:lvlText w:val="(%1)"/>
      <w:numFmt w:val="decimal"/>
      <w:start w:val="1"/>
    </w:lvl>
  </w:abstractNum>
  <w:abstractNum w:abstractNumId="17">
    <w:nsid w:val="2A487CB0"/>
    <w:multiLevelType w:val="hybridMultilevel"/>
    <w:lvl w:ilvl="0">
      <w:lvlJc w:val="left"/>
      <w:lvlText w:val="(%1)"/>
      <w:numFmt w:val="lowerLetter"/>
      <w:start w:val="2"/>
    </w:lvl>
    <w:lvl w:ilvl="1">
      <w:lvlJc w:val="left"/>
      <w:lvlText w:val="(%2)"/>
      <w:numFmt w:val="decimal"/>
      <w:start w:val="2"/>
    </w:lvl>
  </w:abstractNum>
  <w:abstractNum w:abstractNumId="18">
    <w:nsid w:val="1D4ED43B"/>
    <w:multiLevelType w:val="hybridMultilevel"/>
    <w:lvl w:ilvl="0">
      <w:lvlJc w:val="left"/>
      <w:lvlText w:val="(%1)"/>
      <w:numFmt w:val="decimal"/>
      <w:start w:val="1"/>
    </w:lvl>
  </w:abstractNum>
  <w:abstractNum w:abstractNumId="19">
    <w:nsid w:val="725A06FB"/>
    <w:multiLevelType w:val="hybridMultilevel"/>
    <w:lvl w:ilvl="0">
      <w:lvlJc w:val="left"/>
      <w:lvlText w:val="•"/>
      <w:numFmt w:val="bullet"/>
      <w:start w:val="1"/>
    </w:lvl>
  </w:abstractNum>
  <w:abstractNum w:abstractNumId="20">
    <w:nsid w:val="2CD89A32"/>
    <w:multiLevelType w:val="hybridMultilevel"/>
    <w:lvl w:ilvl="0">
      <w:lvlJc w:val="left"/>
      <w:lvlText w:val="(%1)"/>
      <w:numFmt w:val="decimal"/>
      <w:start w:val="1"/>
    </w:lvl>
  </w:abstractNum>
  <w:abstractNum w:abstractNumId="21">
    <w:nsid w:val="57E4CCAF"/>
    <w:multiLevelType w:val="hybridMultilevel"/>
    <w:lvl w:ilvl="0">
      <w:lvlJc w:val="left"/>
      <w:lvlText w:val="(%1)"/>
      <w:numFmt w:val="decimal"/>
      <w:start w:val="9"/>
    </w:lvl>
  </w:abstractNum>
  <w:abstractNum w:abstractNumId="22">
    <w:nsid w:val="7A6D8D3C"/>
    <w:multiLevelType w:val="hybridMultilevel"/>
    <w:lvl w:ilvl="0">
      <w:lvlJc w:val="left"/>
      <w:lvlText w:val="(%1)"/>
      <w:numFmt w:val="decimal"/>
      <w:start w:val="18"/>
    </w:lvl>
  </w:abstractNum>
  <w:abstractNum w:abstractNumId="23">
    <w:nsid w:val="4B588F54"/>
    <w:multiLevelType w:val="hybridMultilevel"/>
    <w:lvl w:ilvl="0">
      <w:lvlJc w:val="left"/>
      <w:lvlText w:val="(%1)"/>
      <w:numFmt w:val="decimal"/>
      <w:start w:val="20"/>
    </w:lvl>
  </w:abstractNum>
  <w:abstractNum w:abstractNumId="24">
    <w:nsid w:val="542289EC"/>
    <w:multiLevelType w:val="hybridMultilevel"/>
    <w:lvl w:ilvl="0">
      <w:lvlJc w:val="left"/>
      <w:lvlText w:val="(%1)"/>
      <w:numFmt w:val="decimal"/>
      <w:start w:val="1"/>
    </w:lvl>
  </w:abstractNum>
  <w:abstractNum w:abstractNumId="25">
    <w:nsid w:val="6DE91B18"/>
    <w:multiLevelType w:val="hybridMultilevel"/>
    <w:lvl w:ilvl="0">
      <w:lvlJc w:val="left"/>
      <w:lvlText w:val="(%1)"/>
      <w:numFmt w:val="decimal"/>
      <w:start w:val="5"/>
    </w:lvl>
  </w:abstractNum>
  <w:abstractNum w:abstractNumId="26">
    <w:nsid w:val="38437FDB"/>
    <w:multiLevelType w:val="hybridMultilevel"/>
    <w:lvl w:ilvl="0">
      <w:lvlJc w:val="left"/>
      <w:lvlText w:val="(%1)"/>
      <w:numFmt w:val="decimal"/>
      <w:start w:val="1"/>
    </w:lvl>
  </w:abstractNum>
  <w:abstractNum w:abstractNumId="27">
    <w:nsid w:val="7644A45C"/>
    <w:multiLevelType w:val="hybridMultilevel"/>
    <w:lvl w:ilvl="0">
      <w:lvlJc w:val="left"/>
      <w:lvlText w:val="•"/>
      <w:numFmt w:val="bullet"/>
      <w:start w:val="1"/>
    </w:lvl>
  </w:abstractNum>
  <w:abstractNum w:abstractNumId="28">
    <w:nsid w:val="32FFF902"/>
    <w:multiLevelType w:val="hybridMultilevel"/>
    <w:lvl w:ilvl="0">
      <w:lvlJc w:val="left"/>
      <w:lvlText w:val="•"/>
      <w:numFmt w:val="bullet"/>
      <w:start w:val="1"/>
    </w:lvl>
  </w:abstractNum>
  <w:abstractNum w:abstractNumId="29">
    <w:nsid w:val="684A481A"/>
    <w:multiLevelType w:val="hybridMultilevel"/>
    <w:lvl w:ilvl="0">
      <w:lvlJc w:val="left"/>
      <w:lvlText w:val="•"/>
      <w:numFmt w:val="bullet"/>
      <w:start w:val="1"/>
    </w:lvl>
  </w:abstractNum>
  <w:abstractNum w:abstractNumId="30">
    <w:nsid w:val="579478FE"/>
    <w:multiLevelType w:val="hybridMultilevel"/>
    <w:lvl w:ilvl="0">
      <w:lvlJc w:val="left"/>
      <w:lvlText w:val="•"/>
      <w:numFmt w:val="bullet"/>
      <w:start w:val="1"/>
    </w:lvl>
  </w:abstractNum>
  <w:abstractNum w:abstractNumId="31">
    <w:nsid w:val="749ABB43"/>
    <w:multiLevelType w:val="hybridMultilevel"/>
    <w:lvl w:ilvl="0">
      <w:lvlJc w:val="left"/>
      <w:lvlText w:val="•"/>
      <w:numFmt w:val="bullet"/>
      <w:start w:val="1"/>
    </w:lvl>
  </w:abstractNum>
  <w:abstractNum w:abstractNumId="32">
    <w:nsid w:val="3DC240FB"/>
    <w:multiLevelType w:val="hybridMultilevel"/>
    <w:lvl w:ilvl="0">
      <w:lvlJc w:val="left"/>
      <w:lvlText w:val="•"/>
      <w:numFmt w:val="bullet"/>
      <w:start w:val="1"/>
    </w:lvl>
  </w:abstractNum>
  <w:abstractNum w:abstractNumId="33">
    <w:nsid w:val="1BA026FA"/>
    <w:multiLevelType w:val="hybridMultilevel"/>
    <w:lvl w:ilvl="0">
      <w:lvlJc w:val="left"/>
      <w:lvlText w:val="•"/>
      <w:numFmt w:val="bullet"/>
      <w:start w:val="1"/>
    </w:lvl>
  </w:abstractNum>
  <w:abstractNum w:abstractNumId="34">
    <w:nsid w:val="79A1DEAA"/>
    <w:multiLevelType w:val="hybridMultilevel"/>
    <w:lvl w:ilvl="0">
      <w:lvlJc w:val="left"/>
      <w:lvlText w:val="•"/>
      <w:numFmt w:val="bullet"/>
      <w:start w:val="1"/>
    </w:lvl>
  </w:abstractNum>
  <w:abstractNum w:abstractNumId="35">
    <w:nsid w:val="75C6C33A"/>
    <w:multiLevelType w:val="hybridMultilevel"/>
    <w:lvl w:ilvl="0">
      <w:lvlJc w:val="left"/>
      <w:lvlText w:val="•"/>
      <w:numFmt w:val="bullet"/>
      <w:start w:val="1"/>
    </w:lvl>
  </w:abstractNum>
  <w:abstractNum w:abstractNumId="36">
    <w:nsid w:val="12E685FB"/>
    <w:multiLevelType w:val="hybridMultilevel"/>
    <w:lvl w:ilvl="0">
      <w:lvlJc w:val="left"/>
      <w:lvlText w:val="•"/>
      <w:numFmt w:val="bullet"/>
      <w:start w:val="1"/>
    </w:lvl>
  </w:abstractNum>
  <w:abstractNum w:abstractNumId="37">
    <w:nsid w:val="70C6A529"/>
    <w:multiLevelType w:val="hybridMultilevel"/>
    <w:lvl w:ilvl="0">
      <w:lvlJc w:val="left"/>
      <w:lvlText w:val="(%1)"/>
      <w:numFmt w:val="lowerRoman"/>
      <w:start w:val="2"/>
    </w:lvl>
  </w:abstractNum>
  <w:abstractNum w:abstractNumId="38">
    <w:nsid w:val="520EEDD1"/>
    <w:multiLevelType w:val="hybridMultilevel"/>
    <w:lvl w:ilvl="0">
      <w:lvlJc w:val="left"/>
      <w:lvlText w:val="•"/>
      <w:numFmt w:val="bullet"/>
      <w:start w:val="1"/>
    </w:lvl>
  </w:abstractNum>
  <w:abstractNum w:abstractNumId="39">
    <w:nsid w:val="374A3FE6"/>
    <w:multiLevelType w:val="hybridMultilevel"/>
    <w:lvl w:ilvl="0">
      <w:lvlJc w:val="left"/>
      <w:lvlText w:val="•"/>
      <w:numFmt w:val="bullet"/>
      <w:start w:val="1"/>
    </w:lvl>
  </w:abstractNum>
  <w:abstractNum w:abstractNumId="40">
    <w:nsid w:val="4F4EF005"/>
    <w:multiLevelType w:val="hybridMultilevel"/>
    <w:lvl w:ilvl="0">
      <w:lvlJc w:val="left"/>
      <w:lvlText w:val="$"/>
      <w:numFmt w:val="bullet"/>
      <w:start w:val="1"/>
    </w:lvl>
  </w:abstractNum>
  <w:abstractNum w:abstractNumId="41">
    <w:nsid w:val="23F9C13C"/>
    <w:multiLevelType w:val="hybridMultilevel"/>
    <w:lvl w:ilvl="0">
      <w:lvlJc w:val="left"/>
      <w:lvlText w:val="(%1)"/>
      <w:numFmt w:val="lowerLetter"/>
      <w:start w:val="1"/>
    </w:lvl>
    <w:lvl w:ilvl="1">
      <w:lvlJc w:val="left"/>
      <w:lvlText w:val="(%2)"/>
      <w:numFmt w:val="lowerRoman"/>
      <w:start w:val="1"/>
    </w:lvl>
  </w:abstractNum>
  <w:abstractNum w:abstractNumId="42">
    <w:nsid w:val="649BB77C"/>
    <w:multiLevelType w:val="hybridMultilevel"/>
    <w:lvl w:ilvl="0">
      <w:lvlJc w:val="left"/>
      <w:lvlText w:val="•"/>
      <w:numFmt w:val="bullet"/>
      <w:start w:val="1"/>
    </w:lvl>
  </w:abstractNum>
  <w:abstractNum w:abstractNumId="43">
    <w:nsid w:val="275AC794"/>
    <w:multiLevelType w:val="hybridMultilevel"/>
    <w:lvl w:ilvl="0">
      <w:lvlJc w:val="left"/>
      <w:lvlText w:val="•"/>
      <w:numFmt w:val="bullet"/>
      <w:start w:val="1"/>
    </w:lvl>
  </w:abstractNum>
  <w:abstractNum w:abstractNumId="44">
    <w:nsid w:val="39386575"/>
    <w:multiLevelType w:val="hybridMultilevel"/>
    <w:lvl w:ilvl="0">
      <w:lvlJc w:val="left"/>
      <w:lvlText w:val="(%1)"/>
      <w:numFmt w:val="decimal"/>
      <w:start w:val="408"/>
    </w:lvl>
  </w:abstractNum>
  <w:abstractNum w:abstractNumId="45">
    <w:nsid w:val="1CF10FD8"/>
    <w:multiLevelType w:val="hybridMultilevel"/>
    <w:lvl w:ilvl="0">
      <w:lvlJc w:val="left"/>
      <w:lvlText w:val="•"/>
      <w:numFmt w:val="bullet"/>
      <w:start w:val="1"/>
    </w:lvl>
  </w:abstractNum>
  <w:abstractNum w:abstractNumId="46">
    <w:nsid w:val="180115BE"/>
    <w:multiLevelType w:val="hybridMultilevel"/>
    <w:lvl w:ilvl="0">
      <w:lvlJc w:val="left"/>
      <w:lvlText w:val="•"/>
      <w:numFmt w:val="bullet"/>
      <w:start w:val="1"/>
    </w:lvl>
  </w:abstractNum>
  <w:abstractNum w:abstractNumId="47">
    <w:nsid w:val="235BA861"/>
    <w:multiLevelType w:val="hybridMultilevel"/>
    <w:lvl w:ilvl="0">
      <w:lvlJc w:val="left"/>
      <w:lvlText w:val="•"/>
      <w:numFmt w:val="bullet"/>
      <w:start w:val="1"/>
    </w:lvl>
  </w:abstractNum>
  <w:abstractNum w:abstractNumId="48">
    <w:nsid w:val="47398C89"/>
    <w:multiLevelType w:val="hybridMultilevel"/>
    <w:lvl w:ilvl="0">
      <w:lvlJc w:val="left"/>
      <w:lvlText w:val="•"/>
      <w:numFmt w:val="bullet"/>
      <w:start w:val="1"/>
    </w:lvl>
  </w:abstractNum>
  <w:abstractNum w:abstractNumId="49">
    <w:nsid w:val="354FE9F9"/>
    <w:multiLevelType w:val="hybridMultilevel"/>
    <w:lvl w:ilvl="0">
      <w:lvlJc w:val="left"/>
      <w:lvlText w:val="•"/>
      <w:numFmt w:val="bullet"/>
      <w:start w:val="1"/>
    </w:lvl>
  </w:abstractNum>
  <w:abstractNum w:abstractNumId="50">
    <w:nsid w:val="15B5AF5C"/>
    <w:multiLevelType w:val="hybridMultilevel"/>
    <w:lvl w:ilvl="0">
      <w:lvlJc w:val="left"/>
      <w:lvlText w:val="(%1)"/>
      <w:numFmt w:val="decimal"/>
      <w:start w:val="1"/>
    </w:lvl>
  </w:abstractNum>
  <w:abstractNum w:abstractNumId="51">
    <w:nsid w:val="741226BB"/>
    <w:multiLevelType w:val="hybridMultilevel"/>
    <w:lvl w:ilvl="0">
      <w:lvlJc w:val="left"/>
      <w:lvlText w:val="(%1)"/>
      <w:numFmt w:val="lowerRoman"/>
      <w:start w:val="2"/>
    </w:lvl>
  </w:abstractNum>
  <w:abstractNum w:abstractNumId="52">
    <w:nsid w:val="D34B6A8"/>
    <w:multiLevelType w:val="hybridMultilevel"/>
    <w:lvl w:ilvl="0">
      <w:lvlJc w:val="left"/>
      <w:lvlText w:val="(%1)"/>
      <w:numFmt w:val="decimal"/>
      <w:start w:val="1"/>
    </w:lvl>
  </w:abstractNum>
  <w:abstractNum w:abstractNumId="53">
    <w:nsid w:val="10233C99"/>
    <w:multiLevelType w:val="hybridMultilevel"/>
    <w:lvl w:ilvl="0">
      <w:lvlJc w:val="left"/>
      <w:lvlText w:val="(%1)"/>
      <w:numFmt w:val="decimal"/>
      <w:start w:val="1"/>
    </w:lvl>
  </w:abstractNum>
  <w:abstractNum w:abstractNumId="54">
    <w:nsid w:val="3F6AB60F"/>
    <w:multiLevelType w:val="hybridMultilevel"/>
    <w:lvl w:ilvl="0">
      <w:lvlJc w:val="left"/>
      <w:lvlText w:val="(%1)"/>
      <w:numFmt w:val="decimal"/>
      <w:start w:val="1"/>
    </w:lvl>
  </w:abstractNum>
  <w:abstractNum w:abstractNumId="55">
    <w:nsid w:val="61574095"/>
    <w:multiLevelType w:val="hybridMultilevel"/>
    <w:lvl w:ilvl="0">
      <w:lvlJc w:val="left"/>
      <w:lvlText w:val="•"/>
      <w:numFmt w:val="bullet"/>
      <w:start w:val="1"/>
    </w:lvl>
  </w:abstractNum>
  <w:abstractNum w:abstractNumId="56">
    <w:nsid w:val="7E0C57B1"/>
    <w:multiLevelType w:val="hybridMultilevel"/>
    <w:lvl w:ilvl="0">
      <w:lvlJc w:val="left"/>
      <w:lvlText w:val="•"/>
      <w:numFmt w:val="bullet"/>
      <w:start w:val="1"/>
    </w:lvl>
  </w:abstractNum>
  <w:abstractNum w:abstractNumId="57">
    <w:nsid w:val="77AE35EB"/>
    <w:multiLevelType w:val="hybridMultilevel"/>
    <w:lvl w:ilvl="0">
      <w:lvlJc w:val="left"/>
      <w:lvlText w:val="•"/>
      <w:numFmt w:val="bullet"/>
      <w:start w:val="1"/>
    </w:lvl>
  </w:abstractNum>
  <w:abstractNum w:abstractNumId="58">
    <w:nsid w:val="579BE4F1"/>
    <w:multiLevelType w:val="hybridMultilevel"/>
    <w:lvl w:ilvl="0">
      <w:lvlJc w:val="left"/>
      <w:lvlText w:val="•"/>
      <w:numFmt w:val="bullet"/>
      <w:start w:val="1"/>
    </w:lvl>
  </w:abstractNum>
  <w:abstractNum w:abstractNumId="59">
    <w:nsid w:val="310C50B3"/>
    <w:multiLevelType w:val="hybridMultilevel"/>
    <w:lvl w:ilvl="0">
      <w:lvlJc w:val="left"/>
      <w:lvlText w:val="(%1)"/>
      <w:numFmt w:val="decimal"/>
      <w:start w:val="1"/>
    </w:lvl>
  </w:abstractNum>
  <w:abstractNum w:abstractNumId="60">
    <w:nsid w:val="5FF87E05"/>
    <w:multiLevelType w:val="hybridMultilevel"/>
    <w:lvl w:ilvl="0">
      <w:lvlJc w:val="left"/>
      <w:lvlText w:val="(%1)"/>
      <w:numFmt w:val="decimal"/>
      <w:start w:val="2"/>
    </w:lvl>
  </w:abstractNum>
  <w:abstractNum w:abstractNumId="61">
    <w:nsid w:val="2F305DEF"/>
    <w:multiLevelType w:val="hybridMultilevel"/>
    <w:lvl w:ilvl="0">
      <w:lvlJc w:val="left"/>
      <w:lvlText w:val="(%1)"/>
      <w:numFmt w:val="lowerRoman"/>
      <w:start w:val="1"/>
    </w:lvl>
  </w:abstractNum>
  <w:abstractNum w:abstractNumId="62">
    <w:nsid w:val="25A70BF7"/>
    <w:multiLevelType w:val="hybridMultilevel"/>
    <w:lvl w:ilvl="0">
      <w:lvlJc w:val="left"/>
      <w:lvlText w:val="•"/>
      <w:numFmt w:val="bullet"/>
      <w:start w:val="1"/>
    </w:lvl>
  </w:abstractNum>
  <w:abstractNum w:abstractNumId="63">
    <w:nsid w:val="1DBABF00"/>
    <w:multiLevelType w:val="hybridMultilevel"/>
    <w:lvl w:ilvl="0">
      <w:lvlJc w:val="left"/>
      <w:lvlText w:val="•"/>
      <w:numFmt w:val="bullet"/>
      <w:start w:val="1"/>
    </w:lvl>
  </w:abstractNum>
  <w:abstractNum w:abstractNumId="64">
    <w:nsid w:val="4AD084E9"/>
    <w:multiLevelType w:val="hybridMultilevel"/>
    <w:lvl w:ilvl="0">
      <w:lvlJc w:val="left"/>
      <w:lvlText w:val="•"/>
      <w:numFmt w:val="bullet"/>
      <w:start w:val="1"/>
    </w:lvl>
  </w:abstractNum>
  <w:abstractNum w:abstractNumId="65">
    <w:nsid w:val="1F48EAA1"/>
    <w:multiLevelType w:val="hybridMultilevel"/>
    <w:lvl w:ilvl="0">
      <w:lvlJc w:val="left"/>
      <w:lvlText w:val="•"/>
      <w:numFmt w:val="bullet"/>
      <w:start w:val="1"/>
    </w:lvl>
  </w:abstractNum>
  <w:abstractNum w:abstractNumId="66">
    <w:nsid w:val="1381823A"/>
    <w:multiLevelType w:val="hybridMultilevel"/>
    <w:lvl w:ilvl="0">
      <w:lvlJc w:val="left"/>
      <w:lvlText w:val="$"/>
      <w:numFmt w:val="bullet"/>
      <w:start w:val="1"/>
    </w:lvl>
  </w:abstractNum>
  <w:abstractNum w:abstractNumId="67">
    <w:nsid w:val="5DB70AE5"/>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21" Type="http://schemas.openxmlformats.org/officeDocument/2006/relationships/image" Target="media/image7.png"/><Relationship Id="rId22" Type="http://schemas.openxmlformats.org/officeDocument/2006/relationships/image" Target="media/image8.png"/><Relationship Id="rId23" Type="http://schemas.openxmlformats.org/officeDocument/2006/relationships/image" Target="media/image9.png"/><Relationship Id="rId24" Type="http://schemas.openxmlformats.org/officeDocument/2006/relationships/image" Target="media/image10.pn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png"/><Relationship Id="rId28" Type="http://schemas.openxmlformats.org/officeDocument/2006/relationships/image" Target="media/image14.png"/><Relationship Id="rId29" Type="http://schemas.openxmlformats.org/officeDocument/2006/relationships/image" Target="media/image15.png"/><Relationship Id="rId30" Type="http://schemas.openxmlformats.org/officeDocument/2006/relationships/image" Target="media/image16.png"/><Relationship Id="rId31" Type="http://schemas.openxmlformats.org/officeDocument/2006/relationships/image" Target="media/image17.png"/><Relationship Id="rId32" Type="http://schemas.openxmlformats.org/officeDocument/2006/relationships/image" Target="media/image18.png"/><Relationship Id="rId33" Type="http://schemas.openxmlformats.org/officeDocument/2006/relationships/image" Target="media/image19.png"/><Relationship Id="rId34" Type="http://schemas.openxmlformats.org/officeDocument/2006/relationships/image" Target="media/image20.png"/><Relationship Id="rId35" Type="http://schemas.openxmlformats.org/officeDocument/2006/relationships/image" Target="media/image21.png"/><Relationship Id="rId36" Type="http://schemas.openxmlformats.org/officeDocument/2006/relationships/image" Target="media/image22.png"/><Relationship Id="rId37" Type="http://schemas.openxmlformats.org/officeDocument/2006/relationships/image" Target="media/image23.png"/><Relationship Id="rId38" Type="http://schemas.openxmlformats.org/officeDocument/2006/relationships/image" Target="media/image24.png"/><Relationship Id="rId39" Type="http://schemas.openxmlformats.org/officeDocument/2006/relationships/image" Target="media/image25.png"/><Relationship Id="rId40" Type="http://schemas.openxmlformats.org/officeDocument/2006/relationships/image" Target="media/image26.png"/><Relationship Id="rId41" Type="http://schemas.openxmlformats.org/officeDocument/2006/relationships/image" Target="media/image27.png"/><Relationship Id="rId42" Type="http://schemas.openxmlformats.org/officeDocument/2006/relationships/image" Target="media/image28.png"/><Relationship Id="rId43" Type="http://schemas.openxmlformats.org/officeDocument/2006/relationships/image" Target="media/image29.png"/><Relationship Id="rId44" Type="http://schemas.openxmlformats.org/officeDocument/2006/relationships/image" Target="media/image30.png"/><Relationship Id="rId45" Type="http://schemas.openxmlformats.org/officeDocument/2006/relationships/image" Target="media/image31.png"/><Relationship Id="rId46" Type="http://schemas.openxmlformats.org/officeDocument/2006/relationships/image" Target="media/image32.png"/><Relationship Id="rId47" Type="http://schemas.openxmlformats.org/officeDocument/2006/relationships/image" Target="media/image33.png"/><Relationship Id="rId48" Type="http://schemas.openxmlformats.org/officeDocument/2006/relationships/image" Target="media/image34.png"/><Relationship Id="rId49" Type="http://schemas.openxmlformats.org/officeDocument/2006/relationships/image" Target="media/image35.png"/><Relationship Id="rId50" Type="http://schemas.openxmlformats.org/officeDocument/2006/relationships/image" Target="media/image36.png"/><Relationship Id="rId51" Type="http://schemas.openxmlformats.org/officeDocument/2006/relationships/image" Target="media/image37.png"/><Relationship Id="rId52" Type="http://schemas.openxmlformats.org/officeDocument/2006/relationships/image" Target="media/image38.png"/><Relationship Id="rId53" Type="http://schemas.openxmlformats.org/officeDocument/2006/relationships/image" Target="media/image39.png"/><Relationship Id="rId54" Type="http://schemas.openxmlformats.org/officeDocument/2006/relationships/image" Target="media/image40.png"/><Relationship Id="rId55" Type="http://schemas.openxmlformats.org/officeDocument/2006/relationships/image" Target="media/image41.png"/><Relationship Id="rId56" Type="http://schemas.openxmlformats.org/officeDocument/2006/relationships/image" Target="media/image42.png"/><Relationship Id="rId57" Type="http://schemas.openxmlformats.org/officeDocument/2006/relationships/image" Target="media/image43.png"/><Relationship Id="rId58" Type="http://schemas.openxmlformats.org/officeDocument/2006/relationships/image" Target="media/image44.png"/><Relationship Id="rId59" Type="http://schemas.openxmlformats.org/officeDocument/2006/relationships/image" Target="media/image45.png"/><Relationship Id="rId60" Type="http://schemas.openxmlformats.org/officeDocument/2006/relationships/image" Target="media/image46.png"/><Relationship Id="rId61" Type="http://schemas.openxmlformats.org/officeDocument/2006/relationships/image" Target="media/image47.png"/><Relationship Id="rId62" Type="http://schemas.openxmlformats.org/officeDocument/2006/relationships/image" Target="media/image48.png"/><Relationship Id="rId63" Type="http://schemas.openxmlformats.org/officeDocument/2006/relationships/image" Target="media/image49.png"/><Relationship Id="rId64" Type="http://schemas.openxmlformats.org/officeDocument/2006/relationships/image" Target="media/image50.png"/><Relationship Id="rId65" Type="http://schemas.openxmlformats.org/officeDocument/2006/relationships/image" Target="media/image51.png"/><Relationship Id="rId66" Type="http://schemas.openxmlformats.org/officeDocument/2006/relationships/image" Target="media/image52.png"/><Relationship Id="rId67" Type="http://schemas.openxmlformats.org/officeDocument/2006/relationships/image" Target="media/image53.png"/><Relationship Id="rId68" Type="http://schemas.openxmlformats.org/officeDocument/2006/relationships/image" Target="media/image54.png"/><Relationship Id="rId69" Type="http://schemas.openxmlformats.org/officeDocument/2006/relationships/image" Target="media/image55.png"/><Relationship Id="rId70" Type="http://schemas.openxmlformats.org/officeDocument/2006/relationships/image" Target="media/image56.png"/><Relationship Id="rId71" Type="http://schemas.openxmlformats.org/officeDocument/2006/relationships/image" Target="media/image57.png"/><Relationship Id="rId72" Type="http://schemas.openxmlformats.org/officeDocument/2006/relationships/image" Target="media/image58.png"/><Relationship Id="rId73" Type="http://schemas.openxmlformats.org/officeDocument/2006/relationships/image" Target="media/image59.png"/><Relationship Id="rId74" Type="http://schemas.openxmlformats.org/officeDocument/2006/relationships/image" Target="media/image60.png"/><Relationship Id="rId75" Type="http://schemas.openxmlformats.org/officeDocument/2006/relationships/image" Target="media/image61.jpeg"/><Relationship Id="rId76" Type="http://schemas.openxmlformats.org/officeDocument/2006/relationships/image" Target="media/image62.png"/><Relationship Id="rId77" Type="http://schemas.openxmlformats.org/officeDocument/2006/relationships/image" Target="media/image63.png"/><Relationship Id="rId78" Type="http://schemas.openxmlformats.org/officeDocument/2006/relationships/image" Target="media/image64.png"/><Relationship Id="rId79" Type="http://schemas.openxmlformats.org/officeDocument/2006/relationships/image" Target="media/image65.png"/><Relationship Id="rId80" Type="http://schemas.openxmlformats.org/officeDocument/2006/relationships/image" Target="media/image66.png"/><Relationship Id="rId81" Type="http://schemas.openxmlformats.org/officeDocument/2006/relationships/image" Target="media/image67.png"/><Relationship Id="rId98" Type="http://schemas.openxmlformats.org/officeDocument/2006/relationships/image" Target="media/image68.png"/><Relationship Id="rId99" Type="http://schemas.openxmlformats.org/officeDocument/2006/relationships/image" Target="media/image69.png"/><Relationship Id="rId100" Type="http://schemas.openxmlformats.org/officeDocument/2006/relationships/image" Target="media/image70.png"/><Relationship Id="rId101" Type="http://schemas.openxmlformats.org/officeDocument/2006/relationships/image" Target="media/image71.png"/><Relationship Id="rId102" Type="http://schemas.openxmlformats.org/officeDocument/2006/relationships/image" Target="media/image72.png"/><Relationship Id="rId103" Type="http://schemas.openxmlformats.org/officeDocument/2006/relationships/image" Target="media/image73.png"/><Relationship Id="rId104" Type="http://schemas.openxmlformats.org/officeDocument/2006/relationships/image" Target="media/image74.png"/><Relationship Id="rId105" Type="http://schemas.openxmlformats.org/officeDocument/2006/relationships/image" Target="media/image75.png"/><Relationship Id="rId106" Type="http://schemas.openxmlformats.org/officeDocument/2006/relationships/image" Target="media/image76.png"/><Relationship Id="rId107" Type="http://schemas.openxmlformats.org/officeDocument/2006/relationships/image" Target="media/image77.png"/><Relationship Id="rId108" Type="http://schemas.openxmlformats.org/officeDocument/2006/relationships/image" Target="media/image78.png"/><Relationship Id="rId109" Type="http://schemas.openxmlformats.org/officeDocument/2006/relationships/image" Target="media/image79.png"/><Relationship Id="rId110" Type="http://schemas.openxmlformats.org/officeDocument/2006/relationships/image" Target="media/image80.png"/><Relationship Id="rId111" Type="http://schemas.openxmlformats.org/officeDocument/2006/relationships/image" Target="media/image81.png"/><Relationship Id="rId112" Type="http://schemas.openxmlformats.org/officeDocument/2006/relationships/image" Target="media/image82.png"/><Relationship Id="rId113" Type="http://schemas.openxmlformats.org/officeDocument/2006/relationships/image" Target="media/image83.png"/><Relationship Id="rId114" Type="http://schemas.openxmlformats.org/officeDocument/2006/relationships/image" Target="media/image84.png"/><Relationship Id="rId115" Type="http://schemas.openxmlformats.org/officeDocument/2006/relationships/image" Target="media/image85.png"/><Relationship Id="rId116" Type="http://schemas.openxmlformats.org/officeDocument/2006/relationships/image" Target="media/image86.png"/><Relationship Id="rId117" Type="http://schemas.openxmlformats.org/officeDocument/2006/relationships/image" Target="media/image87.png"/><Relationship Id="rId118" Type="http://schemas.openxmlformats.org/officeDocument/2006/relationships/image" Target="media/image88.png"/><Relationship Id="rId119" Type="http://schemas.openxmlformats.org/officeDocument/2006/relationships/image" Target="media/image89.png"/><Relationship Id="rId120" Type="http://schemas.openxmlformats.org/officeDocument/2006/relationships/image" Target="media/image90.png"/><Relationship Id="rId121" Type="http://schemas.openxmlformats.org/officeDocument/2006/relationships/image" Target="media/image91.png"/><Relationship Id="rId122" Type="http://schemas.openxmlformats.org/officeDocument/2006/relationships/image" Target="media/image92.png"/><Relationship Id="rId123" Type="http://schemas.openxmlformats.org/officeDocument/2006/relationships/image" Target="media/image93.png"/><Relationship Id="rId124" Type="http://schemas.openxmlformats.org/officeDocument/2006/relationships/image" Target="media/image94.png"/><Relationship Id="rId125" Type="http://schemas.openxmlformats.org/officeDocument/2006/relationships/image" Target="media/image95.png"/><Relationship Id="rId126" Type="http://schemas.openxmlformats.org/officeDocument/2006/relationships/image" Target="media/image96.png"/><Relationship Id="rId127" Type="http://schemas.openxmlformats.org/officeDocument/2006/relationships/image" Target="media/image97.png"/><Relationship Id="rId128" Type="http://schemas.openxmlformats.org/officeDocument/2006/relationships/image" Target="media/image98.png"/><Relationship Id="rId129" Type="http://schemas.openxmlformats.org/officeDocument/2006/relationships/image" Target="media/image99.png"/><Relationship Id="rId130" Type="http://schemas.openxmlformats.org/officeDocument/2006/relationships/image" Target="media/image100.jpeg"/><Relationship Id="rId131" Type="http://schemas.openxmlformats.org/officeDocument/2006/relationships/image" Target="media/image101.png"/><Relationship Id="rId132" Type="http://schemas.openxmlformats.org/officeDocument/2006/relationships/image" Target="media/image102.png"/><Relationship Id="rId133" Type="http://schemas.openxmlformats.org/officeDocument/2006/relationships/image" Target="media/image103.png"/><Relationship Id="rId14" Type="http://schemas.openxmlformats.org/officeDocument/2006/relationships/hyperlink" Target="http://www.sec.gov/ix?doc=/Archives/edgar/data/1835632/000183563223000013/mrvl-20230128.htm" TargetMode="External"/><Relationship Id="rId15" Type="http://schemas.openxmlformats.org/officeDocument/2006/relationships/hyperlink" Target="http://www.sec.gov/ix?doc=/Archives/edgar/data/1835632/000110465923055484/tm232045d2_def14a.htm" TargetMode="External"/><Relationship Id="rId16" Type="http://schemas.openxmlformats.org/officeDocument/2006/relationships/hyperlink" Target="http://www.sec.gov/ix?doc=/Archives/edgar/data/1835632/000183563223000029/mrvl-20230429.htm" TargetMode="External"/><Relationship Id="rId17" Type="http://schemas.openxmlformats.org/officeDocument/2006/relationships/hyperlink" Target="http://www.sec.gov/ix?doc=/Archives/edgar/data/1835632/000183563223000038/mrvl-20230729.htm" TargetMode="External"/><Relationship Id="rId18" Type="http://schemas.openxmlformats.org/officeDocument/2006/relationships/hyperlink" Target="http://www.sec.gov/ix?doc=/Archives/edgar/data/1835632/000119312523071340/d483967d8k.htm" TargetMode="External"/><Relationship Id="rId19" Type="http://schemas.openxmlformats.org/officeDocument/2006/relationships/hyperlink" Target="http://www.sec.gov/ix?doc=/Archives/edgar/data/1835632/000119312523103639/d837395d8k.htm" TargetMode="External"/><Relationship Id="rId20" Type="http://schemas.openxmlformats.org/officeDocument/2006/relationships/hyperlink" Target="http://www.sec.gov/ix?doc=/Archives/edgar/data/1835632/000119312523169006/d457956d8k.htm" TargetMode="External"/><Relationship Id="rId82" Type="http://schemas.openxmlformats.org/officeDocument/2006/relationships/hyperlink" Target="http://www.sec.gov/Archives/edgar/data/1058057/000105805721000009/mrvl-20210130.htm" TargetMode="External"/><Relationship Id="rId83" Type="http://schemas.openxmlformats.org/officeDocument/2006/relationships/hyperlink" Target="http://www.sec.gov/Archives/edgar/data/1058057/000119312521077321/d152349ddefm14a.htm" TargetMode="External"/><Relationship Id="rId84" Type="http://schemas.openxmlformats.org/officeDocument/2006/relationships/hyperlink" Target="http://www.sec.gov/Archives/edgar/data/1835632/000183563221000010/mrvl-20210501.htm" TargetMode="External"/><Relationship Id="rId85" Type="http://schemas.openxmlformats.org/officeDocument/2006/relationships/hyperlink" Target="http://www.sec.gov/ix?doc=/Archives/edgar/data/0001835632/000183563221000022/mrvl-20210731.htm" TargetMode="External"/><Relationship Id="rId86" Type="http://schemas.openxmlformats.org/officeDocument/2006/relationships/hyperlink" Target="http://www.sec.gov/Archives/edgar/data/1058057/000119312521113298/d124916d8k.htm" TargetMode="External"/><Relationship Id="rId87" Type="http://schemas.openxmlformats.org/officeDocument/2006/relationships/hyperlink" Target="http://www.sec.gov/Archives/edgar/data/1058057/000119312521118598/d157292d8k.htm" TargetMode="External"/><Relationship Id="rId88" Type="http://schemas.openxmlformats.org/officeDocument/2006/relationships/hyperlink" Target="http://www.sec.gov/Archives/edgar/data/1058057/000119312521120469/d107622d8k.htm" TargetMode="External"/><Relationship Id="rId89" Type="http://schemas.openxmlformats.org/officeDocument/2006/relationships/hyperlink" Target="http://www.sec.gov/Archives/edgar/data/1058057/000119312521122807/d156000d8k.htm" TargetMode="External"/><Relationship Id="rId90" Type="http://schemas.openxmlformats.org/officeDocument/2006/relationships/hyperlink" Target="http://www.sec.gov/Archives/edgar/data/1835632/000119312521123305/d282209d8k.htm" TargetMode="External"/><Relationship Id="rId91" Type="http://schemas.openxmlformats.org/officeDocument/2006/relationships/hyperlink" Target="http://www.sec.gov/Archives/edgar/data/1835632/000119312521147951/d179745d8k.htm" TargetMode="External"/><Relationship Id="rId92" Type="http://schemas.openxmlformats.org/officeDocument/2006/relationships/hyperlink" Target="http://www.sec.gov/Archives/edgar/data/1835632/000119312521150119/d168758d8k.htm" TargetMode="External"/><Relationship Id="rId93" Type="http://schemas.openxmlformats.org/officeDocument/2006/relationships/hyperlink" Target="http://www.sec.gov/Archives/edgar/data/1835632/000119312521181434/d428035d8k.htm" TargetMode="External"/><Relationship Id="rId94" Type="http://schemas.openxmlformats.org/officeDocument/2006/relationships/hyperlink" Target="http://www.sec.gov/Archives/edgar/data/1835632/000119312521219644/d516320d8k.htm" TargetMode="External"/><Relationship Id="rId95" Type="http://schemas.openxmlformats.org/officeDocument/2006/relationships/hyperlink" Target="http://www.sec.gov/Archives/edgar/data/1835632/000119312521234006/d48391d8k.htm" TargetMode="External"/><Relationship Id="rId96" Type="http://schemas.openxmlformats.org/officeDocument/2006/relationships/hyperlink" Target="http://www.sec.gov/ix?doc=/Archives/edgar/data/0001835632/000119312521259393/d214006d8k.htm" TargetMode="External"/><Relationship Id="rId97" Type="http://schemas.openxmlformats.org/officeDocument/2006/relationships/hyperlink" Target="http://www.sec.gov/Archives/edgar/data/1835632/000119312521122938/d136815d8k12b.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2023-09-11T08:01:55Z</dcterms:created>
  <dcterms:modified xsi:type="dcterms:W3CDTF">2023-09-11T08:01:55Z</dcterms:modified>
</cp:coreProperties>
</file>