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1"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SECURITIES AND EXCHANGE COMMISSION</w:t>
      </w:r>
    </w:p>
    <w:p>
      <w:pPr>
        <w:jc w:val="center"/>
        <w:ind w:right="-3"/>
        <w:spacing w:after="0"/>
        <w:rPr>
          <w:sz w:val="20"/>
          <w:szCs w:val="20"/>
          <w:color w:val="auto"/>
        </w:rPr>
      </w:pPr>
      <w:r>
        <w:rPr>
          <w:rFonts w:ascii="Arial" w:cs="Arial" w:eastAsia="Arial" w:hAnsi="Arial"/>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45" w:lineRule="exact"/>
        <w:rPr>
          <w:sz w:val="24"/>
          <w:szCs w:val="24"/>
          <w:color w:val="auto"/>
        </w:rPr>
      </w:pPr>
    </w:p>
    <w:p>
      <w:pPr>
        <w:jc w:val="center"/>
        <w:ind w:right="-3"/>
        <w:spacing w:after="0"/>
        <w:rPr>
          <w:sz w:val="20"/>
          <w:szCs w:val="20"/>
          <w:color w:val="auto"/>
        </w:rPr>
      </w:pPr>
      <w:r>
        <w:rPr>
          <w:rFonts w:ascii="Arial" w:cs="Arial" w:eastAsia="Arial" w:hAnsi="Arial"/>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238125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7"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CURRENT REPORT</w:t>
      </w:r>
    </w:p>
    <w:p>
      <w:pPr>
        <w:spacing w:after="0" w:line="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Pursuant to Section 13 or 15(d)</w:t>
      </w:r>
    </w:p>
    <w:p>
      <w:pPr>
        <w:jc w:val="center"/>
        <w:ind w:right="-3"/>
        <w:spacing w:after="0"/>
        <w:rPr>
          <w:sz w:val="20"/>
          <w:szCs w:val="20"/>
          <w:color w:val="auto"/>
        </w:rPr>
      </w:pPr>
      <w:r>
        <w:rPr>
          <w:rFonts w:ascii="Arial" w:cs="Arial" w:eastAsia="Arial" w:hAnsi="Arial"/>
          <w:sz w:val="22"/>
          <w:szCs w:val="22"/>
          <w:b w:val="1"/>
          <w:bCs w:val="1"/>
          <w:color w:val="auto"/>
        </w:rPr>
        <w:t>of the Securities Exchange Act of 1934</w:t>
      </w:r>
    </w:p>
    <w:p>
      <w:pPr>
        <w:spacing w:after="0" w:line="142"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Report: September 18, 2023</w:t>
      </w:r>
    </w:p>
    <w:p>
      <w:pPr>
        <w:spacing w:after="0" w:line="14" w:lineRule="exact"/>
        <w:rPr>
          <w:sz w:val="24"/>
          <w:szCs w:val="24"/>
          <w:color w:val="auto"/>
        </w:rPr>
      </w:pPr>
    </w:p>
    <w:p>
      <w:pPr>
        <w:jc w:val="center"/>
        <w:ind w:right="-3"/>
        <w:spacing w:after="0"/>
        <w:rPr>
          <w:sz w:val="20"/>
          <w:szCs w:val="20"/>
          <w:color w:val="auto"/>
        </w:rPr>
      </w:pPr>
      <w:r>
        <w:rPr>
          <w:rFonts w:ascii="Arial" w:cs="Arial" w:eastAsia="Arial" w:hAnsi="Arial"/>
          <w:sz w:val="22"/>
          <w:szCs w:val="22"/>
          <w:b w:val="1"/>
          <w:bCs w:val="1"/>
          <w:color w:val="auto"/>
        </w:rPr>
        <w:t>(Date of earliest event reported)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7" w:lineRule="exact"/>
        <w:rPr>
          <w:sz w:val="24"/>
          <w:szCs w:val="24"/>
          <w:color w:val="auto"/>
        </w:rPr>
      </w:pPr>
    </w:p>
    <w:p>
      <w:pPr>
        <w:jc w:val="center"/>
        <w:ind w:right="-3"/>
        <w:spacing w:after="0"/>
        <w:rPr>
          <w:sz w:val="20"/>
          <w:szCs w:val="20"/>
          <w:color w:val="auto"/>
        </w:rPr>
      </w:pPr>
      <w:r>
        <w:rPr>
          <w:rFonts w:ascii="Arial" w:cs="Arial" w:eastAsia="Arial" w:hAnsi="Arial"/>
          <w:sz w:val="43"/>
          <w:szCs w:val="43"/>
          <w:b w:val="1"/>
          <w:bCs w:val="1"/>
          <w:color w:val="auto"/>
        </w:rPr>
        <w:t>MARVELL TECHNOLOGY, INC.</w:t>
      </w:r>
    </w:p>
    <w:p>
      <w:pPr>
        <w:spacing w:after="0" w:line="50" w:lineRule="exact"/>
        <w:rPr>
          <w:sz w:val="24"/>
          <w:szCs w:val="24"/>
          <w:color w:val="auto"/>
        </w:rPr>
      </w:pPr>
    </w:p>
    <w:p>
      <w:pPr>
        <w:jc w:val="center"/>
        <w:ind w:right="-3"/>
        <w:spacing w:after="0"/>
        <w:rPr>
          <w:sz w:val="20"/>
          <w:szCs w:val="20"/>
          <w:color w:val="auto"/>
        </w:rPr>
      </w:pPr>
      <w:r>
        <w:rPr>
          <w:rFonts w:ascii="Arial" w:cs="Arial" w:eastAsia="Arial" w:hAnsi="Arial"/>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82" w:right="439" w:bottom="1440" w:gutter="0" w:footer="0" w:header="0"/>
        </w:sectPr>
      </w:pPr>
    </w:p>
    <w:p>
      <w:pPr>
        <w:spacing w:after="0" w:line="200" w:lineRule="exact"/>
        <w:rPr>
          <w:sz w:val="24"/>
          <w:szCs w:val="24"/>
          <w:color w:val="auto"/>
        </w:rPr>
      </w:pPr>
    </w:p>
    <w:p>
      <w:pPr>
        <w:spacing w:after="0" w:line="383" w:lineRule="exact"/>
        <w:rPr>
          <w:sz w:val="24"/>
          <w:szCs w:val="24"/>
          <w:color w:val="auto"/>
        </w:rPr>
      </w:pPr>
    </w:p>
    <w:p>
      <w:pPr>
        <w:ind w:left="1504"/>
        <w:spacing w:after="0"/>
        <w:rPr>
          <w:sz w:val="20"/>
          <w:szCs w:val="20"/>
          <w:color w:val="auto"/>
        </w:rPr>
      </w:pPr>
      <w:r>
        <w:rPr>
          <w:rFonts w:ascii="Arial" w:cs="Arial" w:eastAsia="Arial" w:hAnsi="Arial"/>
          <w:sz w:val="16"/>
          <w:szCs w:val="16"/>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jc w:val="center"/>
        <w:ind w:right="2100"/>
        <w:spacing w:after="0"/>
        <w:rPr>
          <w:sz w:val="20"/>
          <w:szCs w:val="20"/>
          <w:color w:val="auto"/>
        </w:rPr>
      </w:pPr>
      <w:r>
        <w:rPr>
          <w:rFonts w:ascii="Arial" w:cs="Arial" w:eastAsia="Arial" w:hAnsi="Arial"/>
          <w:sz w:val="16"/>
          <w:szCs w:val="16"/>
          <w:b w:val="1"/>
          <w:bCs w:val="1"/>
          <w:color w:val="auto"/>
        </w:rPr>
        <w:t>001-40357</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63"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85-3971597</w:t>
      </w:r>
    </w:p>
    <w:p>
      <w:pPr>
        <w:spacing w:after="0" w:line="31" w:lineRule="exact"/>
        <w:rPr>
          <w:sz w:val="24"/>
          <w:szCs w:val="24"/>
          <w:color w:val="auto"/>
        </w:rPr>
      </w:pPr>
    </w:p>
    <w:p>
      <w:pPr>
        <w:sectPr>
          <w:pgSz w:w="11900" w:h="16838" w:orient="portrait"/>
          <w:cols w:equalWidth="0" w:num="3">
            <w:col w:w="4504" w:space="720"/>
            <w:col w:w="2880" w:space="720"/>
            <w:col w:w="2200"/>
          </w:cols>
          <w:pgMar w:left="436" w:top="382" w:right="439" w:bottom="1440" w:gutter="0" w:footer="0" w:header="0"/>
          <w:type w:val="continuous"/>
        </w:sectPr>
      </w:pPr>
    </w:p>
    <w:p>
      <w:pPr>
        <w:spacing w:after="0" w:line="12" w:lineRule="exact"/>
        <w:rPr>
          <w:sz w:val="24"/>
          <w:szCs w:val="24"/>
          <w:color w:val="auto"/>
        </w:rPr>
      </w:pPr>
    </w:p>
    <w:p>
      <w:pPr>
        <w:jc w:val="center"/>
        <w:ind w:right="756"/>
        <w:spacing w:after="0"/>
        <w:rPr>
          <w:sz w:val="20"/>
          <w:szCs w:val="20"/>
          <w:color w:val="auto"/>
        </w:rPr>
      </w:pPr>
      <w:r>
        <w:rPr>
          <w:rFonts w:ascii="Arial" w:cs="Arial" w:eastAsia="Arial" w:hAnsi="Arial"/>
          <w:sz w:val="13"/>
          <w:szCs w:val="13"/>
          <w:b w:val="1"/>
          <w:bCs w:val="1"/>
          <w:color w:val="auto"/>
        </w:rPr>
        <w:t>(State or other jurisdiction</w:t>
      </w:r>
    </w:p>
    <w:p>
      <w:pPr>
        <w:jc w:val="center"/>
        <w:ind w:right="756"/>
        <w:spacing w:after="0"/>
        <w:rPr>
          <w:sz w:val="20"/>
          <w:szCs w:val="20"/>
          <w:color w:val="auto"/>
        </w:rPr>
      </w:pPr>
      <w:r>
        <w:rPr>
          <w:rFonts w:ascii="Arial" w:cs="Arial" w:eastAsia="Arial" w:hAnsi="Arial"/>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Arial" w:cs="Arial" w:eastAsia="Arial" w:hAnsi="Arial"/>
          <w:sz w:val="12"/>
          <w:szCs w:val="12"/>
          <w:b w:val="1"/>
          <w:bCs w:val="1"/>
          <w:color w:val="auto"/>
        </w:rPr>
        <w:t>(Commission</w:t>
      </w:r>
    </w:p>
    <w:p>
      <w:pPr>
        <w:spacing w:after="0" w:line="4"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File Number)</w:t>
      </w:r>
    </w:p>
    <w:p>
      <w:pPr>
        <w:spacing w:after="0" w:line="20" w:lineRule="exact"/>
        <w:rPr>
          <w:sz w:val="24"/>
          <w:szCs w:val="24"/>
          <w:color w:val="auto"/>
        </w:rPr>
      </w:pPr>
      <w:r>
        <w:rPr>
          <w:sz w:val="24"/>
          <w:szCs w:val="24"/>
          <w:color w:val="auto"/>
        </w:rPr>
        <w:br w:type="column"/>
      </w:r>
    </w:p>
    <w:p>
      <w:pPr>
        <w:jc w:val="center"/>
        <w:ind w:right="1200"/>
        <w:spacing w:after="0"/>
        <w:rPr>
          <w:sz w:val="20"/>
          <w:szCs w:val="20"/>
          <w:color w:val="auto"/>
        </w:rPr>
      </w:pPr>
      <w:r>
        <w:rPr>
          <w:rFonts w:ascii="Arial" w:cs="Arial" w:eastAsia="Arial" w:hAnsi="Arial"/>
          <w:sz w:val="14"/>
          <w:szCs w:val="14"/>
          <w:b w:val="1"/>
          <w:bCs w:val="1"/>
          <w:color w:val="auto"/>
        </w:rPr>
        <w:t>(IRS Employer</w:t>
      </w:r>
    </w:p>
    <w:p>
      <w:pPr>
        <w:jc w:val="center"/>
        <w:ind w:right="1200"/>
        <w:spacing w:after="0"/>
        <w:rPr>
          <w:sz w:val="20"/>
          <w:szCs w:val="20"/>
          <w:color w:val="auto"/>
        </w:rPr>
      </w:pPr>
      <w:r>
        <w:rPr>
          <w:rFonts w:ascii="Arial" w:cs="Arial" w:eastAsia="Arial" w:hAnsi="Arial"/>
          <w:sz w:val="13"/>
          <w:szCs w:val="13"/>
          <w:b w:val="1"/>
          <w:bCs w:val="1"/>
          <w:color w:val="auto"/>
        </w:rPr>
        <w:t>Identification No.)</w:t>
      </w:r>
    </w:p>
    <w:p>
      <w:pPr>
        <w:spacing w:after="0" w:line="176" w:lineRule="exact"/>
        <w:rPr>
          <w:sz w:val="24"/>
          <w:szCs w:val="24"/>
          <w:color w:val="auto"/>
        </w:rPr>
      </w:pPr>
    </w:p>
    <w:p>
      <w:pPr>
        <w:sectPr>
          <w:pgSz w:w="11900" w:h="16838" w:orient="portrait"/>
          <w:cols w:equalWidth="0" w:num="3">
            <w:col w:w="4484" w:space="720"/>
            <w:col w:w="2760" w:space="720"/>
            <w:col w:w="2340"/>
          </w:cols>
          <w:pgMar w:left="436" w:top="382" w:right="439" w:bottom="1440" w:gutter="0" w:footer="0" w:header="0"/>
          <w:type w:val="continuous"/>
        </w:sectPr>
      </w:pPr>
    </w:p>
    <w:p>
      <w:pPr>
        <w:jc w:val="center"/>
        <w:ind w:right="16"/>
        <w:spacing w:after="0"/>
        <w:rPr>
          <w:sz w:val="20"/>
          <w:szCs w:val="20"/>
          <w:color w:val="auto"/>
        </w:rPr>
      </w:pPr>
      <w:r>
        <w:rPr>
          <w:rFonts w:ascii="Arial" w:cs="Arial" w:eastAsia="Arial" w:hAnsi="Arial"/>
          <w:sz w:val="18"/>
          <w:szCs w:val="18"/>
          <w:b w:val="1"/>
          <w:bCs w:val="1"/>
          <w:color w:val="auto"/>
        </w:rPr>
        <w:t>1000 N. West Street, Suite 1200</w:t>
      </w:r>
    </w:p>
    <w:p>
      <w:pPr>
        <w:spacing w:after="0" w:line="27"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Wilmington, Delaware 19801</w:t>
      </w:r>
    </w:p>
    <w:p>
      <w:pPr>
        <w:spacing w:after="0" w:line="2" w:lineRule="exact"/>
        <w:rPr>
          <w:sz w:val="24"/>
          <w:szCs w:val="24"/>
          <w:color w:val="auto"/>
        </w:rPr>
      </w:pPr>
    </w:p>
    <w:p>
      <w:pPr>
        <w:jc w:val="center"/>
        <w:ind w:right="16"/>
        <w:spacing w:after="0"/>
        <w:rPr>
          <w:sz w:val="20"/>
          <w:szCs w:val="20"/>
          <w:color w:val="auto"/>
        </w:rPr>
      </w:pPr>
      <w:r>
        <w:rPr>
          <w:rFonts w:ascii="Arial" w:cs="Arial" w:eastAsia="Arial" w:hAnsi="Arial"/>
          <w:sz w:val="12"/>
          <w:szCs w:val="12"/>
          <w:b w:val="1"/>
          <w:bCs w:val="1"/>
          <w:color w:val="auto"/>
        </w:rPr>
        <w:t>(Address of principal executive offices, including zip code)</w:t>
      </w:r>
    </w:p>
    <w:p>
      <w:pPr>
        <w:spacing w:after="0" w:line="188" w:lineRule="exact"/>
        <w:rPr>
          <w:sz w:val="24"/>
          <w:szCs w:val="24"/>
          <w:color w:val="auto"/>
        </w:rPr>
      </w:pPr>
    </w:p>
    <w:p>
      <w:pPr>
        <w:jc w:val="center"/>
        <w:ind w:right="16"/>
        <w:spacing w:after="0"/>
        <w:rPr>
          <w:sz w:val="20"/>
          <w:szCs w:val="20"/>
          <w:color w:val="auto"/>
        </w:rPr>
      </w:pPr>
      <w:r>
        <w:rPr>
          <w:rFonts w:ascii="Arial" w:cs="Arial" w:eastAsia="Arial" w:hAnsi="Arial"/>
          <w:sz w:val="18"/>
          <w:szCs w:val="18"/>
          <w:b w:val="1"/>
          <w:bCs w:val="1"/>
          <w:color w:val="auto"/>
        </w:rPr>
        <w:t>(302) 295-4840</w:t>
      </w:r>
    </w:p>
    <w:p>
      <w:pPr>
        <w:spacing w:after="0" w:line="21" w:lineRule="exact"/>
        <w:rPr>
          <w:sz w:val="24"/>
          <w:szCs w:val="24"/>
          <w:color w:val="auto"/>
        </w:rPr>
      </w:pPr>
    </w:p>
    <w:p>
      <w:pPr>
        <w:jc w:val="center"/>
        <w:ind w:right="16"/>
        <w:spacing w:after="0"/>
        <w:rPr>
          <w:sz w:val="20"/>
          <w:szCs w:val="20"/>
          <w:color w:val="auto"/>
        </w:rPr>
      </w:pPr>
      <w:r>
        <w:rPr>
          <w:rFonts w:ascii="Arial" w:cs="Arial" w:eastAsia="Arial" w:hAnsi="Arial"/>
          <w:sz w:val="14"/>
          <w:szCs w:val="14"/>
          <w:b w:val="1"/>
          <w:bCs w:val="1"/>
          <w:color w:val="auto"/>
        </w:rPr>
        <w:t>(Registrant’s telephone number, including area code)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201930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82" w:right="439" w:bottom="1440" w:gutter="0" w:footer="0" w:header="0"/>
          <w:type w:val="continuous"/>
        </w:sectPr>
      </w:pPr>
    </w:p>
    <w:p>
      <w:pPr>
        <w:spacing w:after="0" w:line="200" w:lineRule="exact"/>
        <w:rPr>
          <w:sz w:val="24"/>
          <w:szCs w:val="24"/>
          <w:color w:val="auto"/>
        </w:rPr>
      </w:pPr>
    </w:p>
    <w:p>
      <w:pPr>
        <w:spacing w:after="0" w:line="293" w:lineRule="exact"/>
        <w:rPr>
          <w:sz w:val="24"/>
          <w:szCs w:val="24"/>
          <w:color w:val="auto"/>
        </w:rPr>
      </w:pPr>
    </w:p>
    <w:p>
      <w:pPr>
        <w:ind w:left="4" w:right="48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 of the registrant under any of the following provisions:</w:t>
      </w:r>
    </w:p>
    <w:p>
      <w:pPr>
        <w:spacing w:after="0" w:line="76"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4"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Arial" w:cs="Arial" w:eastAsia="Arial" w:hAnsi="Arial"/>
                <w:sz w:val="14"/>
                <w:szCs w:val="14"/>
                <w:b w:val="1"/>
                <w:bCs w:val="1"/>
                <w:color w:val="auto"/>
                <w:w w:val="89"/>
              </w:rPr>
              <w:t>Title of each class</w:t>
            </w: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93"/>
              </w:rPr>
              <w:t>Trading</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88"/>
              </w:rPr>
              <w:t>Name of each exchange</w:t>
            </w:r>
          </w:p>
        </w:tc>
        <w:tc>
          <w:tcPr>
            <w:tcW w:w="0" w:type="dxa"/>
            <w:vAlign w:val="bottom"/>
          </w:tcPr>
          <w:p>
            <w:pPr>
              <w:spacing w:after="0"/>
              <w:rPr>
                <w:sz w:val="1"/>
                <w:szCs w:val="1"/>
                <w:color w:val="auto"/>
              </w:rPr>
            </w:pPr>
          </w:p>
        </w:tc>
      </w:tr>
      <w:tr>
        <w:trPr>
          <w:trHeight w:val="185"/>
        </w:trPr>
        <w:tc>
          <w:tcPr>
            <w:tcW w:w="3860" w:type="dxa"/>
            <w:vAlign w:val="bottom"/>
            <w:gridSpan w:val="2"/>
            <w:vMerge w:val="continue"/>
          </w:tcPr>
          <w:p>
            <w:pPr>
              <w:spacing w:after="0"/>
              <w:rPr>
                <w:sz w:val="16"/>
                <w:szCs w:val="16"/>
                <w:color w:val="auto"/>
              </w:rPr>
            </w:pPr>
          </w:p>
        </w:tc>
        <w:tc>
          <w:tcPr>
            <w:tcW w:w="3620" w:type="dxa"/>
            <w:vAlign w:val="bottom"/>
            <w:gridSpan w:val="2"/>
          </w:tcPr>
          <w:p>
            <w:pPr>
              <w:jc w:val="center"/>
              <w:ind w:right="100"/>
              <w:spacing w:after="0"/>
              <w:rPr>
                <w:sz w:val="20"/>
                <w:szCs w:val="20"/>
                <w:color w:val="auto"/>
              </w:rPr>
            </w:pPr>
            <w:r>
              <w:rPr>
                <w:rFonts w:ascii="Arial" w:cs="Arial" w:eastAsia="Arial" w:hAnsi="Arial"/>
                <w:sz w:val="14"/>
                <w:szCs w:val="14"/>
                <w:b w:val="1"/>
                <w:bCs w:val="1"/>
                <w:color w:val="auto"/>
                <w:w w:val="88"/>
              </w:rPr>
              <w:t>Symbol(s)</w:t>
            </w:r>
          </w:p>
        </w:tc>
        <w:tc>
          <w:tcPr>
            <w:tcW w:w="3540" w:type="dxa"/>
            <w:vAlign w:val="bottom"/>
          </w:tcPr>
          <w:p>
            <w:pPr>
              <w:jc w:val="center"/>
              <w:spacing w:after="0"/>
              <w:rPr>
                <w:sz w:val="20"/>
                <w:szCs w:val="20"/>
                <w:color w:val="auto"/>
              </w:rPr>
            </w:pPr>
            <w:r>
              <w:rPr>
                <w:rFonts w:ascii="Arial" w:cs="Arial" w:eastAsia="Arial" w:hAnsi="Arial"/>
                <w:sz w:val="14"/>
                <w:szCs w:val="14"/>
                <w:b w:val="1"/>
                <w:bCs w:val="1"/>
                <w:color w:val="auto"/>
                <w:w w:val="92"/>
              </w:rPr>
              <w:t>on which registered</w:t>
            </w:r>
          </w:p>
        </w:tc>
        <w:tc>
          <w:tcPr>
            <w:tcW w:w="0" w:type="dxa"/>
            <w:vAlign w:val="bottom"/>
          </w:tcPr>
          <w:p>
            <w:pPr>
              <w:spacing w:after="0"/>
              <w:rPr>
                <w:sz w:val="1"/>
                <w:szCs w:val="1"/>
                <w:color w:val="auto"/>
              </w:rPr>
            </w:pPr>
          </w:p>
        </w:tc>
      </w:tr>
      <w:tr>
        <w:trPr>
          <w:trHeight w:val="224"/>
        </w:trPr>
        <w:tc>
          <w:tcPr>
            <w:tcW w:w="37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88"/>
              </w:rPr>
              <w:t>Common Shares</w:t>
            </w:r>
          </w:p>
        </w:tc>
        <w:tc>
          <w:tcPr>
            <w:tcW w:w="120" w:type="dxa"/>
            <w:vAlign w:val="bottom"/>
          </w:tcPr>
          <w:p>
            <w:pPr>
              <w:spacing w:after="0"/>
              <w:rPr>
                <w:sz w:val="19"/>
                <w:szCs w:val="19"/>
                <w:color w:val="auto"/>
              </w:rPr>
            </w:pPr>
          </w:p>
        </w:tc>
        <w:tc>
          <w:tcPr>
            <w:tcW w:w="352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rPr>
              <w:t>MRVL</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Arial" w:cs="Arial" w:eastAsia="Arial" w:hAnsi="Arial"/>
                <w:sz w:val="18"/>
                <w:szCs w:val="18"/>
                <w:color w:val="auto"/>
                <w:w w:val="91"/>
              </w:rPr>
              <w:t>The Nasdaq Stock Market, LLC</w:t>
            </w:r>
          </w:p>
        </w:tc>
        <w:tc>
          <w:tcPr>
            <w:tcW w:w="0" w:type="dxa"/>
            <w:vAlign w:val="bottom"/>
          </w:tcPr>
          <w:p>
            <w:pPr>
              <w:spacing w:after="0"/>
              <w:rPr>
                <w:sz w:val="1"/>
                <w:szCs w:val="1"/>
                <w:color w:val="auto"/>
              </w:rPr>
            </w:pPr>
          </w:p>
        </w:tc>
      </w:tr>
    </w:tbl>
    <w:p>
      <w:pPr>
        <w:spacing w:after="0" w:line="160" w:lineRule="exact"/>
        <w:rPr>
          <w:sz w:val="24"/>
          <w:szCs w:val="24"/>
          <w:color w:val="auto"/>
        </w:rPr>
      </w:pPr>
    </w:p>
    <w:p>
      <w:pPr>
        <w:ind w:left="4" w:right="300"/>
        <w:spacing w:after="0" w:line="277" w:lineRule="auto"/>
        <w:rPr>
          <w:sz w:val="20"/>
          <w:szCs w:val="20"/>
          <w:color w:val="auto"/>
        </w:rPr>
      </w:pPr>
      <w:r>
        <w:rPr>
          <w:rFonts w:ascii="Arial" w:cs="Arial" w:eastAsia="Arial" w:hAnsi="Arial"/>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5" w:lineRule="exact"/>
        <w:rPr>
          <w:sz w:val="24"/>
          <w:szCs w:val="24"/>
          <w:color w:val="auto"/>
        </w:rPr>
      </w:pPr>
    </w:p>
    <w:p>
      <w:pPr>
        <w:ind w:left="8804"/>
        <w:spacing w:after="0" w:line="184" w:lineRule="exact"/>
        <w:rPr>
          <w:sz w:val="20"/>
          <w:szCs w:val="20"/>
          <w:color w:val="auto"/>
        </w:rPr>
      </w:pPr>
      <w:r>
        <w:rPr>
          <w:rFonts w:ascii="Arial" w:cs="Arial" w:eastAsia="Arial" w:hAnsi="Arial"/>
          <w:sz w:val="16"/>
          <w:szCs w:val="16"/>
          <w:color w:val="auto"/>
        </w:rPr>
        <w:t xml:space="preserve">Emerging growth company </w:t>
      </w:r>
      <w:r>
        <w:rPr>
          <w:rFonts w:ascii="MS PGothic" w:cs="MS PGothic" w:eastAsia="MS PGothic" w:hAnsi="MS PGothic"/>
          <w:sz w:val="16"/>
          <w:szCs w:val="16"/>
          <w:color w:val="auto"/>
        </w:rPr>
        <w:t>☐</w:t>
      </w:r>
    </w:p>
    <w:p>
      <w:pPr>
        <w:spacing w:after="0" w:line="252" w:lineRule="exact"/>
        <w:rPr>
          <w:sz w:val="24"/>
          <w:szCs w:val="24"/>
          <w:color w:val="auto"/>
        </w:rPr>
      </w:pPr>
    </w:p>
    <w:p>
      <w:pPr>
        <w:ind w:left="4" w:right="300"/>
        <w:spacing w:after="0" w:line="238" w:lineRule="exact"/>
        <w:rPr>
          <w:sz w:val="20"/>
          <w:szCs w:val="20"/>
          <w:color w:val="auto"/>
        </w:rPr>
      </w:pPr>
      <w:r>
        <w:rPr>
          <w:rFonts w:ascii="Arial" w:cs="Arial" w:eastAsia="Arial" w:hAnsi="Arial"/>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136525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179705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82"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Arial" w:cs="Arial" w:eastAsia="Arial" w:hAnsi="Arial"/>
          <w:sz w:val="16"/>
          <w:szCs w:val="16"/>
          <w:b w:val="1"/>
          <w:bCs w:val="1"/>
          <w:color w:val="auto"/>
        </w:rPr>
        <w:t>Entry into a Material Definitive Agreement.</w:t>
      </w:r>
    </w:p>
    <w:p>
      <w:pPr>
        <w:spacing w:after="0" w:line="121" w:lineRule="exact"/>
        <w:rPr>
          <w:sz w:val="20"/>
          <w:szCs w:val="20"/>
          <w:color w:val="auto"/>
        </w:rPr>
      </w:pPr>
    </w:p>
    <w:p>
      <w:pPr>
        <w:spacing w:after="0" w:line="253" w:lineRule="auto"/>
        <w:rPr>
          <w:sz w:val="20"/>
          <w:szCs w:val="20"/>
          <w:color w:val="auto"/>
        </w:rPr>
      </w:pPr>
      <w:r>
        <w:rPr>
          <w:rFonts w:ascii="Arial" w:cs="Arial" w:eastAsia="Arial" w:hAnsi="Arial"/>
          <w:sz w:val="18"/>
          <w:szCs w:val="18"/>
          <w:color w:val="auto"/>
        </w:rPr>
        <w:t>On September 18, 2023, Marvell Technology, Inc. (the “Company”) completed a public offering of $500,000,000 aggregate principal amount of its 5.750% Senior Notes due 2029 (the “2029 Notes”) and $500,000,000 aggregate principal amount of its 5.950% Senior Notes due 2033 (the “2033 Notes” and, together with the 2029 Notes, the “Notes”). The Notes were offered and sold pursuant to the Company’s shelf registration statement on Form S-3 (No. 333-259141) (the “Registration Statement”) filed with the Securities and Exchange Commission (the “SEC”) under the Securities Act of 1933, as amended (the “Securities Act”), on August 27, 2021. The net proceeds from the sale of the Notes were approximately $989.0 million after deducting the underwriters’ discount but before other expenses and will be used for repayment of debt, including amounts outstanding under the Company’s term loans due in 2024 and its revolving credit agreement. Remaining funds will be used for general corporate purposes, which may include, but are not limited to, funding for working capital, payment of dividends, capital expenditures, repurchases of the Company’s common stock and acquisitions.</w:t>
      </w:r>
    </w:p>
    <w:p>
      <w:pPr>
        <w:spacing w:after="0" w:line="196" w:lineRule="exact"/>
        <w:rPr>
          <w:sz w:val="20"/>
          <w:szCs w:val="20"/>
          <w:color w:val="auto"/>
        </w:rPr>
      </w:pPr>
    </w:p>
    <w:p>
      <w:pPr>
        <w:ind w:right="200"/>
        <w:spacing w:after="0" w:line="259" w:lineRule="auto"/>
        <w:rPr>
          <w:sz w:val="20"/>
          <w:szCs w:val="20"/>
          <w:color w:val="auto"/>
        </w:rPr>
      </w:pPr>
      <w:r>
        <w:rPr>
          <w:rFonts w:ascii="Arial" w:cs="Arial" w:eastAsia="Arial" w:hAnsi="Arial"/>
          <w:sz w:val="18"/>
          <w:szCs w:val="18"/>
          <w:color w:val="auto"/>
        </w:rPr>
        <w:t>The Notes are governed by the Indenture, dated as of April 12, 2021 (the “Base Indenture”), between the Company and U.S. Bank Trust Company, National Association (successor in interest to U.S. Bank National Association), as trustee (the “Trustee”), as supplemented by the Third Supplemental Indenture, dated as of September 18, 2023, between the Company and the Trustee (the “Third Supplemental Indenture” and, together with the Base Indenture, the “Indenture”).</w:t>
      </w:r>
    </w:p>
    <w:p>
      <w:pPr>
        <w:spacing w:after="0" w:line="187" w:lineRule="exact"/>
        <w:rPr>
          <w:sz w:val="20"/>
          <w:szCs w:val="20"/>
          <w:color w:val="auto"/>
        </w:rPr>
      </w:pPr>
    </w:p>
    <w:p>
      <w:pPr>
        <w:ind w:right="120"/>
        <w:spacing w:after="0" w:line="301" w:lineRule="auto"/>
        <w:rPr>
          <w:sz w:val="20"/>
          <w:szCs w:val="20"/>
          <w:color w:val="auto"/>
        </w:rPr>
      </w:pPr>
      <w:r>
        <w:rPr>
          <w:rFonts w:ascii="Arial" w:cs="Arial" w:eastAsia="Arial" w:hAnsi="Arial"/>
          <w:sz w:val="16"/>
          <w:szCs w:val="16"/>
          <w:color w:val="auto"/>
        </w:rPr>
        <w:t>The Notes will accrue interest from September 18, 2023. Interest on the 2029 Notes will be payable semi-annually in arrears on February 15 and August 15 of each year, beginning on February 15, 2024. Interest on the 2033 Notes will be payable semi-annually in arrears on March 15 and September 15 of each year, beginning on March 15, 2024. The 2029 Notes will accrue interest at a rate of 5.750% per year, and the 2033 Notes will accrue interest at a rate of 5.950% per year. The 2029 Notes will mature on February 15, 2029, and the 2033 Notes will mature on September 15, 2033.</w:t>
      </w:r>
    </w:p>
    <w:p>
      <w:pPr>
        <w:spacing w:after="0" w:line="157" w:lineRule="exact"/>
        <w:rPr>
          <w:sz w:val="20"/>
          <w:szCs w:val="20"/>
          <w:color w:val="auto"/>
        </w:rPr>
      </w:pPr>
    </w:p>
    <w:p>
      <w:pPr>
        <w:ind w:right="80"/>
        <w:spacing w:after="0" w:line="287" w:lineRule="auto"/>
        <w:rPr>
          <w:sz w:val="20"/>
          <w:szCs w:val="20"/>
          <w:color w:val="auto"/>
        </w:rPr>
      </w:pPr>
      <w:r>
        <w:rPr>
          <w:rFonts w:ascii="Arial" w:cs="Arial" w:eastAsia="Arial" w:hAnsi="Arial"/>
          <w:sz w:val="16"/>
          <w:szCs w:val="16"/>
          <w:color w:val="auto"/>
        </w:rPr>
        <w:t>Prior to (i) January 15, 2029 for the 2029 Notes (one month prior to the maturity date for the 2029 Notes) and (ii) June 15, 2033 for the 2033 Notes (three months prior to the maturity date for the 2033 Notes) (each, a “par call date”), the Company may redeem the applicable series of Notes at the Company’s option, in whole or in part, at any time and from time to time, at a redemption price (expressed as a percentage of principal amount and rounded to three decimal places) equal to the greater of: (1) (a) the sum of the present values of the remaining scheduled payments of principal and interest on the Notes to be redeemed discounted to the redemption date (assuming that such Notes matured on their applicable par call date), on a semi-annual basis (assuming a 360-day year composed of twelve 30-day months) at a rate equal to the Treasury Rate (as defined in the Third Supplemental Indenture), plus 25 basis points in the case of the 2029 Notes and 30 basis points in the case of the 2033 Notes less (b) interest accrued to the date of redemption; and (2) 100% of the principal amount of the Notes to be redeemed; plus, in either case, accrued and unpaid interest on the applicable Notes to the redemption date. On or after the applicable par call date for the 2029 Notes and the 2033 Notes, the Company may redeem the Notes of the applicable series in whole or in part, at any time and from time to time, at a redemption price equal to 100% of the principal amount of the Notes being redeemed, plus accrued and unpaid interest thereon to the redemption date.</w:t>
      </w:r>
    </w:p>
    <w:p>
      <w:pPr>
        <w:spacing w:after="0" w:line="172" w:lineRule="exact"/>
        <w:rPr>
          <w:sz w:val="20"/>
          <w:szCs w:val="20"/>
          <w:color w:val="auto"/>
        </w:rPr>
      </w:pPr>
    </w:p>
    <w:p>
      <w:pPr>
        <w:spacing w:after="0" w:line="301" w:lineRule="auto"/>
        <w:rPr>
          <w:rFonts w:ascii="Arial" w:cs="Arial" w:eastAsia="Arial" w:hAnsi="Arial"/>
          <w:sz w:val="16"/>
          <w:szCs w:val="16"/>
          <w:color w:val="auto"/>
        </w:rPr>
      </w:pPr>
      <w:r>
        <w:rPr>
          <w:rFonts w:ascii="Arial" w:cs="Arial" w:eastAsia="Arial" w:hAnsi="Arial"/>
          <w:sz w:val="16"/>
          <w:szCs w:val="16"/>
          <w:color w:val="auto"/>
        </w:rPr>
        <w:t xml:space="preserve">The foregoing description of the Base Indenture, the Third Supplemental Indenture and the Notes do not purport to be complete and are qualified in their entirety by reference to the full text of the Base Indenture, which was filed as </w:t>
      </w:r>
      <w:hyperlink r:id="rId18">
        <w:r>
          <w:rPr>
            <w:rFonts w:ascii="Arial" w:cs="Arial" w:eastAsia="Arial" w:hAnsi="Arial"/>
            <w:sz w:val="16"/>
            <w:szCs w:val="16"/>
            <w:u w:val="single" w:color="auto"/>
            <w:color w:val="0000EE"/>
          </w:rPr>
          <w:t>Exhibit 4.1</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to Marvell Technology Group Ltd.’s Form 8-K filed with the SEC on April 12, 2021; and the Third Supplemental Indenture, the form of global note representing the 2029 Notes and the form of global note representing the 2033 Notes, which are filed as Exhibits 4.1, 4.2 and 4.3, respectively, to this Form 8-K and are incorporated by reference herein.</w:t>
      </w:r>
    </w:p>
    <w:p>
      <w:pPr>
        <w:sectPr>
          <w:pgSz w:w="11900" w:h="16838" w:orient="portrait"/>
          <w:cols w:equalWidth="0" w:num="1">
            <w:col w:w="11000"/>
          </w:cols>
          <w:pgMar w:left="440" w:top="297" w:right="459" w:bottom="1440" w:gutter="0" w:footer="0" w:header="0"/>
        </w:sectPr>
      </w:pPr>
    </w:p>
    <w:bookmarkStart w:id="2" w:name="page3"/>
    <w:bookmarkEnd w:id="2"/>
    <w:p>
      <w:pPr>
        <w:spacing w:after="0"/>
        <w:tabs>
          <w:tab w:leader="none" w:pos="1180" w:val="left"/>
        </w:tabs>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Item 8.01</w:t>
      </w:r>
      <w:r>
        <w:rPr>
          <w:sz w:val="20"/>
          <w:szCs w:val="20"/>
          <w:color w:val="auto"/>
        </w:rPr>
        <w:tab/>
      </w:r>
      <w:r>
        <w:rPr>
          <w:rFonts w:ascii="Arial" w:cs="Arial" w:eastAsia="Arial" w:hAnsi="Arial"/>
          <w:sz w:val="16"/>
          <w:szCs w:val="16"/>
          <w:b w:val="1"/>
          <w:bCs w:val="1"/>
          <w:color w:val="auto"/>
        </w:rPr>
        <w:t>Other Events.</w:t>
      </w:r>
    </w:p>
    <w:p>
      <w:pPr>
        <w:spacing w:after="0" w:line="121" w:lineRule="exact"/>
        <w:rPr>
          <w:sz w:val="20"/>
          <w:szCs w:val="20"/>
          <w:color w:val="auto"/>
        </w:rPr>
      </w:pPr>
    </w:p>
    <w:p>
      <w:pPr>
        <w:ind w:right="80"/>
        <w:spacing w:after="0" w:line="255" w:lineRule="auto"/>
        <w:rPr>
          <w:sz w:val="20"/>
          <w:szCs w:val="20"/>
          <w:color w:val="auto"/>
        </w:rPr>
      </w:pPr>
      <w:r>
        <w:rPr>
          <w:rFonts w:ascii="Arial" w:cs="Arial" w:eastAsia="Arial" w:hAnsi="Arial"/>
          <w:sz w:val="18"/>
          <w:szCs w:val="18"/>
          <w:color w:val="auto"/>
        </w:rPr>
        <w:t>The Notes were offered pursuant to an underwriting agreement, dated September 11, 2023, among the Company and J.P. Morgan Securities LLC, BofA Securities, Inc. and Wells Fargo Securities, LLC, as representatives of the several underwriters identified on Schedule 1 thereto (collectively, the “Underwriters”). The Company sold the 2029 Notes to the Underwriters at a price of 99.108% of the principal amount thereof, and the Underwriters offered the 2029 Notes to the public at a price of 99.708% of the principal amount thereof. The Company sold the 2033 Notes to the Underwriters at a price of 98.698% of the principal amount thereof, and the Underwriters offered the 2033 Notes to the public at a price of 99.348% of the principal amount thereof.</w:t>
      </w:r>
    </w:p>
    <w:p>
      <w:pPr>
        <w:spacing w:after="0" w:line="192" w:lineRule="exact"/>
        <w:rPr>
          <w:sz w:val="20"/>
          <w:szCs w:val="20"/>
          <w:color w:val="auto"/>
        </w:rPr>
      </w:pPr>
    </w:p>
    <w:p>
      <w:pPr>
        <w:jc w:val="both"/>
        <w:ind w:right="120"/>
        <w:spacing w:after="0" w:line="263" w:lineRule="auto"/>
        <w:rPr>
          <w:sz w:val="20"/>
          <w:szCs w:val="20"/>
          <w:color w:val="auto"/>
        </w:rPr>
      </w:pPr>
      <w:r>
        <w:rPr>
          <w:rFonts w:ascii="Arial" w:cs="Arial" w:eastAsia="Arial" w:hAnsi="Arial"/>
          <w:sz w:val="18"/>
          <w:szCs w:val="18"/>
          <w:color w:val="auto"/>
        </w:rPr>
        <w:t>The Underwriting Agreement contains customary representations, warranties, conditions to closing, indemnification and obligations of the parties. The Company has also agreed to indemnify the Underwriters against certain liabilities, including civil liabilities under the Securities Act, or to contribute to payments that the Underwriters may be required to make in respect of those liabilities.</w:t>
      </w:r>
    </w:p>
    <w:p>
      <w:pPr>
        <w:spacing w:after="0" w:line="184" w:lineRule="exact"/>
        <w:rPr>
          <w:sz w:val="20"/>
          <w:szCs w:val="20"/>
          <w:color w:val="auto"/>
        </w:rPr>
      </w:pPr>
    </w:p>
    <w:p>
      <w:pPr>
        <w:ind w:right="140"/>
        <w:spacing w:after="0" w:line="277" w:lineRule="auto"/>
        <w:rPr>
          <w:sz w:val="20"/>
          <w:szCs w:val="20"/>
          <w:color w:val="auto"/>
        </w:rPr>
      </w:pPr>
      <w:r>
        <w:rPr>
          <w:rFonts w:ascii="Arial" w:cs="Arial" w:eastAsia="Arial" w:hAnsi="Arial"/>
          <w:sz w:val="18"/>
          <w:szCs w:val="18"/>
          <w:color w:val="auto"/>
        </w:rPr>
        <w:t>The foregoing description of the Underwriting Agreement does not purport to be complete and is qualified in its entirety by reference to the full text of the Underwriting Agreement, which is filed as Exhibit 1.1 hereto.</w:t>
      </w:r>
    </w:p>
    <w:p>
      <w:pPr>
        <w:spacing w:after="0" w:line="170"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In connection with the offering of the Notes, the Company is filing as Exhibit 5.1 hereto an opinion of counsel addressing the validity of the Notes. Such opinion is incorporated by reference into the Registration Statement.</w:t>
      </w:r>
    </w:p>
    <w:p>
      <w:pPr>
        <w:spacing w:after="0" w:line="315" w:lineRule="exact"/>
        <w:rPr>
          <w:sz w:val="20"/>
          <w:szCs w:val="20"/>
          <w:color w:val="auto"/>
        </w:rPr>
      </w:pPr>
    </w:p>
    <w:p>
      <w:pPr>
        <w:spacing w:after="0"/>
        <w:tabs>
          <w:tab w:leader="none" w:pos="118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12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(d) Exhibits</w:t>
      </w:r>
    </w:p>
    <w:p>
      <w:pPr>
        <w:spacing w:after="0" w:line="252" w:lineRule="exact"/>
        <w:rPr>
          <w:sz w:val="20"/>
          <w:szCs w:val="20"/>
          <w:color w:val="auto"/>
        </w:rPr>
      </w:pPr>
    </w:p>
    <w:p>
      <w:pPr>
        <w:ind w:left="960" w:right="1000" w:hanging="543"/>
        <w:spacing w:after="0" w:line="308" w:lineRule="auto"/>
        <w:tabs>
          <w:tab w:leader="none" w:pos="940" w:val="left"/>
        </w:tabs>
        <w:rPr>
          <w:sz w:val="20"/>
          <w:szCs w:val="20"/>
          <w:color w:val="auto"/>
        </w:rPr>
      </w:pPr>
      <w:r>
        <w:rPr>
          <w:rFonts w:ascii="Arial" w:cs="Arial" w:eastAsia="Arial" w:hAnsi="Arial"/>
          <w:sz w:val="18"/>
          <w:szCs w:val="18"/>
          <w:color w:val="auto"/>
        </w:rPr>
        <w:t>1.1</w:t>
      </w:r>
      <w:r>
        <w:rPr>
          <w:sz w:val="20"/>
          <w:szCs w:val="20"/>
          <w:color w:val="auto"/>
        </w:rPr>
        <w:tab/>
      </w:r>
      <w:r>
        <w:rPr>
          <w:rFonts w:ascii="Arial" w:cs="Arial" w:eastAsia="Arial" w:hAnsi="Arial"/>
          <w:sz w:val="17"/>
          <w:szCs w:val="17"/>
          <w:u w:val="single" w:color="auto"/>
          <w:color w:val="0000EE"/>
        </w:rPr>
        <w:t>Underwriting Agreement, dated September 11, 2023, among Marvell Technology, Inc. and J.P. Morgan Securities LLC, BofA Securities, Inc. and Wells Fargo Securities, LLC, as representatives of the several underwriters named therein</w:t>
      </w:r>
    </w:p>
    <w:p>
      <w:pPr>
        <w:spacing w:after="0" w:line="38" w:lineRule="exact"/>
        <w:rPr>
          <w:sz w:val="20"/>
          <w:szCs w:val="20"/>
          <w:color w:val="auto"/>
        </w:rPr>
      </w:pPr>
    </w:p>
    <w:p>
      <w:pPr>
        <w:ind w:left="960" w:right="680" w:hanging="543"/>
        <w:spacing w:after="0" w:line="277" w:lineRule="auto"/>
        <w:tabs>
          <w:tab w:leader="none" w:pos="940" w:val="left"/>
        </w:tabs>
        <w:rPr>
          <w:sz w:val="20"/>
          <w:szCs w:val="20"/>
          <w:color w:val="auto"/>
        </w:rPr>
      </w:pPr>
      <w:r>
        <w:rPr>
          <w:rFonts w:ascii="Arial" w:cs="Arial" w:eastAsia="Arial" w:hAnsi="Arial"/>
          <w:sz w:val="18"/>
          <w:szCs w:val="18"/>
          <w:color w:val="auto"/>
        </w:rPr>
        <w:t>4.1</w:t>
      </w:r>
      <w:r>
        <w:rPr>
          <w:sz w:val="20"/>
          <w:szCs w:val="20"/>
          <w:color w:val="auto"/>
        </w:rPr>
        <w:tab/>
      </w:r>
      <w:r>
        <w:rPr>
          <w:rFonts w:ascii="Arial" w:cs="Arial" w:eastAsia="Arial" w:hAnsi="Arial"/>
          <w:sz w:val="18"/>
          <w:szCs w:val="18"/>
          <w:u w:val="single" w:color="auto"/>
          <w:color w:val="0000EE"/>
        </w:rPr>
        <w:t>Third Supplemental Indenture, dated as of September 18, 2023, between Marvell Technology, Inc. and U.S. Bank Trust Company, National Association (successor in interest to U.S. Bank National Association), as trustee</w:t>
      </w:r>
    </w:p>
    <w:p>
      <w:pPr>
        <w:spacing w:after="0" w:line="62" w:lineRule="exact"/>
        <w:rPr>
          <w:sz w:val="20"/>
          <w:szCs w:val="20"/>
          <w:color w:val="auto"/>
        </w:rPr>
      </w:pPr>
    </w:p>
    <w:p>
      <w:pPr>
        <w:ind w:left="420"/>
        <w:spacing w:after="0"/>
        <w:tabs>
          <w:tab w:leader="none" w:pos="940" w:val="left"/>
        </w:tabs>
        <w:rPr>
          <w:sz w:val="20"/>
          <w:szCs w:val="20"/>
          <w:color w:val="auto"/>
        </w:rPr>
      </w:pPr>
      <w:r>
        <w:rPr>
          <w:rFonts w:ascii="Arial" w:cs="Arial" w:eastAsia="Arial" w:hAnsi="Arial"/>
          <w:sz w:val="18"/>
          <w:szCs w:val="18"/>
          <w:color w:val="auto"/>
        </w:rPr>
        <w:t>4.2</w:t>
      </w:r>
      <w:r>
        <w:rPr>
          <w:sz w:val="20"/>
          <w:szCs w:val="20"/>
          <w:color w:val="auto"/>
        </w:rPr>
        <w:tab/>
      </w:r>
      <w:r>
        <w:rPr>
          <w:rFonts w:ascii="Arial" w:cs="Arial" w:eastAsia="Arial" w:hAnsi="Arial"/>
          <w:sz w:val="16"/>
          <w:szCs w:val="16"/>
          <w:u w:val="single" w:color="auto"/>
          <w:color w:val="0000EE"/>
        </w:rPr>
        <w:t>Form of Global Note for the 5.750% Senior Notes due 2029 (included as Exhibit A to Exhibit 4.1)</w:t>
      </w:r>
    </w:p>
    <w:p>
      <w:pPr>
        <w:spacing w:after="0" w:line="117" w:lineRule="exact"/>
        <w:rPr>
          <w:sz w:val="20"/>
          <w:szCs w:val="20"/>
          <w:color w:val="auto"/>
        </w:rPr>
      </w:pPr>
    </w:p>
    <w:p>
      <w:pPr>
        <w:ind w:left="420"/>
        <w:spacing w:after="0"/>
        <w:tabs>
          <w:tab w:leader="none" w:pos="940" w:val="left"/>
        </w:tabs>
        <w:rPr>
          <w:sz w:val="20"/>
          <w:szCs w:val="20"/>
          <w:color w:val="auto"/>
        </w:rPr>
      </w:pPr>
      <w:r>
        <w:rPr>
          <w:rFonts w:ascii="Arial" w:cs="Arial" w:eastAsia="Arial" w:hAnsi="Arial"/>
          <w:sz w:val="18"/>
          <w:szCs w:val="18"/>
          <w:color w:val="auto"/>
        </w:rPr>
        <w:t>4.3</w:t>
      </w:r>
      <w:r>
        <w:rPr>
          <w:sz w:val="20"/>
          <w:szCs w:val="20"/>
          <w:color w:val="auto"/>
        </w:rPr>
        <w:tab/>
      </w:r>
      <w:r>
        <w:rPr>
          <w:rFonts w:ascii="Arial" w:cs="Arial" w:eastAsia="Arial" w:hAnsi="Arial"/>
          <w:sz w:val="16"/>
          <w:szCs w:val="16"/>
          <w:u w:val="single" w:color="auto"/>
          <w:color w:val="0000EE"/>
        </w:rPr>
        <w:t>Form of Global Note for the 5.950% Senior Notes due 2033 (included as Exhibit B to Exhibit 4.1)</w:t>
      </w:r>
    </w:p>
    <w:p>
      <w:pPr>
        <w:spacing w:after="0" w:line="117" w:lineRule="exact"/>
        <w:rPr>
          <w:sz w:val="20"/>
          <w:szCs w:val="20"/>
          <w:color w:val="auto"/>
        </w:rPr>
      </w:pPr>
    </w:p>
    <w:p>
      <w:pPr>
        <w:ind w:left="420"/>
        <w:spacing w:after="0"/>
        <w:tabs>
          <w:tab w:leader="none" w:pos="940" w:val="left"/>
        </w:tabs>
        <w:rPr>
          <w:sz w:val="20"/>
          <w:szCs w:val="20"/>
          <w:color w:val="auto"/>
        </w:rPr>
      </w:pPr>
      <w:r>
        <w:rPr>
          <w:rFonts w:ascii="Arial" w:cs="Arial" w:eastAsia="Arial" w:hAnsi="Arial"/>
          <w:sz w:val="18"/>
          <w:szCs w:val="18"/>
          <w:color w:val="auto"/>
        </w:rPr>
        <w:t>5.1</w:t>
      </w:r>
      <w:r>
        <w:rPr>
          <w:sz w:val="20"/>
          <w:szCs w:val="20"/>
          <w:color w:val="auto"/>
        </w:rPr>
        <w:tab/>
      </w:r>
      <w:r>
        <w:rPr>
          <w:rFonts w:ascii="Arial" w:cs="Arial" w:eastAsia="Arial" w:hAnsi="Arial"/>
          <w:sz w:val="16"/>
          <w:szCs w:val="16"/>
          <w:u w:val="single" w:color="auto"/>
          <w:color w:val="0000EE"/>
        </w:rPr>
        <w:t>Opinion of Weil, Gotshal &amp; Manges LLP</w:t>
      </w:r>
    </w:p>
    <w:p>
      <w:pPr>
        <w:spacing w:after="0" w:line="117" w:lineRule="exact"/>
        <w:rPr>
          <w:sz w:val="20"/>
          <w:szCs w:val="20"/>
          <w:color w:val="auto"/>
        </w:rPr>
      </w:pPr>
    </w:p>
    <w:p>
      <w:pPr>
        <w:ind w:left="320"/>
        <w:spacing w:after="0"/>
        <w:tabs>
          <w:tab w:leader="none" w:pos="940" w:val="left"/>
        </w:tabs>
        <w:rPr>
          <w:sz w:val="20"/>
          <w:szCs w:val="20"/>
          <w:color w:val="auto"/>
        </w:rPr>
      </w:pPr>
      <w:r>
        <w:rPr>
          <w:rFonts w:ascii="Arial" w:cs="Arial" w:eastAsia="Arial" w:hAnsi="Arial"/>
          <w:sz w:val="18"/>
          <w:szCs w:val="18"/>
          <w:color w:val="auto"/>
        </w:rPr>
        <w:t>23.1</w:t>
      </w:r>
      <w:r>
        <w:rPr>
          <w:sz w:val="20"/>
          <w:szCs w:val="20"/>
          <w:color w:val="auto"/>
        </w:rPr>
        <w:tab/>
      </w:r>
      <w:r>
        <w:rPr>
          <w:rFonts w:ascii="Arial" w:cs="Arial" w:eastAsia="Arial" w:hAnsi="Arial"/>
          <w:sz w:val="16"/>
          <w:szCs w:val="16"/>
          <w:u w:val="single" w:color="auto"/>
          <w:color w:val="0000EE"/>
        </w:rPr>
        <w:t>Consent of Weil, Gotshal &amp; Manges LLP (included in Exhibit 5.1)</w:t>
      </w:r>
    </w:p>
    <w:p>
      <w:pPr>
        <w:spacing w:after="0" w:line="117" w:lineRule="exact"/>
        <w:rPr>
          <w:sz w:val="20"/>
          <w:szCs w:val="20"/>
          <w:color w:val="auto"/>
        </w:rPr>
      </w:pPr>
    </w:p>
    <w:p>
      <w:pPr>
        <w:ind w:left="320"/>
        <w:spacing w:after="0"/>
        <w:tabs>
          <w:tab w:leader="none" w:pos="94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Cover Page Interactive Data File (the cover page XBRL tags are embedded within the Inline XBRL document)</w:t>
      </w:r>
    </w:p>
    <w:p>
      <w:pPr>
        <w:sectPr>
          <w:pgSz w:w="11900" w:h="16838" w:orient="portrait"/>
          <w:cols w:equalWidth="0" w:num="1">
            <w:col w:w="11000"/>
          </w:cols>
          <w:pgMar w:left="440" w:top="297" w:right="459" w:bottom="1440" w:gutter="0" w:footer="0" w:header="0"/>
        </w:sectPr>
      </w:pPr>
    </w:p>
    <w:bookmarkStart w:id="3" w:name="page4"/>
    <w:bookmarkEnd w:id="3"/>
    <w:p>
      <w:pPr>
        <w:jc w:val="center"/>
        <w:ind w:right="-5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SIGNATURES</w:t>
      </w:r>
    </w:p>
    <w:p>
      <w:pPr>
        <w:spacing w:after="0" w:line="229" w:lineRule="exact"/>
        <w:rPr>
          <w:sz w:val="20"/>
          <w:szCs w:val="20"/>
          <w:color w:val="auto"/>
        </w:rPr>
      </w:pPr>
    </w:p>
    <w:p>
      <w:pPr>
        <w:spacing w:after="0" w:line="277" w:lineRule="auto"/>
        <w:rPr>
          <w:sz w:val="20"/>
          <w:szCs w:val="20"/>
          <w:color w:val="auto"/>
        </w:rPr>
      </w:pPr>
      <w:r>
        <w:rPr>
          <w:rFonts w:ascii="Arial" w:cs="Arial" w:eastAsia="Arial" w:hAnsi="Arial"/>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70" w:lineRule="exact"/>
        <w:rPr>
          <w:sz w:val="20"/>
          <w:szCs w:val="20"/>
          <w:color w:val="auto"/>
        </w:rPr>
      </w:pPr>
    </w:p>
    <w:p>
      <w:pPr>
        <w:spacing w:after="0"/>
        <w:rPr>
          <w:sz w:val="20"/>
          <w:szCs w:val="20"/>
          <w:color w:val="auto"/>
        </w:rPr>
      </w:pPr>
      <w:r>
        <w:rPr>
          <w:rFonts w:ascii="Arial" w:cs="Arial" w:eastAsia="Arial" w:hAnsi="Arial"/>
          <w:sz w:val="18"/>
          <w:szCs w:val="18"/>
          <w:color w:val="auto"/>
        </w:rPr>
        <w:t>Dated: September 18, 2023</w:t>
      </w:r>
    </w:p>
    <w:p>
      <w:pPr>
        <w:spacing w:after="0" w:line="252"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4429125</wp:posOffset>
            </wp:positionH>
            <wp:positionV relativeFrom="paragraph">
              <wp:posOffset>14605</wp:posOffset>
            </wp:positionV>
            <wp:extent cx="2562860" cy="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2" w:lineRule="exact"/>
        <w:rPr>
          <w:sz w:val="20"/>
          <w:szCs w:val="20"/>
          <w:color w:val="auto"/>
        </w:rPr>
      </w:pPr>
    </w:p>
    <w:p>
      <w:pPr>
        <w:ind w:left="6980"/>
        <w:spacing w:after="0"/>
        <w:rPr>
          <w:sz w:val="20"/>
          <w:szCs w:val="20"/>
          <w:color w:val="auto"/>
        </w:rPr>
      </w:pPr>
      <w:r>
        <w:rPr>
          <w:rFonts w:ascii="Arial" w:cs="Arial" w:eastAsia="Arial" w:hAnsi="Arial"/>
          <w:sz w:val="18"/>
          <w:szCs w:val="18"/>
          <w:b w:val="1"/>
          <w:bCs w:val="1"/>
          <w:color w:val="auto"/>
        </w:rPr>
        <w:t>Mark Casper</w:t>
      </w:r>
    </w:p>
    <w:p>
      <w:pPr>
        <w:spacing w:after="0" w:line="27" w:lineRule="exact"/>
        <w:rPr>
          <w:sz w:val="20"/>
          <w:szCs w:val="20"/>
          <w:color w:val="auto"/>
        </w:rPr>
      </w:pPr>
    </w:p>
    <w:p>
      <w:pPr>
        <w:ind w:left="6980"/>
        <w:spacing w:after="0"/>
        <w:rPr>
          <w:sz w:val="20"/>
          <w:szCs w:val="20"/>
          <w:color w:val="auto"/>
        </w:rPr>
      </w:pPr>
      <w:r>
        <w:rPr>
          <w:rFonts w:ascii="Arial" w:cs="Arial" w:eastAsia="Arial" w:hAnsi="Arial"/>
          <w:sz w:val="18"/>
          <w:szCs w:val="18"/>
          <w:b w:val="1"/>
          <w:bCs w:val="1"/>
          <w:i w:val="1"/>
          <w:iCs w:val="1"/>
          <w:color w:val="auto"/>
        </w:rPr>
        <w:t>EVP, Chief Legal Officer and Secretary</w:t>
      </w:r>
    </w:p>
    <w:p>
      <w:pPr>
        <w:sectPr>
          <w:pgSz w:w="11900" w:h="16838" w:orient="portrait"/>
          <w:cols w:equalWidth="0" w:num="1">
            <w:col w:w="10940"/>
          </w:cols>
          <w:pgMar w:left="440" w:top="297" w:right="519" w:bottom="1440" w:gutter="0" w:footer="0" w:header="0"/>
        </w:sectPr>
      </w:pPr>
    </w:p>
    <w:bookmarkStart w:id="4" w:name="page5"/>
    <w:bookmarkEnd w:id="4"/>
    <w:p>
      <w:pPr>
        <w:jc w:val="right"/>
        <w:spacing w:after="0"/>
        <w:rPr>
          <w:sz w:val="20"/>
          <w:szCs w:val="20"/>
          <w:color w:val="auto"/>
        </w:rPr>
      </w:pPr>
      <w:r>
        <w:rPr>
          <w:rFonts w:ascii="Arial" w:cs="Arial" w:eastAsia="Arial" w:hAnsi="Arial"/>
          <w:sz w:val="18"/>
          <w:szCs w:val="18"/>
          <w:b w:val="1"/>
          <w:bCs w:val="1"/>
          <w:color w:val="auto"/>
        </w:rPr>
        <w:t>Exhibit 1.1</w:t>
      </w:r>
    </w:p>
    <w:p>
      <w:pPr>
        <w:spacing w:after="0" w:line="121" w:lineRule="exact"/>
        <w:rPr>
          <w:sz w:val="20"/>
          <w:szCs w:val="20"/>
          <w:color w:val="auto"/>
        </w:rPr>
      </w:pPr>
    </w:p>
    <w:p>
      <w:pPr>
        <w:jc w:val="right"/>
        <w:spacing w:after="0"/>
        <w:rPr>
          <w:sz w:val="20"/>
          <w:szCs w:val="20"/>
          <w:color w:val="auto"/>
        </w:rPr>
      </w:pPr>
      <w:r>
        <w:rPr>
          <w:rFonts w:ascii="Arial" w:cs="Arial" w:eastAsia="Arial" w:hAnsi="Arial"/>
          <w:sz w:val="18"/>
          <w:szCs w:val="18"/>
          <w:b w:val="1"/>
          <w:bCs w:val="1"/>
          <w:i w:val="1"/>
          <w:iCs w:val="1"/>
          <w:color w:val="auto"/>
        </w:rPr>
        <w:t>Execution Version</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3860"/>
        <w:spacing w:after="0"/>
        <w:rPr>
          <w:sz w:val="20"/>
          <w:szCs w:val="20"/>
          <w:color w:val="auto"/>
        </w:rPr>
      </w:pPr>
      <w:r>
        <w:rPr>
          <w:rFonts w:ascii="Arial" w:cs="Arial" w:eastAsia="Arial" w:hAnsi="Arial"/>
          <w:sz w:val="18"/>
          <w:szCs w:val="18"/>
          <w:color w:val="auto"/>
        </w:rPr>
        <w:t>$500,000,000 5.750% Senior Notes due 2029</w:t>
      </w:r>
    </w:p>
    <w:p>
      <w:pPr>
        <w:spacing w:after="0" w:line="23" w:lineRule="exact"/>
        <w:rPr>
          <w:sz w:val="20"/>
          <w:szCs w:val="20"/>
          <w:color w:val="auto"/>
        </w:rPr>
      </w:pPr>
    </w:p>
    <w:p>
      <w:pPr>
        <w:ind w:left="3860"/>
        <w:spacing w:after="0"/>
        <w:rPr>
          <w:sz w:val="20"/>
          <w:szCs w:val="20"/>
          <w:color w:val="auto"/>
        </w:rPr>
      </w:pPr>
      <w:r>
        <w:rPr>
          <w:rFonts w:ascii="Arial" w:cs="Arial" w:eastAsia="Arial" w:hAnsi="Arial"/>
          <w:sz w:val="18"/>
          <w:szCs w:val="18"/>
          <w:color w:val="auto"/>
        </w:rPr>
        <w:t>$500,000,000 5.950% Senior Notes due 2033</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Underwriting Agreement</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September 11, 2023</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Representatives of the</w:t>
      </w:r>
    </w:p>
    <w:p>
      <w:pPr>
        <w:spacing w:after="0" w:line="23" w:lineRule="exact"/>
        <w:rPr>
          <w:sz w:val="20"/>
          <w:szCs w:val="20"/>
          <w:color w:val="auto"/>
        </w:rPr>
      </w:pPr>
    </w:p>
    <w:p>
      <w:pPr>
        <w:ind w:left="440"/>
        <w:spacing w:after="0"/>
        <w:rPr>
          <w:sz w:val="20"/>
          <w:szCs w:val="20"/>
          <w:color w:val="auto"/>
        </w:rPr>
      </w:pPr>
      <w:r>
        <w:rPr>
          <w:rFonts w:ascii="Arial" w:cs="Arial" w:eastAsia="Arial" w:hAnsi="Arial"/>
          <w:sz w:val="18"/>
          <w:szCs w:val="18"/>
          <w:color w:val="auto"/>
        </w:rPr>
        <w:t>several Underwriters listed</w:t>
      </w:r>
    </w:p>
    <w:p>
      <w:pPr>
        <w:spacing w:after="0" w:line="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 Schedule 1 hereto</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c/o J.P. Morgan Securities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383 Madison Avenue</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New York 10179</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c/o BofA Securities, Inc.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One Bryant Park</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New York, New York 10036</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c/o Wells Fargo Securities,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550 South Tryon Street, 5th Floor</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Charlotte, North Carolina 28202</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right="200" w:firstLine="440"/>
        <w:spacing w:after="0" w:line="272" w:lineRule="auto"/>
        <w:rPr>
          <w:sz w:val="20"/>
          <w:szCs w:val="20"/>
          <w:color w:val="auto"/>
        </w:rPr>
      </w:pPr>
      <w:r>
        <w:rPr>
          <w:rFonts w:ascii="Arial" w:cs="Arial" w:eastAsia="Arial" w:hAnsi="Arial"/>
          <w:sz w:val="17"/>
          <w:szCs w:val="17"/>
          <w:color w:val="auto"/>
        </w:rPr>
        <w:t>Marvell Technology, Inc., a Delaware corporation (the “</w:t>
      </w:r>
      <w:r>
        <w:rPr>
          <w:rFonts w:ascii="Arial" w:cs="Arial" w:eastAsia="Arial" w:hAnsi="Arial"/>
          <w:sz w:val="17"/>
          <w:szCs w:val="17"/>
          <w:u w:val="single" w:color="auto"/>
          <w:color w:val="auto"/>
        </w:rPr>
        <w:t>Company</w:t>
      </w:r>
      <w:r>
        <w:rPr>
          <w:rFonts w:ascii="Arial" w:cs="Arial" w:eastAsia="Arial" w:hAnsi="Arial"/>
          <w:sz w:val="17"/>
          <w:szCs w:val="17"/>
          <w:color w:val="auto"/>
        </w:rPr>
        <w:t>”), proposes to issue and sell to the several Underwriters listed in Schedule 1 hereto (the “</w:t>
      </w:r>
      <w:r>
        <w:rPr>
          <w:rFonts w:ascii="Arial" w:cs="Arial" w:eastAsia="Arial" w:hAnsi="Arial"/>
          <w:sz w:val="17"/>
          <w:szCs w:val="17"/>
          <w:u w:val="single" w:color="auto"/>
          <w:color w:val="auto"/>
        </w:rPr>
        <w:t>Underwriters</w:t>
      </w:r>
      <w:r>
        <w:rPr>
          <w:rFonts w:ascii="Arial" w:cs="Arial" w:eastAsia="Arial" w:hAnsi="Arial"/>
          <w:sz w:val="17"/>
          <w:szCs w:val="17"/>
          <w:color w:val="auto"/>
        </w:rPr>
        <w:t>”), for whom you are acting as representatives (the “</w:t>
      </w:r>
      <w:r>
        <w:rPr>
          <w:rFonts w:ascii="Arial" w:cs="Arial" w:eastAsia="Arial" w:hAnsi="Arial"/>
          <w:sz w:val="17"/>
          <w:szCs w:val="17"/>
          <w:u w:val="single" w:color="auto"/>
          <w:color w:val="auto"/>
        </w:rPr>
        <w:t>Representatives</w:t>
      </w:r>
      <w:r>
        <w:rPr>
          <w:rFonts w:ascii="Arial" w:cs="Arial" w:eastAsia="Arial" w:hAnsi="Arial"/>
          <w:sz w:val="17"/>
          <w:szCs w:val="17"/>
          <w:color w:val="auto"/>
        </w:rPr>
        <w:t>”), $500,000,000 principal amount of its 5.750% Senior Notes due 2029 (the “</w:t>
      </w:r>
      <w:r>
        <w:rPr>
          <w:rFonts w:ascii="Arial" w:cs="Arial" w:eastAsia="Arial" w:hAnsi="Arial"/>
          <w:sz w:val="17"/>
          <w:szCs w:val="17"/>
          <w:u w:val="single" w:color="auto"/>
          <w:color w:val="auto"/>
        </w:rPr>
        <w:t>2029 Notes</w:t>
      </w:r>
      <w:r>
        <w:rPr>
          <w:rFonts w:ascii="Arial" w:cs="Arial" w:eastAsia="Arial" w:hAnsi="Arial"/>
          <w:sz w:val="17"/>
          <w:szCs w:val="17"/>
          <w:color w:val="auto"/>
        </w:rPr>
        <w:t>”) and $500,000,000 principal amount of its 5.950% Senior Notes due 2033 (the “</w:t>
      </w:r>
      <w:r>
        <w:rPr>
          <w:rFonts w:ascii="Arial" w:cs="Arial" w:eastAsia="Arial" w:hAnsi="Arial"/>
          <w:sz w:val="17"/>
          <w:szCs w:val="17"/>
          <w:u w:val="single" w:color="auto"/>
          <w:color w:val="auto"/>
        </w:rPr>
        <w:t>2033 Notes</w:t>
      </w:r>
      <w:r>
        <w:rPr>
          <w:rFonts w:ascii="Arial" w:cs="Arial" w:eastAsia="Arial" w:hAnsi="Arial"/>
          <w:sz w:val="17"/>
          <w:szCs w:val="17"/>
          <w:color w:val="auto"/>
        </w:rPr>
        <w:t>” and, together with the 2029 Notes, the “</w:t>
      </w:r>
      <w:r>
        <w:rPr>
          <w:rFonts w:ascii="Arial" w:cs="Arial" w:eastAsia="Arial" w:hAnsi="Arial"/>
          <w:sz w:val="17"/>
          <w:szCs w:val="17"/>
          <w:u w:val="single" w:color="auto"/>
          <w:color w:val="auto"/>
        </w:rPr>
        <w:t>Securities</w:t>
      </w:r>
      <w:r>
        <w:rPr>
          <w:rFonts w:ascii="Arial" w:cs="Arial" w:eastAsia="Arial" w:hAnsi="Arial"/>
          <w:sz w:val="17"/>
          <w:szCs w:val="17"/>
          <w:color w:val="auto"/>
        </w:rPr>
        <w:t>”). The Securities will be issued pursuant to the Indenture dated as of April 12, 2021 (the “</w:t>
      </w:r>
      <w:r>
        <w:rPr>
          <w:rFonts w:ascii="Arial" w:cs="Arial" w:eastAsia="Arial" w:hAnsi="Arial"/>
          <w:sz w:val="17"/>
          <w:szCs w:val="17"/>
          <w:u w:val="single" w:color="auto"/>
          <w:color w:val="auto"/>
        </w:rPr>
        <w:t>Base Indenture</w:t>
      </w:r>
      <w:r>
        <w:rPr>
          <w:rFonts w:ascii="Arial" w:cs="Arial" w:eastAsia="Arial" w:hAnsi="Arial"/>
          <w:sz w:val="17"/>
          <w:szCs w:val="17"/>
          <w:color w:val="auto"/>
        </w:rPr>
        <w:t>”) between the Company and U.S. Bank Trust Company, National Association (successor in interest to U.S. Bank National Association), as trustee (the “</w:t>
      </w:r>
      <w:r>
        <w:rPr>
          <w:rFonts w:ascii="Arial" w:cs="Arial" w:eastAsia="Arial" w:hAnsi="Arial"/>
          <w:sz w:val="17"/>
          <w:szCs w:val="17"/>
          <w:u w:val="single" w:color="auto"/>
          <w:color w:val="auto"/>
        </w:rPr>
        <w:t>Trustee</w:t>
      </w:r>
      <w:r>
        <w:rPr>
          <w:rFonts w:ascii="Arial" w:cs="Arial" w:eastAsia="Arial" w:hAnsi="Arial"/>
          <w:sz w:val="17"/>
          <w:szCs w:val="17"/>
          <w:color w:val="auto"/>
        </w:rPr>
        <w:t>”), as supplemented by the Third Supplemental Indenture to be dated as of September 18, 2023 between the Company and the Trustee (the “</w:t>
      </w:r>
      <w:r>
        <w:rPr>
          <w:rFonts w:ascii="Arial" w:cs="Arial" w:eastAsia="Arial" w:hAnsi="Arial"/>
          <w:sz w:val="17"/>
          <w:szCs w:val="17"/>
          <w:u w:val="single" w:color="auto"/>
          <w:color w:val="auto"/>
        </w:rPr>
        <w:t>Third</w:t>
      </w:r>
      <w:r>
        <w:rPr>
          <w:rFonts w:ascii="Arial" w:cs="Arial" w:eastAsia="Arial" w:hAnsi="Arial"/>
          <w:sz w:val="17"/>
          <w:szCs w:val="17"/>
          <w:color w:val="auto"/>
        </w:rPr>
        <w:t xml:space="preserve"> </w:t>
      </w:r>
      <w:r>
        <w:rPr>
          <w:rFonts w:ascii="Arial" w:cs="Arial" w:eastAsia="Arial" w:hAnsi="Arial"/>
          <w:sz w:val="17"/>
          <w:szCs w:val="17"/>
          <w:u w:val="single" w:color="auto"/>
          <w:color w:val="auto"/>
        </w:rPr>
        <w:t>Supplemental Indenture</w:t>
      </w:r>
      <w:r>
        <w:rPr>
          <w:rFonts w:ascii="Arial" w:cs="Arial" w:eastAsia="Arial" w:hAnsi="Arial"/>
          <w:sz w:val="17"/>
          <w:szCs w:val="17"/>
          <w:color w:val="auto"/>
        </w:rPr>
        <w:t>” and, together with the Base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w:t>
      </w:r>
    </w:p>
    <w:p>
      <w:pPr>
        <w:sectPr>
          <w:pgSz w:w="11900" w:h="16838" w:orient="portrait"/>
          <w:cols w:equalWidth="0" w:num="1">
            <w:col w:w="11020"/>
          </w:cols>
          <w:pgMar w:left="440" w:top="121" w:right="439" w:bottom="1440" w:gutter="0" w:footer="0" w:header="0"/>
        </w:sectPr>
      </w:pPr>
    </w:p>
    <w:bookmarkStart w:id="5" w:name="page6"/>
    <w:bookmarkEnd w:id="5"/>
    <w:p>
      <w:pPr>
        <w:ind w:left="440"/>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hereby confirms its agreement with the several Underwriters concerning the purchase and sale of the Securities, as follows:</w:t>
      </w:r>
    </w:p>
    <w:p>
      <w:pPr>
        <w:spacing w:after="0" w:line="129" w:lineRule="exact"/>
        <w:rPr>
          <w:sz w:val="20"/>
          <w:szCs w:val="20"/>
          <w:color w:val="auto"/>
        </w:rPr>
      </w:pPr>
    </w:p>
    <w:p>
      <w:pPr>
        <w:ind w:firstLine="436"/>
        <w:spacing w:after="0" w:line="285" w:lineRule="auto"/>
        <w:tabs>
          <w:tab w:leader="none" w:pos="620" w:val="left"/>
        </w:tabs>
        <w:numPr>
          <w:ilvl w:val="0"/>
          <w:numId w:val="2"/>
        </w:numPr>
        <w:rPr>
          <w:rFonts w:ascii="Arial" w:cs="Arial" w:eastAsia="Arial" w:hAnsi="Arial"/>
          <w:sz w:val="16"/>
          <w:szCs w:val="16"/>
          <w:color w:val="auto"/>
        </w:rPr>
      </w:pPr>
      <w:r>
        <w:rPr>
          <w:rFonts w:ascii="Arial" w:cs="Arial" w:eastAsia="Arial" w:hAnsi="Arial"/>
          <w:sz w:val="16"/>
          <w:szCs w:val="16"/>
          <w:u w:val="single" w:color="auto"/>
          <w:color w:val="auto"/>
        </w:rPr>
        <w:t>Registration Statement</w:t>
      </w:r>
      <w:r>
        <w:rPr>
          <w:rFonts w:ascii="Arial" w:cs="Arial" w:eastAsia="Arial" w:hAnsi="Arial"/>
          <w:sz w:val="16"/>
          <w:szCs w:val="16"/>
          <w:color w:val="auto"/>
        </w:rPr>
        <w:t>. The Company has prepared and filed with the Securities and Exchange Commission (the “</w:t>
      </w:r>
      <w:r>
        <w:rPr>
          <w:rFonts w:ascii="Arial" w:cs="Arial" w:eastAsia="Arial" w:hAnsi="Arial"/>
          <w:sz w:val="16"/>
          <w:szCs w:val="16"/>
          <w:u w:val="single" w:color="auto"/>
          <w:color w:val="auto"/>
        </w:rPr>
        <w:t>Commission</w:t>
      </w:r>
      <w:r>
        <w:rPr>
          <w:rFonts w:ascii="Arial" w:cs="Arial" w:eastAsia="Arial" w:hAnsi="Arial"/>
          <w:sz w:val="16"/>
          <w:szCs w:val="16"/>
          <w:color w:val="auto"/>
        </w:rPr>
        <w:t>”) under the Securities Act of 1933, as amended, and the rules and regulations of the Commission thereunder (collectively, the “</w:t>
      </w:r>
      <w:r>
        <w:rPr>
          <w:rFonts w:ascii="Arial" w:cs="Arial" w:eastAsia="Arial" w:hAnsi="Arial"/>
          <w:sz w:val="16"/>
          <w:szCs w:val="16"/>
          <w:u w:val="single" w:color="auto"/>
          <w:color w:val="auto"/>
        </w:rPr>
        <w:t>Securities Act</w:t>
      </w:r>
      <w:r>
        <w:rPr>
          <w:rFonts w:ascii="Arial" w:cs="Arial" w:eastAsia="Arial" w:hAnsi="Arial"/>
          <w:sz w:val="16"/>
          <w:szCs w:val="16"/>
          <w:color w:val="auto"/>
        </w:rPr>
        <w:t>”), a registration statement on Form S-3 (File No. 333-259141), including a prospectus (the “</w:t>
      </w:r>
      <w:r>
        <w:rPr>
          <w:rFonts w:ascii="Arial" w:cs="Arial" w:eastAsia="Arial" w:hAnsi="Arial"/>
          <w:sz w:val="16"/>
          <w:szCs w:val="16"/>
          <w:u w:val="single" w:color="auto"/>
          <w:color w:val="auto"/>
        </w:rPr>
        <w:t>Basic Prospectus</w:t>
      </w:r>
      <w:r>
        <w:rPr>
          <w:rFonts w:ascii="Arial" w:cs="Arial" w:eastAsia="Arial" w:hAnsi="Arial"/>
          <w:sz w:val="16"/>
          <w:szCs w:val="16"/>
          <w:color w:val="auto"/>
        </w:rPr>
        <w:t>”). The Company has also filed, or proposes to file, with the Commission pursuant to Rule 424 under the Securities Act a prospectus supplement relating to the Securities (the “</w:t>
      </w:r>
      <w:r>
        <w:rPr>
          <w:rFonts w:ascii="Arial" w:cs="Arial" w:eastAsia="Arial" w:hAnsi="Arial"/>
          <w:sz w:val="16"/>
          <w:szCs w:val="16"/>
          <w:u w:val="single" w:color="auto"/>
          <w:color w:val="auto"/>
        </w:rPr>
        <w:t>Prospectus Supplement</w:t>
      </w:r>
      <w:r>
        <w:rPr>
          <w:rFonts w:ascii="Arial" w:cs="Arial" w:eastAsia="Arial" w:hAnsi="Arial"/>
          <w:sz w:val="16"/>
          <w:szCs w:val="16"/>
          <w:color w:val="auto"/>
        </w:rPr>
        <w:t>”). Such registration statement, as amended at the time it became effective, including the information, if any, deemed pursuant to Rule 430A, 430B or 430C under the Securities Act to be part of the registration statement at the time of its effectiveness (“</w:t>
      </w:r>
      <w:r>
        <w:rPr>
          <w:rFonts w:ascii="Arial" w:cs="Arial" w:eastAsia="Arial" w:hAnsi="Arial"/>
          <w:sz w:val="16"/>
          <w:szCs w:val="16"/>
          <w:u w:val="single" w:color="auto"/>
          <w:color w:val="auto"/>
        </w:rPr>
        <w:t>Rule 430 Information</w:t>
      </w:r>
      <w:r>
        <w:rPr>
          <w:rFonts w:ascii="Arial" w:cs="Arial" w:eastAsia="Arial" w:hAnsi="Arial"/>
          <w:sz w:val="16"/>
          <w:szCs w:val="16"/>
          <w:color w:val="auto"/>
        </w:rPr>
        <w:t>”), is referred to herein as the “</w:t>
      </w:r>
      <w:r>
        <w:rPr>
          <w:rFonts w:ascii="Arial" w:cs="Arial" w:eastAsia="Arial" w:hAnsi="Arial"/>
          <w:sz w:val="16"/>
          <w:szCs w:val="16"/>
          <w:u w:val="single" w:color="auto"/>
          <w:color w:val="auto"/>
        </w:rPr>
        <w:t>Registration Statement</w:t>
      </w:r>
      <w:r>
        <w:rPr>
          <w:rFonts w:ascii="Arial" w:cs="Arial" w:eastAsia="Arial" w:hAnsi="Arial"/>
          <w:sz w:val="16"/>
          <w:szCs w:val="16"/>
          <w:color w:val="auto"/>
        </w:rPr>
        <w:t>”; and as used herein, the term “</w:t>
      </w:r>
      <w:r>
        <w:rPr>
          <w:rFonts w:ascii="Arial" w:cs="Arial" w:eastAsia="Arial" w:hAnsi="Arial"/>
          <w:sz w:val="16"/>
          <w:szCs w:val="16"/>
          <w:u w:val="single" w:color="auto"/>
          <w:color w:val="auto"/>
        </w:rPr>
        <w:t>Prospectus</w:t>
      </w:r>
      <w:r>
        <w:rPr>
          <w:rFonts w:ascii="Arial" w:cs="Arial" w:eastAsia="Arial" w:hAnsi="Arial"/>
          <w:sz w:val="16"/>
          <w:szCs w:val="16"/>
          <w:color w:val="auto"/>
        </w:rPr>
        <w:t>” means the Basic Prospectus as supplemented by the Prospectus Supplement in the form first used (or made available upon request of purchasers pursuant to Rule 173 under the Securities Act) in connection with confirmation of sales of the Securities, and the term “</w:t>
      </w:r>
      <w:r>
        <w:rPr>
          <w:rFonts w:ascii="Arial" w:cs="Arial" w:eastAsia="Arial" w:hAnsi="Arial"/>
          <w:sz w:val="16"/>
          <w:szCs w:val="16"/>
          <w:u w:val="single" w:color="auto"/>
          <w:color w:val="auto"/>
        </w:rPr>
        <w:t>Preliminary Prospectus</w:t>
      </w:r>
      <w:r>
        <w:rPr>
          <w:rFonts w:ascii="Arial" w:cs="Arial" w:eastAsia="Arial" w:hAnsi="Arial"/>
          <w:sz w:val="16"/>
          <w:szCs w:val="16"/>
          <w:color w:val="auto"/>
        </w:rPr>
        <w:t>” means the preliminary prospectus supplement dated September 11, 2023 specifically relating to the Securities together with the Basic Prospectus. If the Company has filed an abbreviated registration statement pursuant to Rule 462(b) under the Securities Act (the “</w:t>
      </w:r>
      <w:r>
        <w:rPr>
          <w:rFonts w:ascii="Arial" w:cs="Arial" w:eastAsia="Arial" w:hAnsi="Arial"/>
          <w:sz w:val="16"/>
          <w:szCs w:val="16"/>
          <w:u w:val="single" w:color="auto"/>
          <w:color w:val="auto"/>
        </w:rPr>
        <w:t>Rule 462 Registration Statement</w:t>
      </w:r>
      <w:r>
        <w:rPr>
          <w:rFonts w:ascii="Arial" w:cs="Arial" w:eastAsia="Arial" w:hAnsi="Arial"/>
          <w:sz w:val="16"/>
          <w:szCs w:val="16"/>
          <w:color w:val="auto"/>
        </w:rPr>
        <w:t>”), then any reference herein to the term “</w:t>
      </w:r>
      <w:r>
        <w:rPr>
          <w:rFonts w:ascii="Arial" w:cs="Arial" w:eastAsia="Arial" w:hAnsi="Arial"/>
          <w:sz w:val="16"/>
          <w:szCs w:val="16"/>
          <w:u w:val="single" w:color="auto"/>
          <w:color w:val="auto"/>
        </w:rPr>
        <w:t>Registration Statement</w:t>
      </w:r>
      <w:r>
        <w:rPr>
          <w:rFonts w:ascii="Arial" w:cs="Arial" w:eastAsia="Arial" w:hAnsi="Arial"/>
          <w:sz w:val="16"/>
          <w:szCs w:val="16"/>
          <w:color w:val="auto"/>
        </w:rPr>
        <w:t>” shall be deemed to include such Rule 462 Registration Statement. Any reference in this agreement (this “Agreement”) to the Registration Statement, any Preliminary Prospectus or the Prospectus shall be deemed to refer to and include the documents incorporated by reference therein pursuant to Item 12 of Form S-3 under the Securities Act, as of the effective date of the Registration Statement or the date of such Basic Prospectus, Preliminary Prospectus or the Prospectus, as the case may be, and any reference to “</w:t>
      </w:r>
      <w:r>
        <w:rPr>
          <w:rFonts w:ascii="Arial" w:cs="Arial" w:eastAsia="Arial" w:hAnsi="Arial"/>
          <w:sz w:val="16"/>
          <w:szCs w:val="16"/>
          <w:u w:val="single" w:color="auto"/>
          <w:color w:val="auto"/>
        </w:rPr>
        <w:t>amend</w:t>
      </w:r>
      <w:r>
        <w:rPr>
          <w:rFonts w:ascii="Arial" w:cs="Arial" w:eastAsia="Arial" w:hAnsi="Arial"/>
          <w:sz w:val="16"/>
          <w:szCs w:val="16"/>
          <w:color w:val="auto"/>
        </w:rPr>
        <w:t>,” “</w:t>
      </w:r>
      <w:r>
        <w:rPr>
          <w:rFonts w:ascii="Arial" w:cs="Arial" w:eastAsia="Arial" w:hAnsi="Arial"/>
          <w:sz w:val="16"/>
          <w:szCs w:val="16"/>
          <w:u w:val="single" w:color="auto"/>
          <w:color w:val="auto"/>
        </w:rPr>
        <w:t>amendment</w:t>
      </w:r>
      <w:r>
        <w:rPr>
          <w:rFonts w:ascii="Arial" w:cs="Arial" w:eastAsia="Arial" w:hAnsi="Arial"/>
          <w:sz w:val="16"/>
          <w:szCs w:val="16"/>
          <w:color w:val="auto"/>
        </w:rPr>
        <w:t>” or “</w:t>
      </w:r>
      <w:r>
        <w:rPr>
          <w:rFonts w:ascii="Arial" w:cs="Arial" w:eastAsia="Arial" w:hAnsi="Arial"/>
          <w:sz w:val="16"/>
          <w:szCs w:val="16"/>
          <w:u w:val="single" w:color="auto"/>
          <w:color w:val="auto"/>
        </w:rPr>
        <w:t>supplement</w:t>
      </w:r>
      <w:r>
        <w:rPr>
          <w:rFonts w:ascii="Arial" w:cs="Arial" w:eastAsia="Arial" w:hAnsi="Arial"/>
          <w:sz w:val="16"/>
          <w:szCs w:val="16"/>
          <w:color w:val="auto"/>
        </w:rPr>
        <w:t>” with respect to the Registration Statement, any Preliminary Prospectus or the Prospectus shall be deemed to refer to and include any documents filed after such date under the Securities Exchange Act of 1934, as amended, and the rules and regulations of the Commission thereunder (collectively, the “</w:t>
      </w:r>
      <w:r>
        <w:rPr>
          <w:rFonts w:ascii="Arial" w:cs="Arial" w:eastAsia="Arial" w:hAnsi="Arial"/>
          <w:sz w:val="16"/>
          <w:szCs w:val="16"/>
          <w:u w:val="single" w:color="auto"/>
          <w:color w:val="auto"/>
        </w:rPr>
        <w:t>Exchange Act</w:t>
      </w:r>
      <w:r>
        <w:rPr>
          <w:rFonts w:ascii="Arial" w:cs="Arial" w:eastAsia="Arial" w:hAnsi="Arial"/>
          <w:sz w:val="16"/>
          <w:szCs w:val="16"/>
          <w:color w:val="auto"/>
        </w:rPr>
        <w:t>”) that are deemed to be incorporated by reference therein. Capitalized terms used but not defined herein shall have the meanings given to such terms in the Registration Statement and the Prospectus.</w:t>
      </w:r>
    </w:p>
    <w:p>
      <w:pPr>
        <w:spacing w:after="0" w:line="171"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At or prior to 4:10 p.m. (New York City time), on September 11, 2023, the time when sales of the Securities were first made (the “</w:t>
      </w:r>
      <w:r>
        <w:rPr>
          <w:rFonts w:ascii="Arial" w:cs="Arial" w:eastAsia="Arial" w:hAnsi="Arial"/>
          <w:sz w:val="18"/>
          <w:szCs w:val="18"/>
          <w:u w:val="single" w:color="auto"/>
          <w:color w:val="auto"/>
        </w:rPr>
        <w:t>Time of Sale</w:t>
      </w:r>
      <w:r>
        <w:rPr>
          <w:rFonts w:ascii="Arial" w:cs="Arial" w:eastAsia="Arial" w:hAnsi="Arial"/>
          <w:sz w:val="18"/>
          <w:szCs w:val="18"/>
          <w:color w:val="auto"/>
        </w:rPr>
        <w:t>”), the Company had prepared the following information (collectively, the “</w:t>
      </w:r>
      <w:r>
        <w:rPr>
          <w:rFonts w:ascii="Arial" w:cs="Arial" w:eastAsia="Arial" w:hAnsi="Arial"/>
          <w:sz w:val="18"/>
          <w:szCs w:val="18"/>
          <w:u w:val="single" w:color="auto"/>
          <w:color w:val="auto"/>
        </w:rPr>
        <w:t>Time of Sale Information</w:t>
      </w:r>
      <w:r>
        <w:rPr>
          <w:rFonts w:ascii="Arial" w:cs="Arial" w:eastAsia="Arial" w:hAnsi="Arial"/>
          <w:sz w:val="18"/>
          <w:szCs w:val="18"/>
          <w:color w:val="auto"/>
        </w:rPr>
        <w:t>”): the Preliminary Prospectus and each “</w:t>
      </w:r>
      <w:r>
        <w:rPr>
          <w:rFonts w:ascii="Arial" w:cs="Arial" w:eastAsia="Arial" w:hAnsi="Arial"/>
          <w:sz w:val="18"/>
          <w:szCs w:val="18"/>
          <w:u w:val="single" w:color="auto"/>
          <w:color w:val="auto"/>
        </w:rPr>
        <w:t>free-writing</w:t>
      </w:r>
      <w:r>
        <w:rPr>
          <w:rFonts w:ascii="Arial" w:cs="Arial" w:eastAsia="Arial" w:hAnsi="Arial"/>
          <w:sz w:val="18"/>
          <w:szCs w:val="18"/>
          <w:color w:val="auto"/>
        </w:rPr>
        <w:t xml:space="preserve"> </w:t>
      </w:r>
      <w:r>
        <w:rPr>
          <w:rFonts w:ascii="Arial" w:cs="Arial" w:eastAsia="Arial" w:hAnsi="Arial"/>
          <w:sz w:val="18"/>
          <w:szCs w:val="18"/>
          <w:u w:val="single" w:color="auto"/>
          <w:color w:val="auto"/>
        </w:rPr>
        <w:t>prospectus</w:t>
      </w:r>
      <w:r>
        <w:rPr>
          <w:rFonts w:ascii="Arial" w:cs="Arial" w:eastAsia="Arial" w:hAnsi="Arial"/>
          <w:sz w:val="18"/>
          <w:szCs w:val="18"/>
          <w:color w:val="auto"/>
        </w:rPr>
        <w:t>” (as defined pursuant to Rule 405 under the Securities Act) listed on Annex A hereto.</w:t>
      </w:r>
    </w:p>
    <w:p>
      <w:pPr>
        <w:spacing w:after="0" w:line="184" w:lineRule="exact"/>
        <w:rPr>
          <w:sz w:val="20"/>
          <w:szCs w:val="20"/>
          <w:color w:val="auto"/>
        </w:rPr>
      </w:pPr>
    </w:p>
    <w:p>
      <w:pPr>
        <w:ind w:left="620" w:hanging="184"/>
        <w:spacing w:after="0"/>
        <w:tabs>
          <w:tab w:leader="none" w:pos="620" w:val="left"/>
        </w:tabs>
        <w:numPr>
          <w:ilvl w:val="0"/>
          <w:numId w:val="3"/>
        </w:numPr>
        <w:rPr>
          <w:rFonts w:ascii="Arial" w:cs="Arial" w:eastAsia="Arial" w:hAnsi="Arial"/>
          <w:sz w:val="18"/>
          <w:szCs w:val="18"/>
          <w:color w:val="auto"/>
        </w:rPr>
      </w:pPr>
      <w:r>
        <w:rPr>
          <w:rFonts w:ascii="Arial" w:cs="Arial" w:eastAsia="Arial" w:hAnsi="Arial"/>
          <w:sz w:val="18"/>
          <w:szCs w:val="18"/>
          <w:u w:val="single" w:color="auto"/>
          <w:color w:val="auto"/>
        </w:rPr>
        <w:t>Purchase and Sale of the Securities</w:t>
      </w:r>
      <w:r>
        <w:rPr>
          <w:rFonts w:ascii="Arial" w:cs="Arial" w:eastAsia="Arial" w:hAnsi="Arial"/>
          <w:sz w:val="18"/>
          <w:szCs w:val="18"/>
          <w:color w:val="auto"/>
        </w:rPr>
        <w:t>.</w:t>
      </w:r>
    </w:p>
    <w:p>
      <w:pPr>
        <w:spacing w:after="0" w:line="225" w:lineRule="exact"/>
        <w:rPr>
          <w:sz w:val="20"/>
          <w:szCs w:val="20"/>
          <w:color w:val="auto"/>
        </w:rPr>
      </w:pPr>
    </w:p>
    <w:p>
      <w:pPr>
        <w:ind w:right="60" w:firstLine="436"/>
        <w:spacing w:after="0" w:line="259" w:lineRule="auto"/>
        <w:tabs>
          <w:tab w:leader="none" w:pos="685"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Company agrees to issue and sell the Securities to the several Underwriters as provided in this Agreement, and each Underwriter, on the basis of the representations, warranties and agreements set forth herein and subject to the conditions set forth herein, agrees, severally and not jointly, to purchase from the Company the respective principal amount of Securities set forth opposite such Underwriter’s name in Schedule 1 hereto at a price equal to (a) 99.108% of the aggregate principal amount of</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00"/>
          </w:cols>
          <w:pgMar w:left="440" w:top="274" w:right="459" w:bottom="1440" w:gutter="0" w:footer="0" w:header="0"/>
        </w:sectPr>
      </w:pPr>
    </w:p>
    <w:bookmarkStart w:id="6" w:name="page7"/>
    <w:bookmarkEnd w:id="6"/>
    <w:p>
      <w:pPr>
        <w:ind w:right="20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2029 Notes, plus accrued interest, if any, from September 18, 2023 to the Closing Date (as defined below) and (b) 98.698% of the aggregate principal amount of the 2033 Notes, plus accrued interest, if any, from September 18, 2023 to the Closing Date. The Company will not be obligated to deliver any of the Securities except upon payment for all the Securities to be purchased as provided herein.</w:t>
      </w:r>
    </w:p>
    <w:p>
      <w:pPr>
        <w:spacing w:after="0" w:line="165" w:lineRule="exact"/>
        <w:rPr>
          <w:sz w:val="20"/>
          <w:szCs w:val="20"/>
          <w:color w:val="auto"/>
        </w:rPr>
      </w:pPr>
    </w:p>
    <w:p>
      <w:pPr>
        <w:ind w:right="260" w:firstLine="436"/>
        <w:spacing w:after="0" w:line="279" w:lineRule="auto"/>
        <w:tabs>
          <w:tab w:leader="none" w:pos="695"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Company understands that the Underwriters intend to make a public offering of the Securities as soon after the effectiveness of this Agreement as in the judgment of the Representatives is advisable, and initially to offer the Securities on the terms set forth in the Time of Sale Information. The Company acknowledges and agrees that the Underwriters may offer and sell Securities to or through any affiliate of an Underwriter and that any such affiliate may offer and sell Securities purchased by it to or through any Underwriter.</w:t>
      </w:r>
    </w:p>
    <w:p>
      <w:pPr>
        <w:spacing w:after="0" w:line="171" w:lineRule="exact"/>
        <w:rPr>
          <w:rFonts w:ascii="Arial" w:cs="Arial" w:eastAsia="Arial" w:hAnsi="Arial"/>
          <w:sz w:val="17"/>
          <w:szCs w:val="17"/>
          <w:color w:val="auto"/>
        </w:rPr>
      </w:pPr>
    </w:p>
    <w:p>
      <w:pPr>
        <w:jc w:val="both"/>
        <w:ind w:right="100" w:firstLine="436"/>
        <w:spacing w:after="0" w:line="311" w:lineRule="auto"/>
        <w:tabs>
          <w:tab w:leader="none" w:pos="685" w:val="left"/>
        </w:tabs>
        <w:numPr>
          <w:ilvl w:val="0"/>
          <w:numId w:val="5"/>
        </w:numPr>
        <w:rPr>
          <w:rFonts w:ascii="Arial" w:cs="Arial" w:eastAsia="Arial" w:hAnsi="Arial"/>
          <w:sz w:val="16"/>
          <w:szCs w:val="16"/>
          <w:color w:val="auto"/>
        </w:rPr>
      </w:pPr>
      <w:r>
        <w:rPr>
          <w:rFonts w:ascii="Arial" w:cs="Arial" w:eastAsia="Arial" w:hAnsi="Arial"/>
          <w:sz w:val="16"/>
          <w:szCs w:val="16"/>
          <w:color w:val="auto"/>
        </w:rPr>
        <w:t>Payment for and delivery of the Securities will be made at the offices of Davis Polk &amp; Wardwell LLP at 10:00 A.M., New York City time, on September 18, 2023, or at such other time or place on the same or such other date, not later than the fifth business day thereafter, as the Representatives and the Company may agree upon in writing. The time and date of such payment and delivery is referred to herein as the “</w:t>
      </w:r>
      <w:r>
        <w:rPr>
          <w:rFonts w:ascii="Arial" w:cs="Arial" w:eastAsia="Arial" w:hAnsi="Arial"/>
          <w:sz w:val="16"/>
          <w:szCs w:val="16"/>
          <w:u w:val="single" w:color="auto"/>
          <w:color w:val="auto"/>
        </w:rPr>
        <w:t>Closing Date</w:t>
      </w:r>
      <w:r>
        <w:rPr>
          <w:rFonts w:ascii="Arial" w:cs="Arial" w:eastAsia="Arial" w:hAnsi="Arial"/>
          <w:sz w:val="16"/>
          <w:szCs w:val="16"/>
          <w:color w:val="auto"/>
        </w:rPr>
        <w:t>.”</w:t>
      </w:r>
    </w:p>
    <w:p>
      <w:pPr>
        <w:spacing w:after="0" w:line="148" w:lineRule="exact"/>
        <w:rPr>
          <w:rFonts w:ascii="Arial" w:cs="Arial" w:eastAsia="Arial" w:hAnsi="Arial"/>
          <w:sz w:val="16"/>
          <w:szCs w:val="16"/>
          <w:color w:val="auto"/>
        </w:rPr>
      </w:pPr>
    </w:p>
    <w:p>
      <w:pPr>
        <w:ind w:right="80" w:firstLine="436"/>
        <w:spacing w:after="0" w:line="257" w:lineRule="auto"/>
        <w:tabs>
          <w:tab w:leader="none" w:pos="695" w:val="left"/>
        </w:tabs>
        <w:numPr>
          <w:ilvl w:val="0"/>
          <w:numId w:val="5"/>
        </w:numPr>
        <w:rPr>
          <w:rFonts w:ascii="Arial" w:cs="Arial" w:eastAsia="Arial" w:hAnsi="Arial"/>
          <w:sz w:val="18"/>
          <w:szCs w:val="18"/>
          <w:color w:val="auto"/>
        </w:rPr>
      </w:pPr>
      <w:r>
        <w:rPr>
          <w:rFonts w:ascii="Arial" w:cs="Arial" w:eastAsia="Arial" w:hAnsi="Arial"/>
          <w:sz w:val="18"/>
          <w:szCs w:val="18"/>
          <w:color w:val="auto"/>
        </w:rPr>
        <w:t>Payment for the Securities shall be made by wire transfer in immediately available funds to the account(s) specified by the Company to the Representatives against delivery to the nominee of The Depository Trust Company (“</w:t>
      </w:r>
      <w:r>
        <w:rPr>
          <w:rFonts w:ascii="Arial" w:cs="Arial" w:eastAsia="Arial" w:hAnsi="Arial"/>
          <w:sz w:val="18"/>
          <w:szCs w:val="18"/>
          <w:u w:val="single" w:color="auto"/>
          <w:color w:val="auto"/>
        </w:rPr>
        <w:t>DTC</w:t>
      </w:r>
      <w:r>
        <w:rPr>
          <w:rFonts w:ascii="Arial" w:cs="Arial" w:eastAsia="Arial" w:hAnsi="Arial"/>
          <w:sz w:val="18"/>
          <w:szCs w:val="18"/>
          <w:color w:val="auto"/>
        </w:rPr>
        <w:t>”), for the account of the Underwriters, of one or more global notes representing the Securities (collectively, the “</w:t>
      </w:r>
      <w:r>
        <w:rPr>
          <w:rFonts w:ascii="Arial" w:cs="Arial" w:eastAsia="Arial" w:hAnsi="Arial"/>
          <w:sz w:val="18"/>
          <w:szCs w:val="18"/>
          <w:u w:val="single" w:color="auto"/>
          <w:color w:val="auto"/>
        </w:rPr>
        <w:t>Global Notes</w:t>
      </w:r>
      <w:r>
        <w:rPr>
          <w:rFonts w:ascii="Arial" w:cs="Arial" w:eastAsia="Arial" w:hAnsi="Arial"/>
          <w:sz w:val="18"/>
          <w:szCs w:val="18"/>
          <w:color w:val="auto"/>
        </w:rPr>
        <w:t>”), with any transfer taxes payable in connection with the sale of the Securities duly paid by the Company. The Global Notes will be made available for inspection by the Representatives not later than 1:00 P.M., New York City time, on the business day prior to the Closing Date.</w:t>
      </w:r>
    </w:p>
    <w:p>
      <w:pPr>
        <w:spacing w:after="0" w:line="187" w:lineRule="exact"/>
        <w:rPr>
          <w:rFonts w:ascii="Arial" w:cs="Arial" w:eastAsia="Arial" w:hAnsi="Arial"/>
          <w:sz w:val="18"/>
          <w:szCs w:val="18"/>
          <w:color w:val="auto"/>
        </w:rPr>
      </w:pPr>
    </w:p>
    <w:p>
      <w:pPr>
        <w:ind w:firstLine="436"/>
        <w:spacing w:after="0" w:line="270" w:lineRule="auto"/>
        <w:tabs>
          <w:tab w:leader="none" w:pos="685" w:val="left"/>
        </w:tabs>
        <w:numPr>
          <w:ilvl w:val="0"/>
          <w:numId w:val="5"/>
        </w:numPr>
        <w:rPr>
          <w:rFonts w:ascii="Arial" w:cs="Arial" w:eastAsia="Arial" w:hAnsi="Arial"/>
          <w:sz w:val="17"/>
          <w:szCs w:val="17"/>
          <w:color w:val="auto"/>
        </w:rPr>
      </w:pPr>
      <w:r>
        <w:rPr>
          <w:rFonts w:ascii="Arial" w:cs="Arial" w:eastAsia="Arial" w:hAnsi="Arial"/>
          <w:sz w:val="17"/>
          <w:szCs w:val="17"/>
          <w:color w:val="auto"/>
        </w:rPr>
        <w:t>The Company acknowledges and agrees that each Underwriter is acting solely in the capacity of an arm’s length contractual counterparty to the Company with respect to the offering of Securities contemplated hereby (including in connection with determining the terms of the offering) and not as a financial advisor or a fiduciary to, or an agent of, the Company or any other person. Additionally, neither the Representatives nor any other Underwriter is advising the Company or any other person as to any legal, tax, investment, accounting or regulatory matters in any jurisdiction. The Company shall consult with its own advisors concerning such matters and shall be responsible for making its own independent investigation and appraisal of the transactions contemplated hereby, and the Underwriters shall have no responsibility or liability to the Company with respect thereto. Any review by the Representatives or any Underwriter of the Company, the transactions contemplated hereby or other matters relating to such transactions will be performed solely for the benefit of the Representatives or such Underwriter, as the case may be, and shall not be on behalf of the Company, as the case may be, or any other person.</w:t>
      </w:r>
    </w:p>
    <w:p>
      <w:pPr>
        <w:spacing w:after="0" w:line="11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1000"/>
          </w:cols>
          <w:pgMar w:left="440" w:top="274" w:right="459" w:bottom="1440" w:gutter="0" w:footer="0" w:header="0"/>
        </w:sectPr>
      </w:pPr>
    </w:p>
    <w:bookmarkStart w:id="7" w:name="page8"/>
    <w:bookmarkEnd w:id="7"/>
    <w:p>
      <w:pPr>
        <w:ind w:left="38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3. </w:t>
      </w:r>
      <w:r>
        <w:rPr>
          <w:rFonts w:ascii="Arial" w:cs="Arial" w:eastAsia="Arial" w:hAnsi="Arial"/>
          <w:sz w:val="18"/>
          <w:szCs w:val="18"/>
          <w:u w:val="single" w:color="auto"/>
          <w:color w:val="auto"/>
        </w:rPr>
        <w:t>Representations and Warranties of the Company</w:t>
      </w:r>
      <w:r>
        <w:rPr>
          <w:rFonts w:ascii="Arial" w:cs="Arial" w:eastAsia="Arial" w:hAnsi="Arial"/>
          <w:sz w:val="18"/>
          <w:szCs w:val="18"/>
          <w:color w:val="auto"/>
        </w:rPr>
        <w:t>. The Company represents and warrants to each Underwriter that:</w:t>
      </w:r>
    </w:p>
    <w:p>
      <w:pPr>
        <w:spacing w:after="0" w:line="117" w:lineRule="exact"/>
        <w:rPr>
          <w:sz w:val="20"/>
          <w:szCs w:val="20"/>
          <w:color w:val="auto"/>
        </w:rPr>
      </w:pPr>
    </w:p>
    <w:p>
      <w:pPr>
        <w:ind w:left="-60" w:right="240" w:firstLine="436"/>
        <w:spacing w:after="0" w:line="273" w:lineRule="auto"/>
        <w:tabs>
          <w:tab w:leader="none" w:pos="625" w:val="left"/>
        </w:tabs>
        <w:numPr>
          <w:ilvl w:val="0"/>
          <w:numId w:val="6"/>
        </w:numPr>
        <w:rPr>
          <w:rFonts w:ascii="Arial" w:cs="Arial" w:eastAsia="Arial" w:hAnsi="Arial"/>
          <w:sz w:val="17"/>
          <w:szCs w:val="17"/>
          <w:color w:val="auto"/>
        </w:rPr>
      </w:pPr>
      <w:r>
        <w:rPr>
          <w:rFonts w:ascii="Arial" w:cs="Arial" w:eastAsia="Arial" w:hAnsi="Arial"/>
          <w:sz w:val="17"/>
          <w:szCs w:val="17"/>
          <w:i w:val="1"/>
          <w:iCs w:val="1"/>
          <w:color w:val="auto"/>
        </w:rPr>
        <w:t xml:space="preserve">Preliminary Prospectus. </w:t>
      </w:r>
      <w:r>
        <w:rPr>
          <w:rFonts w:ascii="Arial" w:cs="Arial" w:eastAsia="Arial" w:hAnsi="Arial"/>
          <w:sz w:val="17"/>
          <w:szCs w:val="17"/>
          <w:color w:val="auto"/>
        </w:rPr>
        <w:t>No order preventing or suspending the use of any Preliminary Prospectus has been issued by the Commission, and</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each Preliminary Prospectus, at the time of filing thereof, complied in all material respects with the Securities Act and did not contain any untrue statement of a material fact or omit to state a material fact necessary in order to make the statements therein, in the light of the circumstances under which they were made, not misleading;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Company makes no representation or warranty with respect to any statements or omissions made in reliance upon and in conformity with Underwriter Information (as defined in Section 7(b)) furnished to the Company in writing by such Underwriter through the Representatives expressly for use in any Preliminary Prospectus.</w:t>
      </w:r>
    </w:p>
    <w:p>
      <w:pPr>
        <w:spacing w:after="0" w:line="177" w:lineRule="exact"/>
        <w:rPr>
          <w:rFonts w:ascii="Arial" w:cs="Arial" w:eastAsia="Arial" w:hAnsi="Arial"/>
          <w:sz w:val="17"/>
          <w:szCs w:val="17"/>
          <w:color w:val="auto"/>
        </w:rPr>
      </w:pPr>
    </w:p>
    <w:p>
      <w:pPr>
        <w:ind w:left="-60" w:firstLine="436"/>
        <w:spacing w:after="0" w:line="272" w:lineRule="auto"/>
        <w:tabs>
          <w:tab w:leader="none" w:pos="635" w:val="left"/>
        </w:tabs>
        <w:numPr>
          <w:ilvl w:val="0"/>
          <w:numId w:val="6"/>
        </w:numPr>
        <w:rPr>
          <w:rFonts w:ascii="Arial" w:cs="Arial" w:eastAsia="Arial" w:hAnsi="Arial"/>
          <w:sz w:val="17"/>
          <w:szCs w:val="17"/>
          <w:color w:val="auto"/>
        </w:rPr>
      </w:pPr>
      <w:r>
        <w:rPr>
          <w:rFonts w:ascii="Arial" w:cs="Arial" w:eastAsia="Arial" w:hAnsi="Arial"/>
          <w:sz w:val="17"/>
          <w:szCs w:val="17"/>
          <w:i w:val="1"/>
          <w:iCs w:val="1"/>
          <w:color w:val="auto"/>
        </w:rPr>
        <w:t>Time of Sale Information</w:t>
      </w:r>
      <w:r>
        <w:rPr>
          <w:rFonts w:ascii="Arial" w:cs="Arial" w:eastAsia="Arial" w:hAnsi="Arial"/>
          <w:sz w:val="17"/>
          <w:szCs w:val="17"/>
          <w:color w:val="auto"/>
        </w:rPr>
        <w:t>. The Time of Sale Information at the Time of Sale did not, and at the Closing Date will not, contain any untrue</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statement of a material fact or omit to state a material fact necessary in order to make the statements therein, in the light of the circumstances under which they were made, not misleading;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Company makes no representation or warranty with respect to any statements or omissions made in reliance upon and in conformity with Underwriter Information furnished to the Company in writing by such Underwriter through the Representatives expressly for use in the Preliminary Prospectus, the Time of Sale Information or the Prospectus. No statement of material fact included in the Prospectus has been omitted from the Time of Sale Information, and no statement of material fact included in the Time of Sale Information that is required to be included in the Prospectus has been omitted therefrom.</w:t>
      </w:r>
    </w:p>
    <w:p>
      <w:pPr>
        <w:spacing w:after="0" w:line="177" w:lineRule="exact"/>
        <w:rPr>
          <w:rFonts w:ascii="Arial" w:cs="Arial" w:eastAsia="Arial" w:hAnsi="Arial"/>
          <w:sz w:val="17"/>
          <w:szCs w:val="17"/>
          <w:color w:val="auto"/>
        </w:rPr>
      </w:pPr>
    </w:p>
    <w:p>
      <w:pPr>
        <w:ind w:left="-60" w:right="20" w:firstLine="436"/>
        <w:spacing w:after="0" w:line="268" w:lineRule="auto"/>
        <w:tabs>
          <w:tab w:leader="none" w:pos="625" w:val="left"/>
        </w:tabs>
        <w:numPr>
          <w:ilvl w:val="0"/>
          <w:numId w:val="6"/>
        </w:numPr>
        <w:rPr>
          <w:rFonts w:ascii="Arial" w:cs="Arial" w:eastAsia="Arial" w:hAnsi="Arial"/>
          <w:sz w:val="17"/>
          <w:szCs w:val="17"/>
          <w:color w:val="auto"/>
        </w:rPr>
      </w:pPr>
      <w:r>
        <w:rPr>
          <w:rFonts w:ascii="Arial" w:cs="Arial" w:eastAsia="Arial" w:hAnsi="Arial"/>
          <w:sz w:val="17"/>
          <w:szCs w:val="17"/>
          <w:i w:val="1"/>
          <w:iCs w:val="1"/>
          <w:color w:val="auto"/>
        </w:rPr>
        <w:t xml:space="preserve">Issuer Free Writing Prospectus. </w:t>
      </w:r>
      <w:r>
        <w:rPr>
          <w:rFonts w:ascii="Arial" w:cs="Arial" w:eastAsia="Arial" w:hAnsi="Arial"/>
          <w:sz w:val="17"/>
          <w:szCs w:val="17"/>
          <w:color w:val="auto"/>
        </w:rPr>
        <w:t>The Company (including its agents and representatives, other than the Underwriters in their capacity as such,</w:t>
      </w:r>
      <w:r>
        <w:rPr>
          <w:rFonts w:ascii="Arial" w:cs="Arial" w:eastAsia="Arial" w:hAnsi="Arial"/>
          <w:sz w:val="17"/>
          <w:szCs w:val="17"/>
          <w:i w:val="1"/>
          <w:iCs w:val="1"/>
          <w:color w:val="auto"/>
        </w:rPr>
        <w:t xml:space="preserve"> </w:t>
      </w:r>
      <w:r>
        <w:rPr>
          <w:rFonts w:ascii="Arial" w:cs="Arial" w:eastAsia="Arial" w:hAnsi="Arial"/>
          <w:sz w:val="17"/>
          <w:szCs w:val="17"/>
          <w:color w:val="auto"/>
        </w:rPr>
        <w:t>as to whom no representation is made) has not prepared, made, used, authorized, approved or referred to and will not prepare, make, use, authorize, approve or refer to any “</w:t>
      </w:r>
      <w:r>
        <w:rPr>
          <w:rFonts w:ascii="Arial" w:cs="Arial" w:eastAsia="Arial" w:hAnsi="Arial"/>
          <w:sz w:val="17"/>
          <w:szCs w:val="17"/>
          <w:u w:val="single" w:color="auto"/>
          <w:color w:val="auto"/>
        </w:rPr>
        <w:t>written communication</w:t>
      </w:r>
      <w:r>
        <w:rPr>
          <w:rFonts w:ascii="Arial" w:cs="Arial" w:eastAsia="Arial" w:hAnsi="Arial"/>
          <w:sz w:val="17"/>
          <w:szCs w:val="17"/>
          <w:color w:val="auto"/>
        </w:rPr>
        <w:t>” (as defined in Rule 405 under the Securities Act) that constitutes an offer to sell or solicitation of an offer to buy the Securities (each such communication by the Company or its agents and representatives, other than the Underwriters in their capacity as such, as to whom no representation is made, and other than a communication referred to in clauses (i), (ii) and (iii) below, an “</w:t>
      </w:r>
      <w:r>
        <w:rPr>
          <w:rFonts w:ascii="Arial" w:cs="Arial" w:eastAsia="Arial" w:hAnsi="Arial"/>
          <w:sz w:val="17"/>
          <w:szCs w:val="17"/>
          <w:u w:val="single" w:color="auto"/>
          <w:color w:val="auto"/>
        </w:rPr>
        <w:t>Issuer Free Writing</w:t>
      </w:r>
      <w:r>
        <w:rPr>
          <w:rFonts w:ascii="Arial" w:cs="Arial" w:eastAsia="Arial" w:hAnsi="Arial"/>
          <w:sz w:val="17"/>
          <w:szCs w:val="17"/>
          <w:color w:val="auto"/>
        </w:rPr>
        <w:t xml:space="preserve"> </w:t>
      </w:r>
      <w:r>
        <w:rPr>
          <w:rFonts w:ascii="Arial" w:cs="Arial" w:eastAsia="Arial" w:hAnsi="Arial"/>
          <w:sz w:val="17"/>
          <w:szCs w:val="17"/>
          <w:u w:val="single" w:color="auto"/>
          <w:color w:val="auto"/>
        </w:rPr>
        <w:t>Prospectus</w:t>
      </w:r>
      <w:r>
        <w:rPr>
          <w:rFonts w:ascii="Arial" w:cs="Arial" w:eastAsia="Arial" w:hAnsi="Arial"/>
          <w:sz w:val="17"/>
          <w:szCs w:val="17"/>
          <w:color w:val="auto"/>
        </w:rPr>
        <w:t>”) other than (i) any document not constituting a prospectus pursuant to Section 2(a)(10)(a) of the Securities Act or Rule 134 under the Securities Act, (ii) the Preliminary Prospectus, (iii) the Prospectus, (iv) the documents listed on Annex A hereto, including a Pricing Term Sheet substantially in the form of Annex B hereto, which constitute part of the Time of Sale Information and (v) any electronic road show or other written communications, in each case approved in writing in advance by the Representatives. Each such Issuer Free Writing Prospectus complies in all material respects with the Securities Act, has been or will be (within the time period specified in Rule 433) filed in accordance with the Securities Act (to the extent required thereby) and, when taken together with the Preliminary Prospectus filed prior to the first use of such Issuer Free Writing Prospectus, at the Time of Sale, did not, and at the Closing Date will not, contain any untrue statement of a material fact or omit to state a material fact necessary in order to make the statements</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4</w:t>
      </w:r>
    </w:p>
    <w:p>
      <w:pPr>
        <w:sectPr>
          <w:pgSz w:w="11900" w:h="16838" w:orient="portrait"/>
          <w:cols w:equalWidth="0" w:num="1">
            <w:col w:w="10880"/>
          </w:cols>
          <w:pgMar w:left="500" w:top="274" w:right="519" w:bottom="1440" w:gutter="0" w:footer="0" w:header="0"/>
        </w:sectPr>
      </w:pPr>
    </w:p>
    <w:bookmarkStart w:id="8" w:name="page9"/>
    <w:bookmarkEnd w:id="8"/>
    <w:p>
      <w:pPr>
        <w:jc w:val="both"/>
        <w:ind w:right="4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therein, in the light of the circumstances under which they were made, not misleading;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makes no representation or warranty with respect to any Underwriter Information furnished to the Company in writing by such Underwriter through the Representatives expressly for use in any Issuer Free Writing Prospectus.</w:t>
      </w:r>
    </w:p>
    <w:p>
      <w:pPr>
        <w:spacing w:after="0" w:line="184" w:lineRule="exact"/>
        <w:rPr>
          <w:sz w:val="20"/>
          <w:szCs w:val="20"/>
          <w:color w:val="auto"/>
        </w:rPr>
      </w:pPr>
    </w:p>
    <w:p>
      <w:pPr>
        <w:ind w:right="40" w:firstLine="436"/>
        <w:spacing w:after="0" w:line="286" w:lineRule="auto"/>
        <w:tabs>
          <w:tab w:leader="none" w:pos="695"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 xml:space="preserve">Registration Statement and Prospectus. </w:t>
      </w:r>
      <w:r>
        <w:rPr>
          <w:rFonts w:ascii="Arial" w:cs="Arial" w:eastAsia="Arial" w:hAnsi="Arial"/>
          <w:sz w:val="16"/>
          <w:szCs w:val="16"/>
          <w:color w:val="auto"/>
        </w:rPr>
        <w:t>The Registration Statement has been declared effective by the Commission. No order suspending the</w:t>
      </w:r>
      <w:r>
        <w:rPr>
          <w:rFonts w:ascii="Arial" w:cs="Arial" w:eastAsia="Arial" w:hAnsi="Arial"/>
          <w:sz w:val="16"/>
          <w:szCs w:val="16"/>
          <w:i w:val="1"/>
          <w:iCs w:val="1"/>
          <w:color w:val="auto"/>
        </w:rPr>
        <w:t xml:space="preserve"> </w:t>
      </w:r>
      <w:r>
        <w:rPr>
          <w:rFonts w:ascii="Arial" w:cs="Arial" w:eastAsia="Arial" w:hAnsi="Arial"/>
          <w:sz w:val="16"/>
          <w:szCs w:val="16"/>
          <w:color w:val="auto"/>
        </w:rPr>
        <w:t>effectiveness of the Registration Statement has been issued by the Commission, and no proceeding for that purpose or pursuant to Section 8A of the Securities Act against the Company or related to the offering has been initiated or, to the Company’s knowledge, threatened by the Commission; as of the applicable effective date of the Registration Statement and any amendment thereto, the Registration Statement complied and will comply in all material respects with the Securities Act and the Trust Indenture Act of 1939, as amended, and the rules and regulations of the Commission thereunder (collectively, the “</w:t>
      </w:r>
      <w:r>
        <w:rPr>
          <w:rFonts w:ascii="Arial" w:cs="Arial" w:eastAsia="Arial" w:hAnsi="Arial"/>
          <w:sz w:val="16"/>
          <w:szCs w:val="16"/>
          <w:u w:val="single" w:color="auto"/>
          <w:color w:val="auto"/>
        </w:rPr>
        <w:t>Trust Indenture Act</w:t>
      </w:r>
      <w:r>
        <w:rPr>
          <w:rFonts w:ascii="Arial" w:cs="Arial" w:eastAsia="Arial" w:hAnsi="Arial"/>
          <w:sz w:val="16"/>
          <w:szCs w:val="16"/>
          <w:color w:val="auto"/>
        </w:rPr>
        <w:t xml:space="preserve">”), and did not and will not contain any untrue statement of a material fact or omit to state a material fact required to be stated therein or necessary in order to make the statements therein not misleading; and as of the date of the Prospectus and any amendment or supplement thereto and as of the Closing Date, the Prospectus will not contain any untrue statement of a material fact or omit to state a material fact necessary in order to make the statements therein, in the light of the circumstances under which they were made, not misleading;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Company makes no representation or warranty with respect to (i) that part of the Registration Statement that constitutes the Statement of Eligibility and Qualification (Form T-1) of the Trustee under the Trust Indenture Act or (ii) any statements or omissions made in reliance upon and in conformity with information relating to any Underwriter furnished to the Company in writing by such Underwriter through the Representatives expressly for use in the Registration Statement and the Prospectus and any amendment or supplement thereto.</w:t>
      </w:r>
    </w:p>
    <w:p>
      <w:pPr>
        <w:spacing w:after="0" w:line="173" w:lineRule="exact"/>
        <w:rPr>
          <w:rFonts w:ascii="Arial" w:cs="Arial" w:eastAsia="Arial" w:hAnsi="Arial"/>
          <w:sz w:val="16"/>
          <w:szCs w:val="16"/>
          <w:color w:val="auto"/>
        </w:rPr>
      </w:pPr>
    </w:p>
    <w:p>
      <w:pPr>
        <w:ind w:firstLine="436"/>
        <w:spacing w:after="0" w:line="290" w:lineRule="auto"/>
        <w:tabs>
          <w:tab w:leader="none" w:pos="685" w:val="left"/>
        </w:tabs>
        <w:numPr>
          <w:ilvl w:val="0"/>
          <w:numId w:val="7"/>
        </w:numPr>
        <w:rPr>
          <w:rFonts w:ascii="Arial" w:cs="Arial" w:eastAsia="Arial" w:hAnsi="Arial"/>
          <w:sz w:val="16"/>
          <w:szCs w:val="16"/>
          <w:color w:val="auto"/>
        </w:rPr>
      </w:pPr>
      <w:r>
        <w:rPr>
          <w:rFonts w:ascii="Arial" w:cs="Arial" w:eastAsia="Arial" w:hAnsi="Arial"/>
          <w:sz w:val="16"/>
          <w:szCs w:val="16"/>
          <w:i w:val="1"/>
          <w:iCs w:val="1"/>
          <w:color w:val="auto"/>
        </w:rPr>
        <w:t xml:space="preserve">Incorporated Documents. </w:t>
      </w:r>
      <w:r>
        <w:rPr>
          <w:rFonts w:ascii="Arial" w:cs="Arial" w:eastAsia="Arial" w:hAnsi="Arial"/>
          <w:sz w:val="16"/>
          <w:szCs w:val="16"/>
          <w:color w:val="auto"/>
        </w:rPr>
        <w:t>(i) The Company documents incorporated by reference in each of the Registration Statement, the Prospectus and the</w:t>
      </w:r>
      <w:r>
        <w:rPr>
          <w:rFonts w:ascii="Arial" w:cs="Arial" w:eastAsia="Arial" w:hAnsi="Arial"/>
          <w:sz w:val="16"/>
          <w:szCs w:val="16"/>
          <w:i w:val="1"/>
          <w:iCs w:val="1"/>
          <w:color w:val="auto"/>
        </w:rPr>
        <w:t xml:space="preserve"> </w:t>
      </w:r>
      <w:r>
        <w:rPr>
          <w:rFonts w:ascii="Arial" w:cs="Arial" w:eastAsia="Arial" w:hAnsi="Arial"/>
          <w:sz w:val="16"/>
          <w:szCs w:val="16"/>
          <w:color w:val="auto"/>
        </w:rPr>
        <w:t>Time of Sale Information when they were filed with the Commission conformed in all material respects to the requirements of the Exchange Act, and none of such documents contained any untrue statement of a material fact or omitted to state a material fact required to be stated therein or necessary in order to make the statements therein, in the light of the circumstances under which they were made, not misleading; and (ii) any further Company documents so filed and incorporated by reference in the Registration Statement, the Prospectus or the Time of Sale Information, when such documents become effective or are filed with the Commission, as the case may be, will conform in all material respects to the requirements of the Securities Act or the Exchange Act, as applicable, and will not contain any untrue statement of a material fact or omit to state a material fact required to be stated therein or necessary in order to make the statements therein, in the light of the circumstances under which they were made, not misleading.</w:t>
      </w:r>
    </w:p>
    <w:p>
      <w:pPr>
        <w:spacing w:after="0" w:line="165" w:lineRule="exact"/>
        <w:rPr>
          <w:rFonts w:ascii="Arial" w:cs="Arial" w:eastAsia="Arial" w:hAnsi="Arial"/>
          <w:sz w:val="16"/>
          <w:szCs w:val="16"/>
          <w:color w:val="auto"/>
        </w:rPr>
      </w:pPr>
    </w:p>
    <w:p>
      <w:pPr>
        <w:jc w:val="both"/>
        <w:ind w:right="140" w:firstLine="436"/>
        <w:spacing w:after="0" w:line="263" w:lineRule="auto"/>
        <w:tabs>
          <w:tab w:leader="none" w:pos="665" w:val="left"/>
        </w:tabs>
        <w:numPr>
          <w:ilvl w:val="0"/>
          <w:numId w:val="7"/>
        </w:numPr>
        <w:rPr>
          <w:rFonts w:ascii="Arial" w:cs="Arial" w:eastAsia="Arial" w:hAnsi="Arial"/>
          <w:sz w:val="18"/>
          <w:szCs w:val="18"/>
          <w:color w:val="auto"/>
        </w:rPr>
      </w:pPr>
      <w:r>
        <w:rPr>
          <w:rFonts w:ascii="Arial" w:cs="Arial" w:eastAsia="Arial" w:hAnsi="Arial"/>
          <w:sz w:val="18"/>
          <w:szCs w:val="18"/>
          <w:i w:val="1"/>
          <w:iCs w:val="1"/>
          <w:color w:val="auto"/>
        </w:rPr>
        <w:t xml:space="preserve">Financial Statements. </w:t>
      </w:r>
      <w:r>
        <w:rPr>
          <w:rFonts w:ascii="Arial" w:cs="Arial" w:eastAsia="Arial" w:hAnsi="Arial"/>
          <w:sz w:val="18"/>
          <w:szCs w:val="18"/>
          <w:color w:val="auto"/>
        </w:rPr>
        <w:t>The financial statements and the related notes thereto included or incorporated by reference in each of the Registration</w:t>
      </w:r>
      <w:r>
        <w:rPr>
          <w:rFonts w:ascii="Arial" w:cs="Arial" w:eastAsia="Arial" w:hAnsi="Arial"/>
          <w:sz w:val="18"/>
          <w:szCs w:val="18"/>
          <w:i w:val="1"/>
          <w:iCs w:val="1"/>
          <w:color w:val="auto"/>
        </w:rPr>
        <w:t xml:space="preserve"> </w:t>
      </w:r>
      <w:r>
        <w:rPr>
          <w:rFonts w:ascii="Arial" w:cs="Arial" w:eastAsia="Arial" w:hAnsi="Arial"/>
          <w:sz w:val="18"/>
          <w:szCs w:val="18"/>
          <w:color w:val="auto"/>
        </w:rPr>
        <w:t>Statement, the Time of Sale Information and the Prospectus comply in all material respects with the applicable requirements of the Securities Act and the Exchange Act, as applicable, and</w:t>
      </w:r>
    </w:p>
    <w:p>
      <w:pPr>
        <w:spacing w:after="0" w:line="116"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0940"/>
          </w:cols>
          <w:pgMar w:left="440" w:top="274" w:right="519" w:bottom="1440" w:gutter="0" w:footer="0" w:header="0"/>
        </w:sectPr>
      </w:pPr>
    </w:p>
    <w:bookmarkStart w:id="9" w:name="page10"/>
    <w:bookmarkEnd w:id="9"/>
    <w:p>
      <w:pPr>
        <w:ind w:right="100"/>
        <w:spacing w:after="0" w:line="290"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present fairly the financial position of the Company and its subsidiaries as of the dates indicated and the statement of their operations, comprehensive income (loss), stockholders’ equity and cash flows for the periods specified; said financial statements and any supporting schedules included or incorporated by reference in each of the Registration Statement, the Prospectus and the Time of Sale Information, have been prepared in all material respects in conformity with generally accepted accounting principles (“</w:t>
      </w:r>
      <w:r>
        <w:rPr>
          <w:rFonts w:ascii="Arial" w:cs="Arial" w:eastAsia="Arial" w:hAnsi="Arial"/>
          <w:sz w:val="16"/>
          <w:szCs w:val="16"/>
          <w:u w:val="single" w:color="auto"/>
          <w:color w:val="auto"/>
        </w:rPr>
        <w:t>GAAP</w:t>
      </w:r>
      <w:r>
        <w:rPr>
          <w:rFonts w:ascii="Arial" w:cs="Arial" w:eastAsia="Arial" w:hAnsi="Arial"/>
          <w:sz w:val="16"/>
          <w:szCs w:val="16"/>
          <w:color w:val="auto"/>
        </w:rPr>
        <w:t>”) applied on a consistent basis throughout the periods involved, and such supporting schedules included or incorporated by reference in each of the Registration Statement, the Prospectus and the Time of Sale Information present fairly the information required to be stated therein. All disclosures contained or incorporated by reference in the Registration Statement, the Time of Sale Information and the Prospectus regarding “non-GAAP financial measures” (as such term is defined by the rules and regulations of the Commission) comply with Regulation G of the Exchange Act and Item 10 of Regulation S-K of the Securities Act, to the extent applicable.</w:t>
      </w:r>
    </w:p>
    <w:p>
      <w:pPr>
        <w:spacing w:after="0" w:line="165" w:lineRule="exact"/>
        <w:rPr>
          <w:sz w:val="20"/>
          <w:szCs w:val="20"/>
          <w:color w:val="auto"/>
        </w:rPr>
      </w:pPr>
    </w:p>
    <w:p>
      <w:pPr>
        <w:ind w:firstLine="436"/>
        <w:spacing w:after="0" w:line="285" w:lineRule="auto"/>
        <w:tabs>
          <w:tab w:leader="none" w:pos="695" w:val="left"/>
        </w:tabs>
        <w:numPr>
          <w:ilvl w:val="0"/>
          <w:numId w:val="8"/>
        </w:numPr>
        <w:rPr>
          <w:rFonts w:ascii="Arial" w:cs="Arial" w:eastAsia="Arial" w:hAnsi="Arial"/>
          <w:sz w:val="16"/>
          <w:szCs w:val="16"/>
          <w:color w:val="auto"/>
        </w:rPr>
      </w:pPr>
      <w:r>
        <w:rPr>
          <w:rFonts w:ascii="Arial" w:cs="Arial" w:eastAsia="Arial" w:hAnsi="Arial"/>
          <w:sz w:val="16"/>
          <w:szCs w:val="16"/>
          <w:i w:val="1"/>
          <w:iCs w:val="1"/>
          <w:color w:val="auto"/>
        </w:rPr>
        <w:t xml:space="preserve">No Material Adverse Change. </w:t>
      </w:r>
      <w:r>
        <w:rPr>
          <w:rFonts w:ascii="Arial" w:cs="Arial" w:eastAsia="Arial" w:hAnsi="Arial"/>
          <w:sz w:val="16"/>
          <w:szCs w:val="16"/>
          <w:color w:val="auto"/>
        </w:rPr>
        <w:t>None of the Company or any of its subsidiaries has, since the date of the most recent financial statements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included or incorporated by reference in each of the Registration Statement, the Time of Sale Information and the Prospectus, (i) sustained any loss or interference with its business that is material to the Company and its subsidiaries taken as a whole, from fire, explosion, flood or other calamity, whether or not covered by insurance, or from any labor dispute or court or governmental action, order or decree, or (ii) entered into any transaction or agreement (whether or not in the ordinary course of business) that is material to the Company and its subsidiaries taken as a whole, or incurred any liability or obligation, direct or contingent, that is material to the Company and its subsidiaries taken as a whole, in each case, otherwise than as set forth or contemplated in the Registration Statement, the Time of Sale Information and the Prospectus, and since the respective dates as of which information is given in the Registration Statement, the Time of Sale Information and the Prospectus, there has not been (x) any change to the authorized capitalization of the Company or long-term debt of the Company and its subsidiaries as set forth in the Registration Statement, the Time of Sale Information and the Prospectus under the caption “Capitalization,” otherwise than as set forth or contemplated in the Registration Statement, the Time of Sale Information and the Prospectus or (y) any Material Adverse Effect (as defined below); as used in this Agreement, “Material Adverse Effect” shall mean any material adverse change or effect, or any development involving a prospective material adverse change or effect, in or affecting (i) the business, properties, general affairs, management, financial position, stockholders’ equity or results of operations of the Company and its subsidiaries, taken as a whole, except as set forth or contemplated in the Registration Statement, the Time of Sale Information and the Prospectus, or (ii) the ability of the Company to perform its obligations under this Agreement, including the issuance and sale of the Securities, or to consummate the transactions contemplated in the Registration Statement, the Time of Sale Information and the Prospectus.</w:t>
      </w:r>
    </w:p>
    <w:p>
      <w:pPr>
        <w:spacing w:after="0" w:line="10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20"/>
          </w:cols>
          <w:pgMar w:left="440" w:top="274" w:right="439" w:bottom="1440" w:gutter="0" w:footer="0" w:header="0"/>
        </w:sectPr>
      </w:pPr>
    </w:p>
    <w:bookmarkStart w:id="10" w:name="page11"/>
    <w:bookmarkEnd w:id="10"/>
    <w:p>
      <w:pPr>
        <w:ind w:left="-20" w:firstLine="436"/>
        <w:spacing w:after="0" w:line="272" w:lineRule="auto"/>
        <w:tabs>
          <w:tab w:leader="none" w:pos="675" w:val="left"/>
        </w:tabs>
        <w:numPr>
          <w:ilvl w:val="0"/>
          <w:numId w:val="9"/>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Organization and Good Standing. </w:t>
      </w:r>
      <w:r>
        <w:rPr>
          <w:rFonts w:ascii="Arial" w:cs="Arial" w:eastAsia="Arial" w:hAnsi="Arial"/>
          <w:sz w:val="17"/>
          <w:szCs w:val="17"/>
          <w:color w:val="auto"/>
        </w:rPr>
        <w:t>Each of the Company and its “significant subsidiaries,” as such term is defined in Rule 1-02 of Regulation</w:t>
      </w:r>
      <w:r>
        <w:rPr>
          <w:rFonts w:ascii="Arial" w:cs="Arial" w:eastAsia="Arial" w:hAnsi="Arial"/>
          <w:sz w:val="17"/>
          <w:szCs w:val="17"/>
          <w:i w:val="1"/>
          <w:iCs w:val="1"/>
          <w:color w:val="auto"/>
        </w:rPr>
        <w:t xml:space="preserve"> </w:t>
      </w:r>
      <w:r>
        <w:rPr>
          <w:rFonts w:ascii="Arial" w:cs="Arial" w:eastAsia="Arial" w:hAnsi="Arial"/>
          <w:sz w:val="17"/>
          <w:szCs w:val="17"/>
          <w:color w:val="auto"/>
        </w:rPr>
        <w:t>S-X under the Exchange Act, has been (i) duly organized and is validly existing and in good standing under the laws of its jurisdiction of organization with power and authority (corporate and other) to own its properties and conduct its business as described in the Registration Statement, the Time of Sale Information and the Prospectus and (ii) duly qualified as a foreign corporation for the transaction of business and is in good standing under the laws of each other jurisdiction in which it owns or leases properties or conducts any business so as to require such qualification, except, in the case of clause (ii), where the failure to be so qualified or in good standing would not, individually or in the aggregate, have a Material Adverse Effect; and each significant subsidiary of the Company is listed on Schedule 2 hereto.</w:t>
      </w:r>
    </w:p>
    <w:p>
      <w:pPr>
        <w:spacing w:after="0" w:line="177" w:lineRule="exact"/>
        <w:rPr>
          <w:rFonts w:ascii="Arial" w:cs="Arial" w:eastAsia="Arial" w:hAnsi="Arial"/>
          <w:sz w:val="17"/>
          <w:szCs w:val="17"/>
          <w:color w:val="auto"/>
        </w:rPr>
      </w:pPr>
    </w:p>
    <w:p>
      <w:pPr>
        <w:ind w:left="-20" w:right="100" w:firstLine="436"/>
        <w:spacing w:after="0" w:line="273" w:lineRule="auto"/>
        <w:tabs>
          <w:tab w:leader="none" w:pos="635" w:val="left"/>
        </w:tabs>
        <w:numPr>
          <w:ilvl w:val="0"/>
          <w:numId w:val="9"/>
        </w:numPr>
        <w:rPr>
          <w:rFonts w:ascii="Arial" w:cs="Arial" w:eastAsia="Arial" w:hAnsi="Arial"/>
          <w:sz w:val="17"/>
          <w:szCs w:val="17"/>
          <w:color w:val="auto"/>
        </w:rPr>
      </w:pPr>
      <w:r>
        <w:rPr>
          <w:rFonts w:ascii="Arial" w:cs="Arial" w:eastAsia="Arial" w:hAnsi="Arial"/>
          <w:sz w:val="17"/>
          <w:szCs w:val="17"/>
          <w:i w:val="1"/>
          <w:iCs w:val="1"/>
          <w:color w:val="auto"/>
        </w:rPr>
        <w:t xml:space="preserve">Capitalization. </w:t>
      </w:r>
      <w:r>
        <w:rPr>
          <w:rFonts w:ascii="Arial" w:cs="Arial" w:eastAsia="Arial" w:hAnsi="Arial"/>
          <w:sz w:val="17"/>
          <w:szCs w:val="17"/>
          <w:color w:val="auto"/>
        </w:rPr>
        <w:t>The Company has an authorized capitalization as set forth or incorporated by reference in the Registration Statement, the Time</w:t>
      </w:r>
      <w:r>
        <w:rPr>
          <w:rFonts w:ascii="Arial" w:cs="Arial" w:eastAsia="Arial" w:hAnsi="Arial"/>
          <w:sz w:val="17"/>
          <w:szCs w:val="17"/>
          <w:i w:val="1"/>
          <w:iCs w:val="1"/>
          <w:color w:val="auto"/>
        </w:rPr>
        <w:t xml:space="preserve"> </w:t>
      </w:r>
      <w:r>
        <w:rPr>
          <w:rFonts w:ascii="Arial" w:cs="Arial" w:eastAsia="Arial" w:hAnsi="Arial"/>
          <w:sz w:val="17"/>
          <w:szCs w:val="17"/>
          <w:color w:val="auto"/>
        </w:rPr>
        <w:t>of Sale Information and the Prospectus; and all of the issued shares of capital stock of the Company have been duly and validly authorized and issued and are fully paid and non-assessable; and all of the issued shares of capital stock of (i) each subsidiary of the Company have been duly and validly authorized and issued and are fully paid and non-assessable and (ii) each subsidiary of the Company (except, in the case of any foreign subsidiary, for directors’ qualifying shares) is owned directly or indirectly by the Company, free and clear of all liens, encumbrances, equities or claims, except as would not, individually or in the aggregate, have a Material Adverse Effect.</w:t>
      </w:r>
    </w:p>
    <w:p>
      <w:pPr>
        <w:spacing w:after="0" w:line="177" w:lineRule="exact"/>
        <w:rPr>
          <w:rFonts w:ascii="Arial" w:cs="Arial" w:eastAsia="Arial" w:hAnsi="Arial"/>
          <w:sz w:val="17"/>
          <w:szCs w:val="17"/>
          <w:color w:val="auto"/>
        </w:rPr>
      </w:pPr>
    </w:p>
    <w:p>
      <w:pPr>
        <w:ind w:left="-20" w:right="100" w:firstLine="436"/>
        <w:spacing w:after="0" w:line="259" w:lineRule="auto"/>
        <w:tabs>
          <w:tab w:leader="none" w:pos="635"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 xml:space="preserve">Due Authorization. </w:t>
      </w:r>
      <w:r>
        <w:rPr>
          <w:rFonts w:ascii="Arial" w:cs="Arial" w:eastAsia="Arial" w:hAnsi="Arial"/>
          <w:sz w:val="18"/>
          <w:szCs w:val="18"/>
          <w:color w:val="auto"/>
        </w:rPr>
        <w:t>The Company has full right, power and authority to execute and deliver this Agreement, the Securities and the Indenture</w:t>
      </w:r>
      <w:r>
        <w:rPr>
          <w:rFonts w:ascii="Arial" w:cs="Arial" w:eastAsia="Arial" w:hAnsi="Arial"/>
          <w:sz w:val="18"/>
          <w:szCs w:val="18"/>
          <w:i w:val="1"/>
          <w:iCs w:val="1"/>
          <w:color w:val="auto"/>
        </w:rPr>
        <w:t xml:space="preserve"> </w:t>
      </w:r>
      <w:r>
        <w:rPr>
          <w:rFonts w:ascii="Arial" w:cs="Arial" w:eastAsia="Arial" w:hAnsi="Arial"/>
          <w:sz w:val="18"/>
          <w:szCs w:val="18"/>
          <w:color w:val="auto"/>
        </w:rPr>
        <w:t>(collectively, the “</w:t>
      </w:r>
      <w:r>
        <w:rPr>
          <w:rFonts w:ascii="Arial" w:cs="Arial" w:eastAsia="Arial" w:hAnsi="Arial"/>
          <w:sz w:val="18"/>
          <w:szCs w:val="18"/>
          <w:u w:val="single" w:color="auto"/>
          <w:color w:val="auto"/>
        </w:rPr>
        <w:t>Transaction Documents</w:t>
      </w:r>
      <w:r>
        <w:rPr>
          <w:rFonts w:ascii="Arial" w:cs="Arial" w:eastAsia="Arial" w:hAnsi="Arial"/>
          <w:sz w:val="18"/>
          <w:szCs w:val="18"/>
          <w:color w:val="auto"/>
        </w:rPr>
        <w:t>”) and to perform its obligations hereunder and thereunder; and all action required to be taken for the due and proper authorization, execution and delivery of each of the Transaction Documents and the consummation of the transactions contemplated thereby has been duly and validly taken.</w:t>
      </w:r>
    </w:p>
    <w:p>
      <w:pPr>
        <w:spacing w:after="0" w:line="186" w:lineRule="exact"/>
        <w:rPr>
          <w:rFonts w:ascii="Arial" w:cs="Arial" w:eastAsia="Arial" w:hAnsi="Arial"/>
          <w:sz w:val="18"/>
          <w:szCs w:val="18"/>
          <w:color w:val="auto"/>
        </w:rPr>
      </w:pPr>
    </w:p>
    <w:p>
      <w:pPr>
        <w:ind w:left="-20" w:right="80" w:firstLine="436"/>
        <w:spacing w:after="0" w:line="296" w:lineRule="auto"/>
        <w:tabs>
          <w:tab w:leader="none" w:pos="675" w:val="left"/>
        </w:tabs>
        <w:numPr>
          <w:ilvl w:val="0"/>
          <w:numId w:val="9"/>
        </w:numPr>
        <w:rPr>
          <w:rFonts w:ascii="Arial" w:cs="Arial" w:eastAsia="Arial" w:hAnsi="Arial"/>
          <w:sz w:val="16"/>
          <w:szCs w:val="16"/>
          <w:color w:val="auto"/>
        </w:rPr>
      </w:pPr>
      <w:r>
        <w:rPr>
          <w:rFonts w:ascii="Arial" w:cs="Arial" w:eastAsia="Arial" w:hAnsi="Arial"/>
          <w:sz w:val="16"/>
          <w:szCs w:val="16"/>
          <w:i w:val="1"/>
          <w:iCs w:val="1"/>
          <w:color w:val="auto"/>
        </w:rPr>
        <w:t xml:space="preserve">The Indenture. </w:t>
      </w:r>
      <w:r>
        <w:rPr>
          <w:rFonts w:ascii="Arial" w:cs="Arial" w:eastAsia="Arial" w:hAnsi="Arial"/>
          <w:sz w:val="16"/>
          <w:szCs w:val="16"/>
          <w:color w:val="auto"/>
        </w:rPr>
        <w:t>The Indenture has been duly authorized by the Company and, when the Indenture has been duly executed and delivered in</w:t>
      </w:r>
      <w:r>
        <w:rPr>
          <w:rFonts w:ascii="Arial" w:cs="Arial" w:eastAsia="Arial" w:hAnsi="Arial"/>
          <w:sz w:val="16"/>
          <w:szCs w:val="16"/>
          <w:i w:val="1"/>
          <w:iCs w:val="1"/>
          <w:color w:val="auto"/>
        </w:rPr>
        <w:t xml:space="preserve"> </w:t>
      </w:r>
      <w:r>
        <w:rPr>
          <w:rFonts w:ascii="Arial" w:cs="Arial" w:eastAsia="Arial" w:hAnsi="Arial"/>
          <w:sz w:val="16"/>
          <w:szCs w:val="16"/>
          <w:color w:val="auto"/>
        </w:rPr>
        <w:t>accordance with its terms by each of the parties thereto, will constitute a valid and legally binding agreement of the Company, enforceable against the Company in accordance with its terms, except as enforceability may be limited by the effects of bankruptcy, insolvency, fraudulent conveyance, reorganization, moratorium and other similar laws relating to or affecting creditors’ rights generally, general equitable principles (whether considered in a proceeding in equity or at law) and an implied covenant of good faith and fair dealing (collectively, the “</w:t>
      </w:r>
      <w:r>
        <w:rPr>
          <w:rFonts w:ascii="Arial" w:cs="Arial" w:eastAsia="Arial" w:hAnsi="Arial"/>
          <w:sz w:val="16"/>
          <w:szCs w:val="16"/>
          <w:u w:val="single" w:color="auto"/>
          <w:color w:val="auto"/>
        </w:rPr>
        <w:t>Enforceability Exceptions</w:t>
      </w:r>
      <w:r>
        <w:rPr>
          <w:rFonts w:ascii="Arial" w:cs="Arial" w:eastAsia="Arial" w:hAnsi="Arial"/>
          <w:sz w:val="16"/>
          <w:szCs w:val="16"/>
          <w:color w:val="auto"/>
        </w:rPr>
        <w:t>”).</w:t>
      </w:r>
    </w:p>
    <w:p>
      <w:pPr>
        <w:spacing w:after="0" w:line="161" w:lineRule="exact"/>
        <w:rPr>
          <w:rFonts w:ascii="Arial" w:cs="Arial" w:eastAsia="Arial" w:hAnsi="Arial"/>
          <w:sz w:val="16"/>
          <w:szCs w:val="16"/>
          <w:color w:val="auto"/>
        </w:rPr>
      </w:pPr>
    </w:p>
    <w:p>
      <w:pPr>
        <w:ind w:left="-20" w:right="20" w:firstLine="436"/>
        <w:spacing w:after="0" w:line="259" w:lineRule="auto"/>
        <w:tabs>
          <w:tab w:leader="none" w:pos="635"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The Securities</w:t>
      </w:r>
      <w:r>
        <w:rPr>
          <w:rFonts w:ascii="Arial" w:cs="Arial" w:eastAsia="Arial" w:hAnsi="Arial"/>
          <w:sz w:val="18"/>
          <w:szCs w:val="18"/>
          <w:color w:val="auto"/>
        </w:rPr>
        <w:t>. The Securities have been duly authorized by the Company and, when duly executed, authenticated, issued and delivered as</w:t>
      </w:r>
      <w:r>
        <w:rPr>
          <w:rFonts w:ascii="Arial" w:cs="Arial" w:eastAsia="Arial" w:hAnsi="Arial"/>
          <w:sz w:val="18"/>
          <w:szCs w:val="18"/>
          <w:i w:val="1"/>
          <w:iCs w:val="1"/>
          <w:color w:val="auto"/>
        </w:rPr>
        <w:t xml:space="preserve"> </w:t>
      </w:r>
      <w:r>
        <w:rPr>
          <w:rFonts w:ascii="Arial" w:cs="Arial" w:eastAsia="Arial" w:hAnsi="Arial"/>
          <w:sz w:val="18"/>
          <w:szCs w:val="18"/>
          <w:color w:val="auto"/>
        </w:rPr>
        <w:t>provided in the Indenture and paid for as provided herein, will be validly issued and outstanding and will constitute valid and legally binding obligations of the Company, enforceable against the Company in accordance with their terms, subject to the Enforceability Exceptions, and will be entitled to the benefits of the Indenture.</w:t>
      </w:r>
    </w:p>
    <w:p>
      <w:pPr>
        <w:spacing w:after="0" w:line="186" w:lineRule="exact"/>
        <w:rPr>
          <w:rFonts w:ascii="Arial" w:cs="Arial" w:eastAsia="Arial" w:hAnsi="Arial"/>
          <w:sz w:val="18"/>
          <w:szCs w:val="18"/>
          <w:color w:val="auto"/>
        </w:rPr>
      </w:pPr>
    </w:p>
    <w:p>
      <w:pPr>
        <w:ind w:left="720" w:hanging="304"/>
        <w:spacing w:after="0"/>
        <w:tabs>
          <w:tab w:leader="none" w:pos="720" w:val="left"/>
        </w:tabs>
        <w:numPr>
          <w:ilvl w:val="0"/>
          <w:numId w:val="9"/>
        </w:numPr>
        <w:rPr>
          <w:rFonts w:ascii="Arial" w:cs="Arial" w:eastAsia="Arial" w:hAnsi="Arial"/>
          <w:sz w:val="18"/>
          <w:szCs w:val="18"/>
          <w:color w:val="auto"/>
        </w:rPr>
      </w:pPr>
      <w:r>
        <w:rPr>
          <w:rFonts w:ascii="Arial" w:cs="Arial" w:eastAsia="Arial" w:hAnsi="Arial"/>
          <w:sz w:val="18"/>
          <w:szCs w:val="18"/>
          <w:i w:val="1"/>
          <w:iCs w:val="1"/>
          <w:color w:val="auto"/>
        </w:rPr>
        <w:t>Underwriting Agreement</w:t>
      </w:r>
      <w:r>
        <w:rPr>
          <w:rFonts w:ascii="Arial" w:cs="Arial" w:eastAsia="Arial" w:hAnsi="Arial"/>
          <w:sz w:val="18"/>
          <w:szCs w:val="18"/>
          <w:color w:val="auto"/>
        </w:rPr>
        <w:t>. This Agreement has been duly authorized, executed and delivered by the Company.</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60" w:top="274" w:right="459" w:bottom="1440" w:gutter="0" w:footer="0" w:header="0"/>
        </w:sectPr>
      </w:pPr>
    </w:p>
    <w:bookmarkStart w:id="11" w:name="page12"/>
    <w:bookmarkEnd w:id="11"/>
    <w:p>
      <w:pPr>
        <w:ind w:left="4" w:right="80" w:firstLine="436"/>
        <w:spacing w:after="0" w:line="279" w:lineRule="auto"/>
        <w:tabs>
          <w:tab w:leader="none" w:pos="699" w:val="left"/>
        </w:tabs>
        <w:numPr>
          <w:ilvl w:val="1"/>
          <w:numId w:val="10"/>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Descriptions of the Transaction Documents</w:t>
      </w:r>
      <w:r>
        <w:rPr>
          <w:rFonts w:ascii="Arial" w:cs="Arial" w:eastAsia="Arial" w:hAnsi="Arial"/>
          <w:sz w:val="17"/>
          <w:szCs w:val="17"/>
          <w:color w:val="auto"/>
        </w:rPr>
        <w:t>. The statements set forth in the Registration Statement, the Time of Sale Information and the</w:t>
      </w:r>
      <w:r>
        <w:rPr>
          <w:rFonts w:ascii="Arial" w:cs="Arial" w:eastAsia="Arial" w:hAnsi="Arial"/>
          <w:sz w:val="17"/>
          <w:szCs w:val="17"/>
          <w:i w:val="1"/>
          <w:iCs w:val="1"/>
          <w:color w:val="auto"/>
        </w:rPr>
        <w:t xml:space="preserve"> </w:t>
      </w:r>
      <w:r>
        <w:rPr>
          <w:rFonts w:ascii="Arial" w:cs="Arial" w:eastAsia="Arial" w:hAnsi="Arial"/>
          <w:sz w:val="17"/>
          <w:szCs w:val="17"/>
          <w:color w:val="auto"/>
        </w:rPr>
        <w:t>Prospectus under the captions “Description of Debt Securities” and “Description of Notes,” insofar as they purport to constitute a summary of the terms of the Indenture and the Securities, and under the caption “Material U.S. Federal Income Tax Considerations,” to the extent that such information constitutes matters of law or legal conclusions, have been reviewed by us and are correct in all material respects.</w:t>
      </w:r>
    </w:p>
    <w:p>
      <w:pPr>
        <w:spacing w:after="0" w:line="171" w:lineRule="exact"/>
        <w:rPr>
          <w:rFonts w:ascii="Arial" w:cs="Arial" w:eastAsia="Arial" w:hAnsi="Arial"/>
          <w:sz w:val="17"/>
          <w:szCs w:val="17"/>
          <w:color w:val="auto"/>
        </w:rPr>
      </w:pPr>
    </w:p>
    <w:p>
      <w:pPr>
        <w:ind w:left="4" w:firstLine="436"/>
        <w:spacing w:after="0" w:line="273" w:lineRule="auto"/>
        <w:tabs>
          <w:tab w:leader="none" w:pos="699" w:val="left"/>
        </w:tabs>
        <w:numPr>
          <w:ilvl w:val="1"/>
          <w:numId w:val="10"/>
        </w:numPr>
        <w:rPr>
          <w:rFonts w:ascii="Arial" w:cs="Arial" w:eastAsia="Arial" w:hAnsi="Arial"/>
          <w:sz w:val="17"/>
          <w:szCs w:val="17"/>
          <w:color w:val="auto"/>
        </w:rPr>
      </w:pPr>
      <w:r>
        <w:rPr>
          <w:rFonts w:ascii="Arial" w:cs="Arial" w:eastAsia="Arial" w:hAnsi="Arial"/>
          <w:sz w:val="17"/>
          <w:szCs w:val="17"/>
          <w:i w:val="1"/>
          <w:iCs w:val="1"/>
          <w:color w:val="auto"/>
        </w:rPr>
        <w:t xml:space="preserve">No Violation or Default. </w:t>
      </w:r>
      <w:r>
        <w:rPr>
          <w:rFonts w:ascii="Arial" w:cs="Arial" w:eastAsia="Arial" w:hAnsi="Arial"/>
          <w:sz w:val="17"/>
          <w:szCs w:val="17"/>
          <w:color w:val="auto"/>
        </w:rPr>
        <w:t>None of the Company or any of its subsidiaries is (i) in violation of its certificate of incorporation or by-laws (or other</w:t>
      </w:r>
      <w:r>
        <w:rPr>
          <w:rFonts w:ascii="Arial" w:cs="Arial" w:eastAsia="Arial" w:hAnsi="Arial"/>
          <w:sz w:val="17"/>
          <w:szCs w:val="17"/>
          <w:i w:val="1"/>
          <w:iCs w:val="1"/>
          <w:color w:val="auto"/>
        </w:rPr>
        <w:t xml:space="preserve"> </w:t>
      </w:r>
      <w:r>
        <w:rPr>
          <w:rFonts w:ascii="Arial" w:cs="Arial" w:eastAsia="Arial" w:hAnsi="Arial"/>
          <w:sz w:val="17"/>
          <w:szCs w:val="17"/>
          <w:color w:val="auto"/>
        </w:rPr>
        <w:t>applicable organization document), (ii) in violation of any statute or any judgment, order, rule or regulation of any court or governmental agency or body having jurisdiction over the Company or any of its subsidiaries or any of their respective properties or (iii) in default in the performance or observance of any obligation, agreement, covenant or condition contained in any indenture, mortgage, deed of trust, loan agreement, lease or other agreement or instrument to which it is a party or by which it or any of its properties may be bound, except, in the case of the foregoing clauses (ii) and (iii), for such defaults as would not, individually or in the aggregate, have a Material Adverse Effect.</w:t>
      </w:r>
    </w:p>
    <w:p>
      <w:pPr>
        <w:spacing w:after="0" w:line="177" w:lineRule="exact"/>
        <w:rPr>
          <w:rFonts w:ascii="Arial" w:cs="Arial" w:eastAsia="Arial" w:hAnsi="Arial"/>
          <w:sz w:val="17"/>
          <w:szCs w:val="17"/>
          <w:color w:val="auto"/>
        </w:rPr>
      </w:pPr>
    </w:p>
    <w:p>
      <w:pPr>
        <w:ind w:left="4" w:right="120" w:firstLine="436"/>
        <w:spacing w:after="0" w:line="286" w:lineRule="auto"/>
        <w:tabs>
          <w:tab w:leader="none" w:pos="699" w:val="left"/>
        </w:tabs>
        <w:numPr>
          <w:ilvl w:val="1"/>
          <w:numId w:val="10"/>
        </w:numPr>
        <w:rPr>
          <w:rFonts w:ascii="Arial" w:cs="Arial" w:eastAsia="Arial" w:hAnsi="Arial"/>
          <w:sz w:val="16"/>
          <w:szCs w:val="16"/>
          <w:color w:val="auto"/>
        </w:rPr>
      </w:pPr>
      <w:r>
        <w:rPr>
          <w:rFonts w:ascii="Arial" w:cs="Arial" w:eastAsia="Arial" w:hAnsi="Arial"/>
          <w:sz w:val="16"/>
          <w:szCs w:val="16"/>
          <w:i w:val="1"/>
          <w:iCs w:val="1"/>
          <w:color w:val="auto"/>
        </w:rPr>
        <w:t xml:space="preserve">No Conflicts or Consents. </w:t>
      </w:r>
      <w:r>
        <w:rPr>
          <w:rFonts w:ascii="Arial" w:cs="Arial" w:eastAsia="Arial" w:hAnsi="Arial"/>
          <w:sz w:val="16"/>
          <w:szCs w:val="16"/>
          <w:color w:val="auto"/>
        </w:rPr>
        <w:t>The execution, delivery and performance by the Company of each of the Transaction Documents will not conflict</w:t>
      </w:r>
      <w:r>
        <w:rPr>
          <w:rFonts w:ascii="Arial" w:cs="Arial" w:eastAsia="Arial" w:hAnsi="Arial"/>
          <w:sz w:val="16"/>
          <w:szCs w:val="16"/>
          <w:i w:val="1"/>
          <w:iCs w:val="1"/>
          <w:color w:val="auto"/>
        </w:rPr>
        <w:t xml:space="preserve"> </w:t>
      </w:r>
      <w:r>
        <w:rPr>
          <w:rFonts w:ascii="Arial" w:cs="Arial" w:eastAsia="Arial" w:hAnsi="Arial"/>
          <w:sz w:val="16"/>
          <w:szCs w:val="16"/>
          <w:color w:val="auto"/>
        </w:rPr>
        <w:t>with or result in a breach or violation of any of the terms or provisions of, or constitute a default under, (A) any indenture, mortgage, deed of trust, loan agreement, lease or other agreement or instrument to which the Company or any of its subsidiaries is a party or by which the Company or any of its subsidiaries is bound or to which any of the property or assets of the Company or any of its subsidiaries is subject, except in the case of this clause</w:t>
      </w:r>
    </w:p>
    <w:p>
      <w:pPr>
        <w:spacing w:after="0" w:line="1" w:lineRule="exact"/>
        <w:rPr>
          <w:rFonts w:ascii="Arial" w:cs="Arial" w:eastAsia="Arial" w:hAnsi="Arial"/>
          <w:sz w:val="16"/>
          <w:szCs w:val="16"/>
          <w:color w:val="auto"/>
        </w:rPr>
      </w:pPr>
    </w:p>
    <w:p>
      <w:pPr>
        <w:ind w:left="4" w:right="80" w:hanging="4"/>
        <w:spacing w:after="0" w:line="286" w:lineRule="auto"/>
        <w:tabs>
          <w:tab w:leader="none" w:pos="299" w:val="left"/>
        </w:tabs>
        <w:numPr>
          <w:ilvl w:val="0"/>
          <w:numId w:val="11"/>
        </w:numPr>
        <w:rPr>
          <w:rFonts w:ascii="Arial" w:cs="Arial" w:eastAsia="Arial" w:hAnsi="Arial"/>
          <w:sz w:val="16"/>
          <w:szCs w:val="16"/>
          <w:color w:val="auto"/>
        </w:rPr>
      </w:pPr>
      <w:r>
        <w:rPr>
          <w:rFonts w:ascii="Arial" w:cs="Arial" w:eastAsia="Arial" w:hAnsi="Arial"/>
          <w:sz w:val="16"/>
          <w:szCs w:val="16"/>
          <w:color w:val="auto"/>
        </w:rPr>
        <w:t>for such defaults, breaches or violations that would not, individually or in the aggregate, have a Material Adverse Effect, (B) the certificate of incorporation or by-laws (or other applicable organizational document) of the Company or any of its subsidiaries or (C) any statute or any judgment, order, rule or regulation of any court or governmental agency or body having jurisdiction over the Company or any of its subsidiaries, or any of their properties, except in the case of this clause (C) for such defaults, breaches or violations that would not, individually or in the aggregate, have a Material Adverse Effect; and no consent, approval, authorization, order, registration or qualification of or with any such court or governmental agency or body is required for the issue and sale of the Securities or the consummation by the Company of the transactions contemplated by the Transaction Documents, except such as have been obtained or for (i) the registration of the Securities under the Securities Act (ii) the qualification of the Indenture under the Trust Indenture Act and (iii) such consents, approvals, authorizations, orders, registrations or qualifications as may be required under state securities or Blue Sky laws in connection with the purchase and distribution of the Securities by the Underwriters.</w:t>
      </w:r>
    </w:p>
    <w:p>
      <w:pPr>
        <w:spacing w:after="0" w:line="172" w:lineRule="exact"/>
        <w:rPr>
          <w:rFonts w:ascii="Arial" w:cs="Arial" w:eastAsia="Arial" w:hAnsi="Arial"/>
          <w:sz w:val="16"/>
          <w:szCs w:val="16"/>
          <w:color w:val="auto"/>
        </w:rPr>
      </w:pPr>
    </w:p>
    <w:p>
      <w:pPr>
        <w:ind w:left="4" w:firstLine="436"/>
        <w:spacing w:after="0" w:line="286" w:lineRule="auto"/>
        <w:tabs>
          <w:tab w:leader="none" w:pos="699" w:val="left"/>
        </w:tabs>
        <w:numPr>
          <w:ilvl w:val="1"/>
          <w:numId w:val="11"/>
        </w:numPr>
        <w:rPr>
          <w:rFonts w:ascii="Arial" w:cs="Arial" w:eastAsia="Arial" w:hAnsi="Arial"/>
          <w:sz w:val="17"/>
          <w:szCs w:val="17"/>
          <w:color w:val="auto"/>
        </w:rPr>
      </w:pPr>
      <w:r>
        <w:rPr>
          <w:rFonts w:ascii="Arial" w:cs="Arial" w:eastAsia="Arial" w:hAnsi="Arial"/>
          <w:sz w:val="17"/>
          <w:szCs w:val="17"/>
          <w:i w:val="1"/>
          <w:iCs w:val="1"/>
          <w:color w:val="auto"/>
        </w:rPr>
        <w:t xml:space="preserve">Legal Proceedings. </w:t>
      </w:r>
      <w:r>
        <w:rPr>
          <w:rFonts w:ascii="Arial" w:cs="Arial" w:eastAsia="Arial" w:hAnsi="Arial"/>
          <w:sz w:val="17"/>
          <w:szCs w:val="17"/>
          <w:color w:val="auto"/>
        </w:rPr>
        <w:t>Except as described in each of the Registration Statement, the Time of Sale Information and the Prospectus, (i) there are no</w:t>
      </w:r>
      <w:r>
        <w:rPr>
          <w:rFonts w:ascii="Arial" w:cs="Arial" w:eastAsia="Arial" w:hAnsi="Arial"/>
          <w:sz w:val="17"/>
          <w:szCs w:val="17"/>
          <w:i w:val="1"/>
          <w:iCs w:val="1"/>
          <w:color w:val="auto"/>
        </w:rPr>
        <w:t xml:space="preserve"> </w:t>
      </w:r>
      <w:r>
        <w:rPr>
          <w:rFonts w:ascii="Arial" w:cs="Arial" w:eastAsia="Arial" w:hAnsi="Arial"/>
          <w:sz w:val="17"/>
          <w:szCs w:val="17"/>
          <w:color w:val="auto"/>
        </w:rPr>
        <w:t>legal or governmental proceedings pending to which the Company or any of its subsidiaries or, to the Company’s knowledge, any of their respective officers or directors, is a party or of which any property or assets of the Company or any of its subsidiaries or, to the</w:t>
      </w:r>
    </w:p>
    <w:p>
      <w:pPr>
        <w:spacing w:after="0" w:line="98"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1004"/>
          </w:cols>
          <w:pgMar w:left="436" w:top="274" w:right="459" w:bottom="1440" w:gutter="0" w:footer="0" w:header="0"/>
        </w:sectPr>
      </w:pPr>
    </w:p>
    <w:bookmarkStart w:id="12" w:name="page13"/>
    <w:bookmarkEnd w:id="12"/>
    <w:p>
      <w:pPr>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Company’s knowledge, any of their respective officers or directors, is the subject which, if determined adversely to the Company or any of its subsidiaries, officers or directors, as applicable, would individually or in the aggregate have a Material Adverse Effect; (ii) to the Company’s knowledge, no such proceedings are threatened or contemplated by governmental authorities or others; (iii) there are no current or pending legal, governmental or regulatory investigations, actions, demands, claims, suits, arbitrations, inquires or proceedings that are required under the Securities Act to be described in the Registration Statement or the Prospectus that are not so described in the Registration Statement, the Time of Sale Information and the Prospectus; and (iv) there are no statutes, regulations or contracts or other documents that are required under the Securities Act to be filed as exhibits to the Registration Statement or described in the Registration Statement and the Prospectus that are not so filed as exhibits to the Registration Statement or described in the Registration Statement, the Time of Sale Information and the Prospectus.</w:t>
      </w:r>
    </w:p>
    <w:p>
      <w:pPr>
        <w:spacing w:after="0" w:line="178" w:lineRule="exact"/>
        <w:rPr>
          <w:sz w:val="20"/>
          <w:szCs w:val="20"/>
          <w:color w:val="auto"/>
        </w:rPr>
      </w:pPr>
    </w:p>
    <w:p>
      <w:pPr>
        <w:ind w:right="100" w:firstLine="436"/>
        <w:spacing w:after="0" w:line="279" w:lineRule="auto"/>
        <w:tabs>
          <w:tab w:leader="none" w:pos="665" w:val="left"/>
        </w:tabs>
        <w:numPr>
          <w:ilvl w:val="0"/>
          <w:numId w:val="12"/>
        </w:numPr>
        <w:rPr>
          <w:rFonts w:ascii="Arial" w:cs="Arial" w:eastAsia="Arial" w:hAnsi="Arial"/>
          <w:sz w:val="17"/>
          <w:szCs w:val="17"/>
          <w:color w:val="auto"/>
        </w:rPr>
      </w:pPr>
      <w:r>
        <w:rPr>
          <w:rFonts w:ascii="Arial" w:cs="Arial" w:eastAsia="Arial" w:hAnsi="Arial"/>
          <w:sz w:val="17"/>
          <w:szCs w:val="17"/>
          <w:i w:val="1"/>
          <w:iCs w:val="1"/>
          <w:color w:val="auto"/>
        </w:rPr>
        <w:t xml:space="preserve">Independent Accountants. </w:t>
      </w:r>
      <w:r>
        <w:rPr>
          <w:rFonts w:ascii="Arial" w:cs="Arial" w:eastAsia="Arial" w:hAnsi="Arial"/>
          <w:sz w:val="17"/>
          <w:szCs w:val="17"/>
          <w:color w:val="auto"/>
        </w:rPr>
        <w:t>Deloitte &amp; Touche LLP, who have certified certain financial statements of the Company and its subsidiaries, and</w:t>
      </w:r>
      <w:r>
        <w:rPr>
          <w:rFonts w:ascii="Arial" w:cs="Arial" w:eastAsia="Arial" w:hAnsi="Arial"/>
          <w:sz w:val="17"/>
          <w:szCs w:val="17"/>
          <w:i w:val="1"/>
          <w:iCs w:val="1"/>
          <w:color w:val="auto"/>
        </w:rPr>
        <w:t xml:space="preserve"> </w:t>
      </w:r>
      <w:r>
        <w:rPr>
          <w:rFonts w:ascii="Arial" w:cs="Arial" w:eastAsia="Arial" w:hAnsi="Arial"/>
          <w:sz w:val="17"/>
          <w:szCs w:val="17"/>
          <w:color w:val="auto"/>
        </w:rPr>
        <w:t>have audited the Company’s internal control over financial reporting and management’s assessment thereof, is an independent registered public accounting firm with respect to the Company and its subsidiaries within the applicable rules and regulations adopted by the Commission and the Public Company Accounting Oversight Board (United States) and as required by the Securities Act.</w:t>
      </w:r>
    </w:p>
    <w:p>
      <w:pPr>
        <w:spacing w:after="0" w:line="171" w:lineRule="exact"/>
        <w:rPr>
          <w:rFonts w:ascii="Arial" w:cs="Arial" w:eastAsia="Arial" w:hAnsi="Arial"/>
          <w:sz w:val="17"/>
          <w:szCs w:val="17"/>
          <w:color w:val="auto"/>
        </w:rPr>
      </w:pPr>
    </w:p>
    <w:p>
      <w:pPr>
        <w:ind w:right="160" w:firstLine="436"/>
        <w:spacing w:after="0" w:line="296" w:lineRule="auto"/>
        <w:tabs>
          <w:tab w:leader="none" w:pos="675" w:val="left"/>
        </w:tabs>
        <w:numPr>
          <w:ilvl w:val="0"/>
          <w:numId w:val="12"/>
        </w:numPr>
        <w:rPr>
          <w:rFonts w:ascii="Arial" w:cs="Arial" w:eastAsia="Arial" w:hAnsi="Arial"/>
          <w:sz w:val="16"/>
          <w:szCs w:val="16"/>
          <w:color w:val="auto"/>
        </w:rPr>
      </w:pPr>
      <w:r>
        <w:rPr>
          <w:rFonts w:ascii="Arial" w:cs="Arial" w:eastAsia="Arial" w:hAnsi="Arial"/>
          <w:sz w:val="16"/>
          <w:szCs w:val="16"/>
          <w:i w:val="1"/>
          <w:iCs w:val="1"/>
          <w:color w:val="auto"/>
        </w:rPr>
        <w:t xml:space="preserve">Title to Real and Personal Property. </w:t>
      </w:r>
      <w:r>
        <w:rPr>
          <w:rFonts w:ascii="Arial" w:cs="Arial" w:eastAsia="Arial" w:hAnsi="Arial"/>
          <w:sz w:val="16"/>
          <w:szCs w:val="16"/>
          <w:color w:val="auto"/>
        </w:rPr>
        <w:t>The Company and its subsidiaries have good and marketable title in fee simple to all real property and</w:t>
      </w:r>
      <w:r>
        <w:rPr>
          <w:rFonts w:ascii="Arial" w:cs="Arial" w:eastAsia="Arial" w:hAnsi="Arial"/>
          <w:sz w:val="16"/>
          <w:szCs w:val="16"/>
          <w:i w:val="1"/>
          <w:iCs w:val="1"/>
          <w:color w:val="auto"/>
        </w:rPr>
        <w:t xml:space="preserve"> </w:t>
      </w:r>
      <w:r>
        <w:rPr>
          <w:rFonts w:ascii="Arial" w:cs="Arial" w:eastAsia="Arial" w:hAnsi="Arial"/>
          <w:sz w:val="16"/>
          <w:szCs w:val="16"/>
          <w:color w:val="auto"/>
        </w:rPr>
        <w:t>good and marketable title to all personal property owned by them, in each case free and clear of all liens, encumbrances and defects except such as are described in the Registration Statement, the Time of Sale Information and the Prospectus or such as would not, individually or in the aggregate, have a Material Adverse Effect; and any real property and buildings held under lease by the Company and its subsidiaries are held by them under valid, subsisting and enforceable leases with such exceptions as would not, individually or in the aggregate, have a Material Adverse Effect.</w:t>
      </w:r>
    </w:p>
    <w:p>
      <w:pPr>
        <w:spacing w:after="0" w:line="161" w:lineRule="exact"/>
        <w:rPr>
          <w:rFonts w:ascii="Arial" w:cs="Arial" w:eastAsia="Arial" w:hAnsi="Arial"/>
          <w:sz w:val="16"/>
          <w:szCs w:val="16"/>
          <w:color w:val="auto"/>
        </w:rPr>
      </w:pPr>
    </w:p>
    <w:p>
      <w:pPr>
        <w:ind w:right="180" w:firstLine="436"/>
        <w:spacing w:after="0" w:line="269" w:lineRule="auto"/>
        <w:tabs>
          <w:tab w:leader="none" w:pos="655" w:val="left"/>
        </w:tabs>
        <w:numPr>
          <w:ilvl w:val="0"/>
          <w:numId w:val="12"/>
        </w:numPr>
        <w:rPr>
          <w:rFonts w:ascii="Arial" w:cs="Arial" w:eastAsia="Arial" w:hAnsi="Arial"/>
          <w:sz w:val="17"/>
          <w:szCs w:val="17"/>
          <w:color w:val="auto"/>
        </w:rPr>
      </w:pPr>
      <w:r>
        <w:rPr>
          <w:rFonts w:ascii="Arial" w:cs="Arial" w:eastAsia="Arial" w:hAnsi="Arial"/>
          <w:sz w:val="17"/>
          <w:szCs w:val="17"/>
          <w:i w:val="1"/>
          <w:iCs w:val="1"/>
          <w:color w:val="auto"/>
        </w:rPr>
        <w:t xml:space="preserve">Intellectual Property. </w:t>
      </w:r>
      <w:r>
        <w:rPr>
          <w:rFonts w:ascii="Arial" w:cs="Arial" w:eastAsia="Arial" w:hAnsi="Arial"/>
          <w:sz w:val="17"/>
          <w:szCs w:val="17"/>
          <w:color w:val="auto"/>
        </w:rPr>
        <w:t>(i) To the knowledge of the Company, as of the date hereof, there is no (A) infringement of any patents, patent</w:t>
      </w:r>
      <w:r>
        <w:rPr>
          <w:rFonts w:ascii="Arial" w:cs="Arial" w:eastAsia="Arial" w:hAnsi="Arial"/>
          <w:sz w:val="17"/>
          <w:szCs w:val="17"/>
          <w:i w:val="1"/>
          <w:iCs w:val="1"/>
          <w:color w:val="auto"/>
        </w:rPr>
        <w:t xml:space="preserve"> </w:t>
      </w:r>
      <w:r>
        <w:rPr>
          <w:rFonts w:ascii="Arial" w:cs="Arial" w:eastAsia="Arial" w:hAnsi="Arial"/>
          <w:sz w:val="17"/>
          <w:szCs w:val="17"/>
          <w:color w:val="auto"/>
        </w:rPr>
        <w:t>applications, trademarks, service marks, trade names, trademark registrations, service mark registrations, copyrights, licenses, domain names (in each case including all registrations and applications to register same) and know-how (including trade secrets and other proprietary or confidential information, systems or procedures) owned by the Company or any of its subsidiaries (“</w:t>
      </w:r>
      <w:r>
        <w:rPr>
          <w:rFonts w:ascii="Arial" w:cs="Arial" w:eastAsia="Arial" w:hAnsi="Arial"/>
          <w:sz w:val="17"/>
          <w:szCs w:val="17"/>
          <w:u w:val="single" w:color="auto"/>
          <w:color w:val="auto"/>
        </w:rPr>
        <w:t>Company Owned IP</w:t>
      </w:r>
      <w:r>
        <w:rPr>
          <w:rFonts w:ascii="Arial" w:cs="Arial" w:eastAsia="Arial" w:hAnsi="Arial"/>
          <w:sz w:val="17"/>
          <w:szCs w:val="17"/>
          <w:color w:val="auto"/>
        </w:rPr>
        <w:t>”) by any third parties, (B) pending or threatened action, suit, proceeding or claim by any third party challenging the Company’s or its subsidiaries’ rights in or to any such Company Owned IP, and (C) pending or threatened action, suit, proceeding or claim by any third party challenging the validity, scope or enforceability of any such Company Owned IP; (ii) the conduct of the Company’s and its subsidiaries’ respective businesses as of the date hereof will not infringe in any respect on any registered patent, copyright or trademark rights of others; and (iii) as of the date hereof, none of the Company or any of its subsidiaries have received any notice of any claim of infringement of any such rights of others, except, in each case in (i)-(iii) above, where the same would not reasonably be expected to have a Material Adverse Effect.</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00"/>
          </w:cols>
          <w:pgMar w:left="440" w:top="274" w:right="459" w:bottom="1440" w:gutter="0" w:footer="0" w:header="0"/>
        </w:sectPr>
      </w:pPr>
    </w:p>
    <w:bookmarkStart w:id="13" w:name="page14"/>
    <w:bookmarkEnd w:id="13"/>
    <w:p>
      <w:pPr>
        <w:ind w:left="4" w:right="60" w:firstLine="436"/>
        <w:spacing w:after="0" w:line="259" w:lineRule="auto"/>
        <w:tabs>
          <w:tab w:leader="none" w:pos="699" w:val="left"/>
        </w:tabs>
        <w:numPr>
          <w:ilvl w:val="1"/>
          <w:numId w:val="13"/>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No Undisclosed Relationships. </w:t>
      </w:r>
      <w:r>
        <w:rPr>
          <w:rFonts w:ascii="Arial" w:cs="Arial" w:eastAsia="Arial" w:hAnsi="Arial"/>
          <w:sz w:val="18"/>
          <w:szCs w:val="18"/>
          <w:color w:val="auto"/>
        </w:rPr>
        <w:t>No relationship, direct or indirect, exists between or among the Company or any of its subsidiaries, on the one</w:t>
      </w:r>
      <w:r>
        <w:rPr>
          <w:rFonts w:ascii="Arial" w:cs="Arial" w:eastAsia="Arial" w:hAnsi="Arial"/>
          <w:sz w:val="18"/>
          <w:szCs w:val="18"/>
          <w:i w:val="1"/>
          <w:iCs w:val="1"/>
          <w:color w:val="auto"/>
        </w:rPr>
        <w:t xml:space="preserve"> </w:t>
      </w:r>
      <w:r>
        <w:rPr>
          <w:rFonts w:ascii="Arial" w:cs="Arial" w:eastAsia="Arial" w:hAnsi="Arial"/>
          <w:sz w:val="18"/>
          <w:szCs w:val="18"/>
          <w:color w:val="auto"/>
        </w:rPr>
        <w:t>hand, and the directors, officers, shareholders, customers, suppliers or other affiliates of the Company or any of its subsidiaries, on the other, that is required to be described in each of the Registration Statement and the Prospectus and that is not so described in such documents and in the Time of Sale Information.</w:t>
      </w:r>
    </w:p>
    <w:p>
      <w:pPr>
        <w:spacing w:after="0" w:line="186" w:lineRule="exact"/>
        <w:rPr>
          <w:rFonts w:ascii="Arial" w:cs="Arial" w:eastAsia="Arial" w:hAnsi="Arial"/>
          <w:sz w:val="18"/>
          <w:szCs w:val="18"/>
          <w:color w:val="auto"/>
        </w:rPr>
      </w:pPr>
    </w:p>
    <w:p>
      <w:pPr>
        <w:ind w:left="4" w:firstLine="436"/>
        <w:spacing w:after="0" w:line="259" w:lineRule="auto"/>
        <w:tabs>
          <w:tab w:leader="none" w:pos="699" w:val="left"/>
        </w:tabs>
        <w:numPr>
          <w:ilvl w:val="1"/>
          <w:numId w:val="13"/>
        </w:numPr>
        <w:rPr>
          <w:rFonts w:ascii="Arial" w:cs="Arial" w:eastAsia="Arial" w:hAnsi="Arial"/>
          <w:sz w:val="18"/>
          <w:szCs w:val="18"/>
          <w:color w:val="auto"/>
        </w:rPr>
      </w:pPr>
      <w:r>
        <w:rPr>
          <w:rFonts w:ascii="Arial" w:cs="Arial" w:eastAsia="Arial" w:hAnsi="Arial"/>
          <w:sz w:val="18"/>
          <w:szCs w:val="18"/>
          <w:i w:val="1"/>
          <w:iCs w:val="1"/>
          <w:color w:val="auto"/>
        </w:rPr>
        <w:t xml:space="preserve">Investment Company Act. </w:t>
      </w:r>
      <w:r>
        <w:rPr>
          <w:rFonts w:ascii="Arial" w:cs="Arial" w:eastAsia="Arial" w:hAnsi="Arial"/>
          <w:sz w:val="18"/>
          <w:szCs w:val="18"/>
          <w:color w:val="auto"/>
        </w:rPr>
        <w:t>The Company is not, and after giving effect to the offering and sale of the Securities and the application of the</w:t>
      </w:r>
      <w:r>
        <w:rPr>
          <w:rFonts w:ascii="Arial" w:cs="Arial" w:eastAsia="Arial" w:hAnsi="Arial"/>
          <w:sz w:val="18"/>
          <w:szCs w:val="18"/>
          <w:i w:val="1"/>
          <w:iCs w:val="1"/>
          <w:color w:val="auto"/>
        </w:rPr>
        <w:t xml:space="preserve"> </w:t>
      </w:r>
      <w:r>
        <w:rPr>
          <w:rFonts w:ascii="Arial" w:cs="Arial" w:eastAsia="Arial" w:hAnsi="Arial"/>
          <w:sz w:val="18"/>
          <w:szCs w:val="18"/>
          <w:color w:val="auto"/>
        </w:rPr>
        <w:t>proceeds thereof as described in each of the Registration Statement, the Time of Sale Information and the Prospectus, will not be an “investment company” or an entity “controlled” by an “investment company” within the meaning of the Investment Company Act of 1940, as amended, and the rules and regulations of the Commission thereunder (collectively, the “</w:t>
      </w:r>
      <w:r>
        <w:rPr>
          <w:rFonts w:ascii="Arial" w:cs="Arial" w:eastAsia="Arial" w:hAnsi="Arial"/>
          <w:sz w:val="18"/>
          <w:szCs w:val="18"/>
          <w:u w:val="single" w:color="auto"/>
          <w:color w:val="auto"/>
        </w:rPr>
        <w:t>Investment Company Act</w:t>
      </w:r>
      <w:r>
        <w:rPr>
          <w:rFonts w:ascii="Arial" w:cs="Arial" w:eastAsia="Arial" w:hAnsi="Arial"/>
          <w:sz w:val="18"/>
          <w:szCs w:val="18"/>
          <w:color w:val="auto"/>
        </w:rPr>
        <w:t>”).</w:t>
      </w:r>
    </w:p>
    <w:p>
      <w:pPr>
        <w:spacing w:after="0" w:line="186" w:lineRule="exact"/>
        <w:rPr>
          <w:rFonts w:ascii="Arial" w:cs="Arial" w:eastAsia="Arial" w:hAnsi="Arial"/>
          <w:sz w:val="18"/>
          <w:szCs w:val="18"/>
          <w:color w:val="auto"/>
        </w:rPr>
      </w:pPr>
    </w:p>
    <w:p>
      <w:pPr>
        <w:ind w:left="4" w:right="60" w:firstLine="436"/>
        <w:spacing w:after="0" w:line="257" w:lineRule="auto"/>
        <w:tabs>
          <w:tab w:leader="none" w:pos="739" w:val="left"/>
        </w:tabs>
        <w:numPr>
          <w:ilvl w:val="1"/>
          <w:numId w:val="13"/>
        </w:numPr>
        <w:rPr>
          <w:rFonts w:ascii="Arial" w:cs="Arial" w:eastAsia="Arial" w:hAnsi="Arial"/>
          <w:sz w:val="18"/>
          <w:szCs w:val="18"/>
          <w:color w:val="auto"/>
        </w:rPr>
      </w:pPr>
      <w:r>
        <w:rPr>
          <w:rFonts w:ascii="Arial" w:cs="Arial" w:eastAsia="Arial" w:hAnsi="Arial"/>
          <w:sz w:val="18"/>
          <w:szCs w:val="18"/>
          <w:i w:val="1"/>
          <w:iCs w:val="1"/>
          <w:color w:val="auto"/>
        </w:rPr>
        <w:t xml:space="preserve">Taxes. </w:t>
      </w:r>
      <w:r>
        <w:rPr>
          <w:rFonts w:ascii="Arial" w:cs="Arial" w:eastAsia="Arial" w:hAnsi="Arial"/>
          <w:sz w:val="18"/>
          <w:szCs w:val="18"/>
          <w:color w:val="auto"/>
        </w:rPr>
        <w:t>Except as otherwise disclosed in the Registration Statement, the Time of Sale Information and the Prospectus, (i) the Company and its</w:t>
      </w:r>
      <w:r>
        <w:rPr>
          <w:rFonts w:ascii="Arial" w:cs="Arial" w:eastAsia="Arial" w:hAnsi="Arial"/>
          <w:sz w:val="18"/>
          <w:szCs w:val="18"/>
          <w:i w:val="1"/>
          <w:iCs w:val="1"/>
          <w:color w:val="auto"/>
        </w:rPr>
        <w:t xml:space="preserve"> </w:t>
      </w:r>
      <w:r>
        <w:rPr>
          <w:rFonts w:ascii="Arial" w:cs="Arial" w:eastAsia="Arial" w:hAnsi="Arial"/>
          <w:sz w:val="18"/>
          <w:szCs w:val="18"/>
          <w:color w:val="auto"/>
        </w:rPr>
        <w:t>subsidiaries, have paid all federal, state, local and foreign taxes required to be paid and filed all tax returns required to be filed, in each case, through the date hereof, except for such failures to pay or file as would not individually or in the aggregate have a Material Adverse Effect, and (ii) there is no tax deficiency that has been asserted against the Company or any of its subsidiaries, or any of their respective properties or assets, in each case that would, individually or in the aggregate, have a Material Adverse Effect.</w:t>
      </w:r>
    </w:p>
    <w:p>
      <w:pPr>
        <w:spacing w:after="0" w:line="187" w:lineRule="exact"/>
        <w:rPr>
          <w:rFonts w:ascii="Arial" w:cs="Arial" w:eastAsia="Arial" w:hAnsi="Arial"/>
          <w:sz w:val="18"/>
          <w:szCs w:val="18"/>
          <w:color w:val="auto"/>
        </w:rPr>
      </w:pPr>
    </w:p>
    <w:p>
      <w:pPr>
        <w:ind w:left="4" w:right="20" w:firstLine="436"/>
        <w:spacing w:after="0" w:line="290" w:lineRule="auto"/>
        <w:tabs>
          <w:tab w:leader="none" w:pos="699" w:val="left"/>
        </w:tabs>
        <w:numPr>
          <w:ilvl w:val="1"/>
          <w:numId w:val="13"/>
        </w:numPr>
        <w:rPr>
          <w:rFonts w:ascii="Arial" w:cs="Arial" w:eastAsia="Arial" w:hAnsi="Arial"/>
          <w:sz w:val="16"/>
          <w:szCs w:val="16"/>
          <w:color w:val="auto"/>
        </w:rPr>
      </w:pPr>
      <w:r>
        <w:rPr>
          <w:rFonts w:ascii="Arial" w:cs="Arial" w:eastAsia="Arial" w:hAnsi="Arial"/>
          <w:sz w:val="16"/>
          <w:szCs w:val="16"/>
          <w:i w:val="1"/>
          <w:iCs w:val="1"/>
          <w:color w:val="auto"/>
        </w:rPr>
        <w:t xml:space="preserve">Licenses and Permits. </w:t>
      </w:r>
      <w:r>
        <w:rPr>
          <w:rFonts w:ascii="Arial" w:cs="Arial" w:eastAsia="Arial" w:hAnsi="Arial"/>
          <w:sz w:val="16"/>
          <w:szCs w:val="16"/>
          <w:color w:val="auto"/>
        </w:rPr>
        <w:t>The Company and its subsidiaries possess all licenses, certificates, permits and other authorizations issued by, and have</w:t>
      </w:r>
      <w:r>
        <w:rPr>
          <w:rFonts w:ascii="Arial" w:cs="Arial" w:eastAsia="Arial" w:hAnsi="Arial"/>
          <w:sz w:val="16"/>
          <w:szCs w:val="16"/>
          <w:i w:val="1"/>
          <w:iCs w:val="1"/>
          <w:color w:val="auto"/>
        </w:rPr>
        <w:t xml:space="preserve"> </w:t>
      </w:r>
      <w:r>
        <w:rPr>
          <w:rFonts w:ascii="Arial" w:cs="Arial" w:eastAsia="Arial" w:hAnsi="Arial"/>
          <w:sz w:val="16"/>
          <w:szCs w:val="16"/>
          <w:color w:val="auto"/>
        </w:rPr>
        <w:t>made all declarations and filings with, the appropriate federal, state, local or foreign governmental or regulatory authorities that are necessary for the ownership or lease of their respective properties or the conduct of their respective businesses as described in the Registration Statement, the Time of Sale Information and the Prospectus, except where the failure to possess or make the same would not, individually or in the aggregate, have a Material Adverse Effect; and except as described in the Registration Statement, the Time of Sale Information and the Prospectus, none of the Company or any of its subsidiaries has received notice of any revocation or modification of any such license, certificate, permit or authorization or has any reason to believe that any such license, certificate, permit or authorization will not be renewed in the ordinary course, except where such revocations, modifications or non-renewals would not, individually or in the aggregate, reasonably be expected to have a Material Adverse Effect.</w:t>
      </w:r>
    </w:p>
    <w:p>
      <w:pPr>
        <w:spacing w:after="0" w:line="165" w:lineRule="exact"/>
        <w:rPr>
          <w:rFonts w:ascii="Arial" w:cs="Arial" w:eastAsia="Arial" w:hAnsi="Arial"/>
          <w:sz w:val="16"/>
          <w:szCs w:val="16"/>
          <w:color w:val="auto"/>
        </w:rPr>
      </w:pPr>
    </w:p>
    <w:p>
      <w:pPr>
        <w:ind w:left="704" w:hanging="264"/>
        <w:spacing w:after="0"/>
        <w:tabs>
          <w:tab w:leader="none" w:pos="704" w:val="left"/>
        </w:tabs>
        <w:numPr>
          <w:ilvl w:val="1"/>
          <w:numId w:val="13"/>
        </w:numPr>
        <w:rPr>
          <w:rFonts w:ascii="Arial" w:cs="Arial" w:eastAsia="Arial" w:hAnsi="Arial"/>
          <w:sz w:val="16"/>
          <w:szCs w:val="16"/>
          <w:color w:val="auto"/>
        </w:rPr>
      </w:pPr>
      <w:r>
        <w:rPr>
          <w:rFonts w:ascii="Arial" w:cs="Arial" w:eastAsia="Arial" w:hAnsi="Arial"/>
          <w:sz w:val="16"/>
          <w:szCs w:val="16"/>
          <w:i w:val="1"/>
          <w:iCs w:val="1"/>
          <w:color w:val="auto"/>
        </w:rPr>
        <w:t>Certain Environmental Matters</w:t>
      </w:r>
      <w:r>
        <w:rPr>
          <w:rFonts w:ascii="Arial" w:cs="Arial" w:eastAsia="Arial" w:hAnsi="Arial"/>
          <w:sz w:val="16"/>
          <w:szCs w:val="16"/>
          <w:color w:val="auto"/>
        </w:rPr>
        <w:t>. Except as otherwise disclosed in the Registration Statement, the Time of Sale Information and the Prospectus</w:t>
      </w:r>
    </w:p>
    <w:p>
      <w:pPr>
        <w:spacing w:after="0" w:line="46" w:lineRule="exact"/>
        <w:rPr>
          <w:rFonts w:ascii="Arial" w:cs="Arial" w:eastAsia="Arial" w:hAnsi="Arial"/>
          <w:sz w:val="16"/>
          <w:szCs w:val="16"/>
          <w:color w:val="auto"/>
        </w:rPr>
      </w:pPr>
    </w:p>
    <w:p>
      <w:pPr>
        <w:ind w:left="4" w:right="820" w:hanging="4"/>
        <w:spacing w:after="0" w:line="323" w:lineRule="auto"/>
        <w:tabs>
          <w:tab w:leader="none" w:pos="219" w:val="left"/>
        </w:tabs>
        <w:numPr>
          <w:ilvl w:val="0"/>
          <w:numId w:val="14"/>
        </w:numPr>
        <w:rPr>
          <w:rFonts w:ascii="Arial" w:cs="Arial" w:eastAsia="Arial" w:hAnsi="Arial"/>
          <w:sz w:val="16"/>
          <w:szCs w:val="16"/>
          <w:color w:val="auto"/>
        </w:rPr>
      </w:pPr>
      <w:r>
        <w:rPr>
          <w:rFonts w:ascii="Arial" w:cs="Arial" w:eastAsia="Arial" w:hAnsi="Arial"/>
          <w:sz w:val="16"/>
          <w:szCs w:val="16"/>
          <w:color w:val="auto"/>
        </w:rPr>
        <w:t>the Company and its subsidiaries (x) are in compliance with any and all applicable federal, state, local and foreign laws, rules, regulations, requirements, decisions and orders relating to the protection of human health or safety (as such relates to exposure to hazardous or toxic</w:t>
      </w:r>
    </w:p>
    <w:p>
      <w:pPr>
        <w:spacing w:after="0" w:line="71"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4"/>
          </w:cols>
          <w:pgMar w:left="436" w:top="274" w:right="459" w:bottom="1440" w:gutter="0" w:footer="0" w:header="0"/>
        </w:sectPr>
      </w:pPr>
    </w:p>
    <w:bookmarkStart w:id="14" w:name="page15"/>
    <w:bookmarkEnd w:id="14"/>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substances or wastes), the environment, natural resources, hazardous or toxic substances or wastes, pollutants or contaminants (collectively,</w:t>
      </w:r>
    </w:p>
    <w:p>
      <w:pPr>
        <w:spacing w:after="0" w:line="35" w:lineRule="exact"/>
        <w:rPr>
          <w:sz w:val="20"/>
          <w:szCs w:val="20"/>
          <w:color w:val="auto"/>
        </w:rPr>
      </w:pPr>
    </w:p>
    <w:p>
      <w:pPr>
        <w:spacing w:after="0" w:line="267"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Environmental Laws</w:t>
      </w:r>
      <w:r>
        <w:rPr>
          <w:rFonts w:ascii="Arial" w:cs="Arial" w:eastAsia="Arial" w:hAnsi="Arial"/>
          <w:sz w:val="17"/>
          <w:szCs w:val="17"/>
          <w:color w:val="auto"/>
        </w:rPr>
        <w:t>”); (y) have received and are in compliance with all permits, licenses, certificates or other governmental authorizations or approvals required of them under applicable Environmental Laws to conduct their respective businesses; and (z) have not received notice of any actual or potential liability under or relating to any Environmental Laws, including for the investigation or remediation of any disposal or release of hazardous or toxic substances or wastes, pollutants or contaminants, and have no knowledge of any event or condition that would reasonably be expected to result in any such notice; (ii) there are no known or reasonably anticipated costs or liabilities associated with Environmental Laws of or relating to the Company or any of its subsidiaries, except, in the case of any of clauses (i) or (ii) above, for any such failure to comply or failure to receive or comply with required permits, licenses, certificates or other governmental authorizations or approvals or notice or cost or liability as would not, individually or in the aggregate, reasonably be expected to have a Material Adverse Effect; and (iii) except as described in the Time of Sale Information and the Prospectus, (x) there are no proceedings that are pending, or that are known to be threatened, against the Company or any of its subsidiaries under any Environmental Laws in which a governmental entity is also a party, other than such proceedings regarding which it is reasonably believed no monetary sanctions of $300,000 or more will be imposed, and (y) none of the Company or any of its subsidiaries is aware of any non-compliance, or any capital expenditures required to achieve or maintain compliance, with Environmental Laws, or known or reasonably anticipated liabilities or other obligations under Environmental Laws or concerning hazardous or toxic substances or wastes, pollutants or contaminants, that could, individually or in the aggregate, reasonably be expected to have a Material Adverse Effect.</w:t>
      </w:r>
    </w:p>
    <w:p>
      <w:pPr>
        <w:spacing w:after="0" w:line="181" w:lineRule="exact"/>
        <w:rPr>
          <w:sz w:val="20"/>
          <w:szCs w:val="20"/>
          <w:color w:val="auto"/>
        </w:rPr>
      </w:pPr>
    </w:p>
    <w:p>
      <w:pPr>
        <w:ind w:right="340" w:firstLine="436"/>
        <w:spacing w:after="0" w:line="301" w:lineRule="auto"/>
        <w:tabs>
          <w:tab w:leader="none" w:pos="685" w:val="left"/>
        </w:tabs>
        <w:numPr>
          <w:ilvl w:val="0"/>
          <w:numId w:val="15"/>
        </w:numPr>
        <w:rPr>
          <w:rFonts w:ascii="Arial" w:cs="Arial" w:eastAsia="Arial" w:hAnsi="Arial"/>
          <w:sz w:val="16"/>
          <w:szCs w:val="16"/>
          <w:color w:val="auto"/>
        </w:rPr>
      </w:pPr>
      <w:r>
        <w:rPr>
          <w:rFonts w:ascii="Arial" w:cs="Arial" w:eastAsia="Arial" w:hAnsi="Arial"/>
          <w:sz w:val="16"/>
          <w:szCs w:val="16"/>
          <w:i w:val="1"/>
          <w:iCs w:val="1"/>
          <w:color w:val="auto"/>
        </w:rPr>
        <w:t>Disclosure Controls</w:t>
      </w:r>
      <w:r>
        <w:rPr>
          <w:rFonts w:ascii="Arial" w:cs="Arial" w:eastAsia="Arial" w:hAnsi="Arial"/>
          <w:sz w:val="16"/>
          <w:szCs w:val="16"/>
          <w:color w:val="auto"/>
        </w:rPr>
        <w:t>. The Company maintains “disclosure controls and procedures” (as such term is defined in Rule 13a-15(e) under the</w:t>
      </w:r>
      <w:r>
        <w:rPr>
          <w:rFonts w:ascii="Arial" w:cs="Arial" w:eastAsia="Arial" w:hAnsi="Arial"/>
          <w:sz w:val="16"/>
          <w:szCs w:val="16"/>
          <w:i w:val="1"/>
          <w:iCs w:val="1"/>
          <w:color w:val="auto"/>
        </w:rPr>
        <w:t xml:space="preserve"> </w:t>
      </w:r>
      <w:r>
        <w:rPr>
          <w:rFonts w:ascii="Arial" w:cs="Arial" w:eastAsia="Arial" w:hAnsi="Arial"/>
          <w:sz w:val="16"/>
          <w:szCs w:val="16"/>
          <w:color w:val="auto"/>
        </w:rPr>
        <w:t>Exchange Act) that comply with the requirements of the Exchange Act; such disclosure controls and procedures have been designed to ensure that information required to be disclosed by the Company is accumulated and communicated to the Company’s management, including the Company’s principal executive officer and principal financial officer, by others within the Company; and such disclosure controls and procedures are effective.</w:t>
      </w:r>
    </w:p>
    <w:p>
      <w:pPr>
        <w:spacing w:after="0" w:line="157" w:lineRule="exact"/>
        <w:rPr>
          <w:sz w:val="20"/>
          <w:szCs w:val="20"/>
          <w:color w:val="auto"/>
        </w:rPr>
      </w:pPr>
    </w:p>
    <w:p>
      <w:pPr>
        <w:ind w:right="20" w:firstLine="436"/>
        <w:spacing w:after="0" w:line="254" w:lineRule="auto"/>
        <w:tabs>
          <w:tab w:leader="none" w:pos="765" w:val="left"/>
        </w:tabs>
        <w:numPr>
          <w:ilvl w:val="0"/>
          <w:numId w:val="16"/>
        </w:numPr>
        <w:rPr>
          <w:rFonts w:ascii="Arial" w:cs="Arial" w:eastAsia="Arial" w:hAnsi="Arial"/>
          <w:sz w:val="18"/>
          <w:szCs w:val="18"/>
          <w:color w:val="auto"/>
        </w:rPr>
      </w:pPr>
      <w:r>
        <w:rPr>
          <w:rFonts w:ascii="Arial" w:cs="Arial" w:eastAsia="Arial" w:hAnsi="Arial"/>
          <w:sz w:val="18"/>
          <w:szCs w:val="18"/>
          <w:i w:val="1"/>
          <w:iCs w:val="1"/>
          <w:color w:val="auto"/>
        </w:rPr>
        <w:t xml:space="preserve">Accounting Controls. </w:t>
      </w:r>
      <w:r>
        <w:rPr>
          <w:rFonts w:ascii="Arial" w:cs="Arial" w:eastAsia="Arial" w:hAnsi="Arial"/>
          <w:sz w:val="18"/>
          <w:szCs w:val="18"/>
          <w:color w:val="auto"/>
        </w:rPr>
        <w:t>The Company maintains a system of “internal control over financial reporting” (as such term is defined in Rule</w:t>
      </w:r>
      <w:r>
        <w:rPr>
          <w:rFonts w:ascii="Arial" w:cs="Arial" w:eastAsia="Arial" w:hAnsi="Arial"/>
          <w:sz w:val="18"/>
          <w:szCs w:val="18"/>
          <w:i w:val="1"/>
          <w:iCs w:val="1"/>
          <w:color w:val="auto"/>
        </w:rPr>
        <w:t xml:space="preserve"> </w:t>
      </w:r>
      <w:r>
        <w:rPr>
          <w:rFonts w:ascii="Arial" w:cs="Arial" w:eastAsia="Arial" w:hAnsi="Arial"/>
          <w:sz w:val="18"/>
          <w:szCs w:val="18"/>
          <w:color w:val="auto"/>
        </w:rPr>
        <w:t>13a-15(f) under the Exchange Act) that complies with the requirements of the Exchange Act and has been designed by the Company’s principal executive officer and principal financial officer, or under their supervision, to provide (i) reasonable assurance regarding the reliability of financial reporting and the preparation of financial statements for external purposes in accordance with GAAP and (ii) reasonable assurance that (A) transactions are executed in accordance with management’s general or specific authorization; (B) transactions are recorded as necessary to permit preparation of financial statements in conformity with GAAP and to maintain accountability for assets; (C) access to assets is permitted only in accordance with management’s general or specific authorization; and (D) the recorded accountability for assets is compared with the existing assets at reasonable intervals and appropriate action</w:t>
      </w:r>
    </w:p>
    <w:p>
      <w:pPr>
        <w:spacing w:after="0" w:line="124"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11</w:t>
      </w:r>
    </w:p>
    <w:p>
      <w:pPr>
        <w:sectPr>
          <w:pgSz w:w="11900" w:h="16838" w:orient="portrait"/>
          <w:cols w:equalWidth="0" w:num="1">
            <w:col w:w="10920"/>
          </w:cols>
          <w:pgMar w:left="440" w:top="274" w:right="539" w:bottom="1440" w:gutter="0" w:footer="0" w:header="0"/>
        </w:sectPr>
      </w:pPr>
    </w:p>
    <w:bookmarkStart w:id="15" w:name="page16"/>
    <w:bookmarkEnd w:id="15"/>
    <w:p>
      <w:pPr>
        <w:jc w:val="both"/>
        <w:ind w:right="2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is taken with respect to any differences; and except as disclosed in each of the Registration Statement, the Time of Sale Information and the Prospectus, the Company’s internal control over financial reporting is effective and the Company is not aware of any material weaknesses in its internal control over financial reporting.</w:t>
      </w:r>
    </w:p>
    <w:p>
      <w:pPr>
        <w:spacing w:after="0" w:line="184" w:lineRule="exact"/>
        <w:rPr>
          <w:sz w:val="20"/>
          <w:szCs w:val="20"/>
          <w:color w:val="auto"/>
        </w:rPr>
      </w:pPr>
    </w:p>
    <w:p>
      <w:pPr>
        <w:ind w:right="60" w:firstLine="436"/>
        <w:spacing w:after="0" w:line="272" w:lineRule="auto"/>
        <w:tabs>
          <w:tab w:leader="none" w:pos="785" w:val="left"/>
        </w:tabs>
        <w:numPr>
          <w:ilvl w:val="0"/>
          <w:numId w:val="17"/>
        </w:numPr>
        <w:rPr>
          <w:rFonts w:ascii="Arial" w:cs="Arial" w:eastAsia="Arial" w:hAnsi="Arial"/>
          <w:sz w:val="17"/>
          <w:szCs w:val="17"/>
          <w:color w:val="auto"/>
        </w:rPr>
      </w:pPr>
      <w:r>
        <w:rPr>
          <w:rFonts w:ascii="Arial" w:cs="Arial" w:eastAsia="Arial" w:hAnsi="Arial"/>
          <w:sz w:val="17"/>
          <w:szCs w:val="17"/>
          <w:i w:val="1"/>
          <w:iCs w:val="1"/>
          <w:color w:val="auto"/>
        </w:rPr>
        <w:t xml:space="preserve">Insurance. </w:t>
      </w:r>
      <w:r>
        <w:rPr>
          <w:rFonts w:ascii="Arial" w:cs="Arial" w:eastAsia="Arial" w:hAnsi="Arial"/>
          <w:sz w:val="17"/>
          <w:szCs w:val="17"/>
          <w:color w:val="auto"/>
        </w:rPr>
        <w:t>The Company and its subsidiaries have insurance (including self-insurance) covering their respective properties, operations,</w:t>
      </w:r>
      <w:r>
        <w:rPr>
          <w:rFonts w:ascii="Arial" w:cs="Arial" w:eastAsia="Arial" w:hAnsi="Arial"/>
          <w:sz w:val="17"/>
          <w:szCs w:val="17"/>
          <w:i w:val="1"/>
          <w:iCs w:val="1"/>
          <w:color w:val="auto"/>
        </w:rPr>
        <w:t xml:space="preserve"> </w:t>
      </w:r>
      <w:r>
        <w:rPr>
          <w:rFonts w:ascii="Arial" w:cs="Arial" w:eastAsia="Arial" w:hAnsi="Arial"/>
          <w:sz w:val="17"/>
          <w:szCs w:val="17"/>
          <w:color w:val="auto"/>
        </w:rPr>
        <w:t>personnel and businesses, including business interruption insurance, which insurance (including self-insurance) is in amounts and insures against such losses and risks as are customary for similarly-sized companies engaged in similar businesses in similar industries and adequate to protect the Company and its subsidiaries and their respective businesses; and none of the Company or any of its subsidiaries has (i) received notice from any insurer or agent of such insurer that capital improvements or other expenditures are required or necessary to be made in order to continue such insurance or (ii) any reason to believe that it will not be able to renew its existing insurance coverage as and when such coverage expires or to obtain similar coverage at reasonable cost from similar insurers as may be necessary to continue its business.</w:t>
      </w:r>
    </w:p>
    <w:p>
      <w:pPr>
        <w:spacing w:after="0" w:line="177" w:lineRule="exact"/>
        <w:rPr>
          <w:rFonts w:ascii="Arial" w:cs="Arial" w:eastAsia="Arial" w:hAnsi="Arial"/>
          <w:sz w:val="17"/>
          <w:szCs w:val="17"/>
          <w:color w:val="auto"/>
        </w:rPr>
      </w:pPr>
    </w:p>
    <w:p>
      <w:pPr>
        <w:ind w:firstLine="436"/>
        <w:spacing w:after="0" w:line="254" w:lineRule="auto"/>
        <w:tabs>
          <w:tab w:leader="none" w:pos="765" w:val="left"/>
        </w:tabs>
        <w:numPr>
          <w:ilvl w:val="0"/>
          <w:numId w:val="17"/>
        </w:numPr>
        <w:rPr>
          <w:rFonts w:ascii="Arial" w:cs="Arial" w:eastAsia="Arial" w:hAnsi="Arial"/>
          <w:sz w:val="18"/>
          <w:szCs w:val="18"/>
          <w:color w:val="auto"/>
        </w:rPr>
      </w:pPr>
      <w:r>
        <w:rPr>
          <w:rFonts w:ascii="Arial" w:cs="Arial" w:eastAsia="Arial" w:hAnsi="Arial"/>
          <w:sz w:val="18"/>
          <w:szCs w:val="18"/>
          <w:i w:val="1"/>
          <w:iCs w:val="1"/>
          <w:color w:val="auto"/>
        </w:rPr>
        <w:t xml:space="preserve">No Unlawful Payments. </w:t>
      </w:r>
      <w:r>
        <w:rPr>
          <w:rFonts w:ascii="Arial" w:cs="Arial" w:eastAsia="Arial" w:hAnsi="Arial"/>
          <w:sz w:val="18"/>
          <w:szCs w:val="18"/>
          <w:color w:val="auto"/>
        </w:rPr>
        <w:t>None of (x) the Company or any of its subsidiaries or, (y) to the knowledge of the Company, any director, officer,</w:t>
      </w:r>
      <w:r>
        <w:rPr>
          <w:rFonts w:ascii="Arial" w:cs="Arial" w:eastAsia="Arial" w:hAnsi="Arial"/>
          <w:sz w:val="18"/>
          <w:szCs w:val="18"/>
          <w:i w:val="1"/>
          <w:iCs w:val="1"/>
          <w:color w:val="auto"/>
        </w:rPr>
        <w:t xml:space="preserve"> </w:t>
      </w:r>
      <w:r>
        <w:rPr>
          <w:rFonts w:ascii="Arial" w:cs="Arial" w:eastAsia="Arial" w:hAnsi="Arial"/>
          <w:sz w:val="18"/>
          <w:szCs w:val="18"/>
          <w:color w:val="auto"/>
        </w:rPr>
        <w:t>agent, employee, affiliate or other person associated with or acting on behalf of the Company or any of its subsidiaries has (i) made, offered, promised or authorized any unlawful contribution, gift, entertainment or other unlawful expense; (ii) made, offered, promised or authorized any direct or indirect unlawful payment; or (iii) violated or is in violation of any provision of the Foreign Corrupt Practices Act of 1977, the Bribery Act 2010 of the United Kingdom or any other applicable anti-bribery or anti-corruption law. The Company and its subsidiaries have instituted, maintain and enforce, and will continue to maintain and enforce, policies and procedures reasonably designed to promote and ensure compliance with all applicable anti-bribery and anti-corruption laws.</w:t>
      </w:r>
    </w:p>
    <w:p>
      <w:pPr>
        <w:spacing w:after="0" w:line="194" w:lineRule="exact"/>
        <w:rPr>
          <w:rFonts w:ascii="Arial" w:cs="Arial" w:eastAsia="Arial" w:hAnsi="Arial"/>
          <w:sz w:val="18"/>
          <w:szCs w:val="18"/>
          <w:color w:val="auto"/>
        </w:rPr>
      </w:pPr>
    </w:p>
    <w:p>
      <w:pPr>
        <w:ind w:right="20" w:firstLine="436"/>
        <w:spacing w:after="0" w:line="273" w:lineRule="auto"/>
        <w:tabs>
          <w:tab w:leader="none" w:pos="785" w:val="left"/>
        </w:tabs>
        <w:numPr>
          <w:ilvl w:val="0"/>
          <w:numId w:val="17"/>
        </w:numPr>
        <w:rPr>
          <w:rFonts w:ascii="Arial" w:cs="Arial" w:eastAsia="Arial" w:hAnsi="Arial"/>
          <w:sz w:val="17"/>
          <w:szCs w:val="17"/>
          <w:color w:val="auto"/>
        </w:rPr>
      </w:pPr>
      <w:r>
        <w:rPr>
          <w:rFonts w:ascii="Arial" w:cs="Arial" w:eastAsia="Arial" w:hAnsi="Arial"/>
          <w:sz w:val="17"/>
          <w:szCs w:val="17"/>
          <w:i w:val="1"/>
          <w:iCs w:val="1"/>
          <w:color w:val="auto"/>
        </w:rPr>
        <w:t>Compliance with Anti-Money Laundering Laws</w:t>
      </w:r>
      <w:r>
        <w:rPr>
          <w:rFonts w:ascii="Arial" w:cs="Arial" w:eastAsia="Arial" w:hAnsi="Arial"/>
          <w:sz w:val="17"/>
          <w:szCs w:val="17"/>
          <w:color w:val="auto"/>
        </w:rPr>
        <w:t>. The operations of the Company and its subsidiaries are and have been conducted at all times</w:t>
      </w:r>
      <w:r>
        <w:rPr>
          <w:rFonts w:ascii="Arial" w:cs="Arial" w:eastAsia="Arial" w:hAnsi="Arial"/>
          <w:sz w:val="17"/>
          <w:szCs w:val="17"/>
          <w:i w:val="1"/>
          <w:iCs w:val="1"/>
          <w:color w:val="auto"/>
        </w:rPr>
        <w:t xml:space="preserve"> </w:t>
      </w:r>
      <w:r>
        <w:rPr>
          <w:rFonts w:ascii="Arial" w:cs="Arial" w:eastAsia="Arial" w:hAnsi="Arial"/>
          <w:sz w:val="17"/>
          <w:szCs w:val="17"/>
          <w:color w:val="auto"/>
        </w:rPr>
        <w:t>in compliance with the requirements of applicable anti-money laundering laws, including, but not limited to, the Bank Secrecy Act of 1970, as amended by the USA PATRIOT ACT of 2001, and the rules and regulations promulgated thereunder, and the anti-money laundering laws of the various jurisdictions in which the Company and its subsidiaries conduct business (collectively, the “</w:t>
      </w:r>
      <w:r>
        <w:rPr>
          <w:rFonts w:ascii="Arial" w:cs="Arial" w:eastAsia="Arial" w:hAnsi="Arial"/>
          <w:sz w:val="17"/>
          <w:szCs w:val="17"/>
          <w:u w:val="single" w:color="auto"/>
          <w:color w:val="auto"/>
        </w:rPr>
        <w:t>Money Laundering Laws</w:t>
      </w:r>
      <w:r>
        <w:rPr>
          <w:rFonts w:ascii="Arial" w:cs="Arial" w:eastAsia="Arial" w:hAnsi="Arial"/>
          <w:sz w:val="17"/>
          <w:szCs w:val="17"/>
          <w:color w:val="auto"/>
        </w:rPr>
        <w:t>”) and no action, suit or proceeding by or before any court or governmental agency, authority or body or any arbitrator involving the Company or any of its subsidiaries with respect to the Money Laundering Laws is pending or, to the knowledge of the Company, threatened.</w:t>
      </w:r>
    </w:p>
    <w:p>
      <w:pPr>
        <w:spacing w:after="0" w:line="177" w:lineRule="exact"/>
        <w:rPr>
          <w:rFonts w:ascii="Arial" w:cs="Arial" w:eastAsia="Arial" w:hAnsi="Arial"/>
          <w:sz w:val="17"/>
          <w:szCs w:val="17"/>
          <w:color w:val="auto"/>
        </w:rPr>
      </w:pPr>
    </w:p>
    <w:p>
      <w:pPr>
        <w:ind w:right="40" w:firstLine="436"/>
        <w:spacing w:after="0" w:line="259" w:lineRule="auto"/>
        <w:tabs>
          <w:tab w:leader="none" w:pos="765" w:val="left"/>
        </w:tabs>
        <w:numPr>
          <w:ilvl w:val="0"/>
          <w:numId w:val="17"/>
        </w:numPr>
        <w:rPr>
          <w:rFonts w:ascii="Arial" w:cs="Arial" w:eastAsia="Arial" w:hAnsi="Arial"/>
          <w:sz w:val="18"/>
          <w:szCs w:val="18"/>
          <w:color w:val="auto"/>
        </w:rPr>
      </w:pPr>
      <w:r>
        <w:rPr>
          <w:rFonts w:ascii="Arial" w:cs="Arial" w:eastAsia="Arial" w:hAnsi="Arial"/>
          <w:sz w:val="18"/>
          <w:szCs w:val="18"/>
          <w:i w:val="1"/>
          <w:iCs w:val="1"/>
          <w:color w:val="auto"/>
        </w:rPr>
        <w:t xml:space="preserve">No Conflicts with Sanctions Laws. </w:t>
      </w:r>
      <w:r>
        <w:rPr>
          <w:rFonts w:ascii="Arial" w:cs="Arial" w:eastAsia="Arial" w:hAnsi="Arial"/>
          <w:sz w:val="18"/>
          <w:szCs w:val="18"/>
          <w:color w:val="auto"/>
        </w:rPr>
        <w:t>None of (x) the Company or any of its subsidiaries, or (y) to the knowledge of the Company, any director,</w:t>
      </w:r>
      <w:r>
        <w:rPr>
          <w:rFonts w:ascii="Arial" w:cs="Arial" w:eastAsia="Arial" w:hAnsi="Arial"/>
          <w:sz w:val="18"/>
          <w:szCs w:val="18"/>
          <w:i w:val="1"/>
          <w:iCs w:val="1"/>
          <w:color w:val="auto"/>
        </w:rPr>
        <w:t xml:space="preserve"> </w:t>
      </w:r>
      <w:r>
        <w:rPr>
          <w:rFonts w:ascii="Arial" w:cs="Arial" w:eastAsia="Arial" w:hAnsi="Arial"/>
          <w:sz w:val="18"/>
          <w:szCs w:val="18"/>
          <w:color w:val="auto"/>
        </w:rPr>
        <w:t>officer, agent, employee or affiliate of the Company or any of its subsidiaries is currently the subject or the target of any sanctions administered or enforced by the U.S. government, including, without limitation, the Office of Foreign Assets Control of the U.S. Department of the Treasury (“</w:t>
      </w:r>
      <w:r>
        <w:rPr>
          <w:rFonts w:ascii="Arial" w:cs="Arial" w:eastAsia="Arial" w:hAnsi="Arial"/>
          <w:sz w:val="18"/>
          <w:szCs w:val="18"/>
          <w:u w:val="single" w:color="auto"/>
          <w:color w:val="auto"/>
        </w:rPr>
        <w:t>OFAC</w:t>
      </w:r>
      <w:r>
        <w:rPr>
          <w:rFonts w:ascii="Arial" w:cs="Arial" w:eastAsia="Arial" w:hAnsi="Arial"/>
          <w:sz w:val="18"/>
          <w:szCs w:val="18"/>
          <w:color w:val="auto"/>
        </w:rPr>
        <w:t>”), or the U.S. Department of State and including, without limitation, the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16" w:name="page17"/>
    <w:bookmarkEnd w:id="16"/>
    <w:p>
      <w:pPr>
        <w:ind w:left="4" w:right="20"/>
        <w:spacing w:after="0" w:line="284"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designation as a “specially designated national” or “blocked person,” the European Union, His Majesty’s Treasury, the United Nations Security Council, or other relevant sanctions authority (collectively, “</w:t>
      </w:r>
      <w:r>
        <w:rPr>
          <w:rFonts w:ascii="Arial" w:cs="Arial" w:eastAsia="Arial" w:hAnsi="Arial"/>
          <w:sz w:val="16"/>
          <w:szCs w:val="16"/>
          <w:u w:val="single" w:color="auto"/>
          <w:color w:val="auto"/>
        </w:rPr>
        <w:t>Sanctions</w:t>
      </w:r>
      <w:r>
        <w:rPr>
          <w:rFonts w:ascii="Arial" w:cs="Arial" w:eastAsia="Arial" w:hAnsi="Arial"/>
          <w:sz w:val="16"/>
          <w:szCs w:val="16"/>
          <w:color w:val="auto"/>
        </w:rPr>
        <w:t>”), nor is the Company or any of its subsidiaries located, organized or resident in Cuba, Iran, North Korea, Syria, the Crimea Region and the non-government controlled areas of the Zaporizhzhia and Kherson Regions of Ukraine, the so-called Donetsk People’s Republic, the so-called Luhansk People’s Republic or any other Covered Region of Ukraine identified pursuant to Executive Order 14065 (each, a “</w:t>
      </w:r>
      <w:r>
        <w:rPr>
          <w:rFonts w:ascii="Arial" w:cs="Arial" w:eastAsia="Arial" w:hAnsi="Arial"/>
          <w:sz w:val="16"/>
          <w:szCs w:val="16"/>
          <w:u w:val="single" w:color="auto"/>
          <w:color w:val="auto"/>
        </w:rPr>
        <w:t>Sanctioned Country</w:t>
      </w:r>
      <w:r>
        <w:rPr>
          <w:rFonts w:ascii="Arial" w:cs="Arial" w:eastAsia="Arial" w:hAnsi="Arial"/>
          <w:sz w:val="16"/>
          <w:szCs w:val="16"/>
          <w:color w:val="auto"/>
        </w:rPr>
        <w:t>”), and the Company will not directly or indirectly use the proceeds of the offering of the Securities hereunder, or knowingly lend, contribute or otherwise make available such proceeds to any subsidiary, joint venture partner or other person or entity</w:t>
      </w:r>
    </w:p>
    <w:p>
      <w:pPr>
        <w:spacing w:after="0" w:line="4" w:lineRule="exact"/>
        <w:rPr>
          <w:sz w:val="20"/>
          <w:szCs w:val="20"/>
          <w:color w:val="auto"/>
        </w:rPr>
      </w:pPr>
    </w:p>
    <w:p>
      <w:pPr>
        <w:ind w:left="4" w:right="140" w:hanging="4"/>
        <w:spacing w:after="0" w:line="302" w:lineRule="auto"/>
        <w:tabs>
          <w:tab w:leader="none" w:pos="219" w:val="left"/>
        </w:tabs>
        <w:numPr>
          <w:ilvl w:val="0"/>
          <w:numId w:val="18"/>
        </w:numPr>
        <w:rPr>
          <w:rFonts w:ascii="Arial" w:cs="Arial" w:eastAsia="Arial" w:hAnsi="Arial"/>
          <w:sz w:val="16"/>
          <w:szCs w:val="16"/>
          <w:color w:val="auto"/>
        </w:rPr>
      </w:pPr>
      <w:r>
        <w:rPr>
          <w:rFonts w:ascii="Arial" w:cs="Arial" w:eastAsia="Arial" w:hAnsi="Arial"/>
          <w:sz w:val="16"/>
          <w:szCs w:val="16"/>
          <w:color w:val="auto"/>
        </w:rPr>
        <w:t>to fund or facilitate any activities of or business with any person, or in any country or territory, that, at the time of such funding, is the subject or the target of Sanctions, (ii) to fund or facilitate any activities of or business in any Sanctioned Country or (iii) in any other manner that will result in a violation by any person (including any person participating in the transaction, whether as underwriter, advisor, investor or otherwise) of Sanctions.</w:t>
      </w:r>
    </w:p>
    <w:p>
      <w:pPr>
        <w:spacing w:after="0" w:line="155" w:lineRule="exact"/>
        <w:rPr>
          <w:rFonts w:ascii="Arial" w:cs="Arial" w:eastAsia="Arial" w:hAnsi="Arial"/>
          <w:sz w:val="16"/>
          <w:szCs w:val="16"/>
          <w:color w:val="auto"/>
        </w:rPr>
      </w:pPr>
    </w:p>
    <w:p>
      <w:pPr>
        <w:ind w:left="4" w:right="340" w:firstLine="436"/>
        <w:spacing w:after="0" w:line="277" w:lineRule="auto"/>
        <w:tabs>
          <w:tab w:leader="none" w:pos="726"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Senior Indebtedness</w:t>
      </w:r>
      <w:r>
        <w:rPr>
          <w:rFonts w:ascii="Arial" w:cs="Arial" w:eastAsia="Arial" w:hAnsi="Arial"/>
          <w:sz w:val="18"/>
          <w:szCs w:val="18"/>
          <w:color w:val="auto"/>
        </w:rPr>
        <w:t>. The Securities constitute “senior indebtedness” as such term is defined in any indenture or agreement governing any</w:t>
      </w:r>
      <w:r>
        <w:rPr>
          <w:rFonts w:ascii="Arial" w:cs="Arial" w:eastAsia="Arial" w:hAnsi="Arial"/>
          <w:sz w:val="18"/>
          <w:szCs w:val="18"/>
          <w:i w:val="1"/>
          <w:iCs w:val="1"/>
          <w:color w:val="auto"/>
        </w:rPr>
        <w:t xml:space="preserve"> </w:t>
      </w:r>
      <w:r>
        <w:rPr>
          <w:rFonts w:ascii="Arial" w:cs="Arial" w:eastAsia="Arial" w:hAnsi="Arial"/>
          <w:sz w:val="18"/>
          <w:szCs w:val="18"/>
          <w:color w:val="auto"/>
        </w:rPr>
        <w:t>outstanding subordinated indebtedness of the Company.</w:t>
      </w:r>
    </w:p>
    <w:p>
      <w:pPr>
        <w:spacing w:after="0" w:line="170" w:lineRule="exact"/>
        <w:rPr>
          <w:rFonts w:ascii="Arial" w:cs="Arial" w:eastAsia="Arial" w:hAnsi="Arial"/>
          <w:sz w:val="18"/>
          <w:szCs w:val="18"/>
          <w:color w:val="auto"/>
        </w:rPr>
      </w:pPr>
    </w:p>
    <w:p>
      <w:pPr>
        <w:ind w:left="4" w:firstLine="436"/>
        <w:spacing w:after="0" w:line="296" w:lineRule="auto"/>
        <w:tabs>
          <w:tab w:leader="none" w:pos="789" w:val="left"/>
        </w:tabs>
        <w:numPr>
          <w:ilvl w:val="1"/>
          <w:numId w:val="18"/>
        </w:numPr>
        <w:rPr>
          <w:rFonts w:ascii="Arial" w:cs="Arial" w:eastAsia="Arial" w:hAnsi="Arial"/>
          <w:sz w:val="16"/>
          <w:szCs w:val="16"/>
          <w:color w:val="auto"/>
        </w:rPr>
      </w:pPr>
      <w:r>
        <w:rPr>
          <w:rFonts w:ascii="Arial" w:cs="Arial" w:eastAsia="Arial" w:hAnsi="Arial"/>
          <w:sz w:val="16"/>
          <w:szCs w:val="16"/>
          <w:i w:val="1"/>
          <w:iCs w:val="1"/>
          <w:color w:val="auto"/>
        </w:rPr>
        <w:t>No Restrictions on Subsidiaries</w:t>
      </w:r>
      <w:r>
        <w:rPr>
          <w:rFonts w:ascii="Arial" w:cs="Arial" w:eastAsia="Arial" w:hAnsi="Arial"/>
          <w:sz w:val="16"/>
          <w:szCs w:val="16"/>
          <w:color w:val="auto"/>
        </w:rPr>
        <w:t>. No material subsidiary of the Company is currently prohibited, directly or indirectly, under any agreement or</w:t>
      </w:r>
      <w:r>
        <w:rPr>
          <w:rFonts w:ascii="Arial" w:cs="Arial" w:eastAsia="Arial" w:hAnsi="Arial"/>
          <w:sz w:val="16"/>
          <w:szCs w:val="16"/>
          <w:i w:val="1"/>
          <w:iCs w:val="1"/>
          <w:color w:val="auto"/>
        </w:rPr>
        <w:t xml:space="preserve"> </w:t>
      </w:r>
      <w:r>
        <w:rPr>
          <w:rFonts w:ascii="Arial" w:cs="Arial" w:eastAsia="Arial" w:hAnsi="Arial"/>
          <w:sz w:val="16"/>
          <w:szCs w:val="16"/>
          <w:color w:val="auto"/>
        </w:rPr>
        <w:t>other instrument to which it is a party or is subject, from: (i) paying any dividends to the Company or from making any other distribution on such subsidiary’s capital stock; (ii) repaying to the Company any loans or advances to such subsidiary from the Company; or (iii) transferring any of such subsidiary’s properties or assets to the Company, or any other subsidiary of the Company except for such prohibitions that would not, individually or in the aggregate, reasonably be expected to materially affect the Company’s ability to make payments on the Securities as required by the Indenture.</w:t>
      </w:r>
    </w:p>
    <w:p>
      <w:pPr>
        <w:spacing w:after="0" w:line="161" w:lineRule="exact"/>
        <w:rPr>
          <w:rFonts w:ascii="Arial" w:cs="Arial" w:eastAsia="Arial" w:hAnsi="Arial"/>
          <w:sz w:val="16"/>
          <w:szCs w:val="16"/>
          <w:color w:val="auto"/>
        </w:rPr>
      </w:pPr>
    </w:p>
    <w:p>
      <w:pPr>
        <w:ind w:left="4" w:firstLine="436"/>
        <w:spacing w:after="0" w:line="263" w:lineRule="auto"/>
        <w:tabs>
          <w:tab w:leader="none" w:pos="789"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 xml:space="preserve">No Broker’s Fees. </w:t>
      </w:r>
      <w:r>
        <w:rPr>
          <w:rFonts w:ascii="Arial" w:cs="Arial" w:eastAsia="Arial" w:hAnsi="Arial"/>
          <w:sz w:val="18"/>
          <w:szCs w:val="18"/>
          <w:color w:val="auto"/>
        </w:rPr>
        <w:t>None of the Company or any of its subsidiaries is a party to any contract, agreement or understanding with any person</w:t>
      </w:r>
      <w:r>
        <w:rPr>
          <w:rFonts w:ascii="Arial" w:cs="Arial" w:eastAsia="Arial" w:hAnsi="Arial"/>
          <w:sz w:val="18"/>
          <w:szCs w:val="18"/>
          <w:i w:val="1"/>
          <w:iCs w:val="1"/>
          <w:color w:val="auto"/>
        </w:rPr>
        <w:t xml:space="preserve"> </w:t>
      </w:r>
      <w:r>
        <w:rPr>
          <w:rFonts w:ascii="Arial" w:cs="Arial" w:eastAsia="Arial" w:hAnsi="Arial"/>
          <w:sz w:val="18"/>
          <w:szCs w:val="18"/>
          <w:color w:val="auto"/>
        </w:rPr>
        <w:t>(other than this Agreement) that would give rise to a valid claim against any of them or any Underwriter for a brokerage commission, finder’s fee or like payment in connection with the offering and sale of the Securities.</w:t>
      </w:r>
    </w:p>
    <w:p>
      <w:pPr>
        <w:spacing w:after="0" w:line="183" w:lineRule="exact"/>
        <w:rPr>
          <w:rFonts w:ascii="Arial" w:cs="Arial" w:eastAsia="Arial" w:hAnsi="Arial"/>
          <w:sz w:val="18"/>
          <w:szCs w:val="18"/>
          <w:color w:val="auto"/>
        </w:rPr>
      </w:pPr>
    </w:p>
    <w:p>
      <w:pPr>
        <w:ind w:left="4" w:right="200" w:firstLine="436"/>
        <w:spacing w:after="0" w:line="308" w:lineRule="auto"/>
        <w:tabs>
          <w:tab w:leader="none" w:pos="709" w:val="left"/>
        </w:tabs>
        <w:numPr>
          <w:ilvl w:val="1"/>
          <w:numId w:val="18"/>
        </w:numPr>
        <w:rPr>
          <w:rFonts w:ascii="Arial" w:cs="Arial" w:eastAsia="Arial" w:hAnsi="Arial"/>
          <w:sz w:val="17"/>
          <w:szCs w:val="17"/>
          <w:color w:val="auto"/>
        </w:rPr>
      </w:pPr>
      <w:r>
        <w:rPr>
          <w:rFonts w:ascii="Arial" w:cs="Arial" w:eastAsia="Arial" w:hAnsi="Arial"/>
          <w:sz w:val="17"/>
          <w:szCs w:val="17"/>
          <w:i w:val="1"/>
          <w:iCs w:val="1"/>
          <w:color w:val="auto"/>
        </w:rPr>
        <w:t>No Registration Rights</w:t>
      </w:r>
      <w:r>
        <w:rPr>
          <w:rFonts w:ascii="Arial" w:cs="Arial" w:eastAsia="Arial" w:hAnsi="Arial"/>
          <w:sz w:val="17"/>
          <w:szCs w:val="17"/>
          <w:color w:val="auto"/>
        </w:rPr>
        <w:t>. No person has the right to require the Company or any of its subsidiaries to register any securities for sale under the</w:t>
      </w:r>
      <w:r>
        <w:rPr>
          <w:rFonts w:ascii="Arial" w:cs="Arial" w:eastAsia="Arial" w:hAnsi="Arial"/>
          <w:sz w:val="17"/>
          <w:szCs w:val="17"/>
          <w:i w:val="1"/>
          <w:iCs w:val="1"/>
          <w:color w:val="auto"/>
        </w:rPr>
        <w:t xml:space="preserve"> </w:t>
      </w:r>
      <w:r>
        <w:rPr>
          <w:rFonts w:ascii="Arial" w:cs="Arial" w:eastAsia="Arial" w:hAnsi="Arial"/>
          <w:sz w:val="17"/>
          <w:szCs w:val="17"/>
          <w:color w:val="auto"/>
        </w:rPr>
        <w:t>Securities Act by reason of the filing of the Registration Statement with the Commission or the issuance and sale of the Securities.</w:t>
      </w:r>
    </w:p>
    <w:p>
      <w:pPr>
        <w:spacing w:after="0" w:line="146" w:lineRule="exact"/>
        <w:rPr>
          <w:rFonts w:ascii="Arial" w:cs="Arial" w:eastAsia="Arial" w:hAnsi="Arial"/>
          <w:sz w:val="17"/>
          <w:szCs w:val="17"/>
          <w:color w:val="auto"/>
        </w:rPr>
      </w:pPr>
    </w:p>
    <w:p>
      <w:pPr>
        <w:ind w:left="4" w:right="240" w:firstLine="436"/>
        <w:spacing w:after="0" w:line="277" w:lineRule="auto"/>
        <w:tabs>
          <w:tab w:leader="none" w:pos="709" w:val="left"/>
        </w:tabs>
        <w:numPr>
          <w:ilvl w:val="1"/>
          <w:numId w:val="18"/>
        </w:numPr>
        <w:rPr>
          <w:rFonts w:ascii="Arial" w:cs="Arial" w:eastAsia="Arial" w:hAnsi="Arial"/>
          <w:sz w:val="18"/>
          <w:szCs w:val="18"/>
          <w:color w:val="auto"/>
        </w:rPr>
      </w:pPr>
      <w:r>
        <w:rPr>
          <w:rFonts w:ascii="Arial" w:cs="Arial" w:eastAsia="Arial" w:hAnsi="Arial"/>
          <w:sz w:val="18"/>
          <w:szCs w:val="18"/>
          <w:i w:val="1"/>
          <w:iCs w:val="1"/>
          <w:color w:val="auto"/>
        </w:rPr>
        <w:t xml:space="preserve">No Stabilization. </w:t>
      </w:r>
      <w:r>
        <w:rPr>
          <w:rFonts w:ascii="Arial" w:cs="Arial" w:eastAsia="Arial" w:hAnsi="Arial"/>
          <w:sz w:val="18"/>
          <w:szCs w:val="18"/>
          <w:color w:val="auto"/>
        </w:rPr>
        <w:t>The Company has not taken, directly or indirectly, any action designed to or that could reasonably be expected to cause or</w:t>
      </w:r>
      <w:r>
        <w:rPr>
          <w:rFonts w:ascii="Arial" w:cs="Arial" w:eastAsia="Arial" w:hAnsi="Arial"/>
          <w:sz w:val="18"/>
          <w:szCs w:val="18"/>
          <w:i w:val="1"/>
          <w:iCs w:val="1"/>
          <w:color w:val="auto"/>
        </w:rPr>
        <w:t xml:space="preserve"> </w:t>
      </w:r>
      <w:r>
        <w:rPr>
          <w:rFonts w:ascii="Arial" w:cs="Arial" w:eastAsia="Arial" w:hAnsi="Arial"/>
          <w:sz w:val="18"/>
          <w:szCs w:val="18"/>
          <w:color w:val="auto"/>
        </w:rPr>
        <w:t>result in any stabilization or manipulation of the price of the Securities.</w:t>
      </w:r>
    </w:p>
    <w:p>
      <w:pPr>
        <w:spacing w:after="0" w:line="10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84"/>
          </w:cols>
          <w:pgMar w:left="436" w:top="274" w:right="479" w:bottom="1440" w:gutter="0" w:footer="0" w:header="0"/>
        </w:sectPr>
      </w:pPr>
    </w:p>
    <w:bookmarkStart w:id="17" w:name="page18"/>
    <w:bookmarkEnd w:id="17"/>
    <w:p>
      <w:pPr>
        <w:ind w:left="-60" w:right="420" w:firstLine="436"/>
        <w:spacing w:after="0" w:line="263" w:lineRule="auto"/>
        <w:tabs>
          <w:tab w:leader="none" w:pos="725"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Margin Rules</w:t>
      </w:r>
      <w:r>
        <w:rPr>
          <w:rFonts w:ascii="Arial" w:cs="Arial" w:eastAsia="Arial" w:hAnsi="Arial"/>
          <w:sz w:val="18"/>
          <w:szCs w:val="18"/>
          <w:color w:val="auto"/>
        </w:rPr>
        <w:t>. Neither the issuance, sale and delivery of the Securities nor the application of the proceeds thereof by the Company as</w:t>
      </w:r>
      <w:r>
        <w:rPr>
          <w:rFonts w:ascii="Arial" w:cs="Arial" w:eastAsia="Arial" w:hAnsi="Arial"/>
          <w:sz w:val="18"/>
          <w:szCs w:val="18"/>
          <w:i w:val="1"/>
          <w:iCs w:val="1"/>
          <w:color w:val="auto"/>
        </w:rPr>
        <w:t xml:space="preserve"> </w:t>
      </w:r>
      <w:r>
        <w:rPr>
          <w:rFonts w:ascii="Arial" w:cs="Arial" w:eastAsia="Arial" w:hAnsi="Arial"/>
          <w:sz w:val="18"/>
          <w:szCs w:val="18"/>
          <w:color w:val="auto"/>
        </w:rPr>
        <w:t>described in each of the Registration Statement, the Time of Sale Information and the Prospectus will violate Regulation T, U or X of the Board of Governors of the Federal Reserve System or any other regulation of such Board of Governors.</w:t>
      </w:r>
    </w:p>
    <w:p>
      <w:pPr>
        <w:spacing w:after="0" w:line="183" w:lineRule="exact"/>
        <w:rPr>
          <w:rFonts w:ascii="Arial" w:cs="Arial" w:eastAsia="Arial" w:hAnsi="Arial"/>
          <w:sz w:val="18"/>
          <w:szCs w:val="18"/>
          <w:color w:val="auto"/>
        </w:rPr>
      </w:pPr>
    </w:p>
    <w:p>
      <w:pPr>
        <w:ind w:left="-60" w:right="60" w:firstLine="436"/>
        <w:spacing w:after="0" w:line="263" w:lineRule="auto"/>
        <w:tabs>
          <w:tab w:leader="none" w:pos="645"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 xml:space="preserve">Forward-Looking Statements. </w:t>
      </w:r>
      <w:r>
        <w:rPr>
          <w:rFonts w:ascii="Arial" w:cs="Arial" w:eastAsia="Arial" w:hAnsi="Arial"/>
          <w:sz w:val="18"/>
          <w:szCs w:val="18"/>
          <w:color w:val="auto"/>
        </w:rPr>
        <w:t>No forward-looking statement (within the meaning of Section 27A of the Securities Act and Section 21E of the</w:t>
      </w:r>
      <w:r>
        <w:rPr>
          <w:rFonts w:ascii="Arial" w:cs="Arial" w:eastAsia="Arial" w:hAnsi="Arial"/>
          <w:sz w:val="18"/>
          <w:szCs w:val="18"/>
          <w:i w:val="1"/>
          <w:iCs w:val="1"/>
          <w:color w:val="auto"/>
        </w:rPr>
        <w:t xml:space="preserve"> </w:t>
      </w:r>
      <w:r>
        <w:rPr>
          <w:rFonts w:ascii="Arial" w:cs="Arial" w:eastAsia="Arial" w:hAnsi="Arial"/>
          <w:sz w:val="18"/>
          <w:szCs w:val="18"/>
          <w:color w:val="auto"/>
        </w:rPr>
        <w:t>Exchange Act) included or incorporated by reference in any of the Registration Statement, the Time of Sale Information or the Prospectus has been made or reaffirmed without a reasonable basis or has been disclosed other than in good faith.</w:t>
      </w:r>
    </w:p>
    <w:p>
      <w:pPr>
        <w:spacing w:after="0" w:line="183" w:lineRule="exact"/>
        <w:rPr>
          <w:rFonts w:ascii="Arial" w:cs="Arial" w:eastAsia="Arial" w:hAnsi="Arial"/>
          <w:sz w:val="18"/>
          <w:szCs w:val="18"/>
          <w:color w:val="auto"/>
        </w:rPr>
      </w:pPr>
    </w:p>
    <w:p>
      <w:pPr>
        <w:ind w:left="-60" w:firstLine="436"/>
        <w:spacing w:after="0" w:line="286" w:lineRule="auto"/>
        <w:tabs>
          <w:tab w:leader="none" w:pos="825" w:val="left"/>
        </w:tabs>
        <w:numPr>
          <w:ilvl w:val="0"/>
          <w:numId w:val="19"/>
        </w:numPr>
        <w:rPr>
          <w:rFonts w:ascii="Arial" w:cs="Arial" w:eastAsia="Arial" w:hAnsi="Arial"/>
          <w:sz w:val="16"/>
          <w:szCs w:val="16"/>
          <w:color w:val="auto"/>
        </w:rPr>
      </w:pPr>
      <w:r>
        <w:rPr>
          <w:rFonts w:ascii="Arial" w:cs="Arial" w:eastAsia="Arial" w:hAnsi="Arial"/>
          <w:sz w:val="16"/>
          <w:szCs w:val="16"/>
          <w:color w:val="auto"/>
        </w:rPr>
        <w:t>Cybersecurity; Data Protection. The information technology assets and equipment, computers, systems, networks, hardware, software, websites, applications, and databases (collectively, “IT Systems”) of the Company and its subsidiaries are adequate for, and operate and perform as required in connection with the operation of the businesses of the Company and its subsidiaries as currently conducted, free and clear of all bugs, errors, defects, Trojan horses, time bombs, malware and other corruptants, except as would not, individually or in the aggregate, have a Material Adverse Effect. The Company and its subsidiaries have implemented and maintain commercially reasonable controls, policies, procedures, and safeguards to maintain and protect their material confidential information and the integrity, continuous operation, redundancy and security of all IT Systems and data (including all personal, personally identifiable, sensitive, confidential or regulated data (“Personal Data”)) used in connection with their businesses, and there have been no breaches, violations, outages or unauthorized uses of or accesses to same, except for those that have been remedied without material cost or liability or the duty to notify any other person or would not, individually or in the aggregate, have a Material Adverse Effect, nor are any incidents under internal review or investigations relating to the same. The Company and its subsidiaries are presently in compliance with all applicable laws or statutes and all judgments, orders, rules and regulations of any court or arbitrator or governmental or regulatory authority, internal policies and contractual obligations relating to the privacy and security of IT Systems and Personal Data and to the protection of such IT Systems and Personal Data from unauthorized use, access, misappropriation or modification, except as would not, individually or in the aggregate, have a Material Adverse Effect.</w:t>
      </w:r>
    </w:p>
    <w:p>
      <w:pPr>
        <w:spacing w:after="0" w:line="173" w:lineRule="exact"/>
        <w:rPr>
          <w:rFonts w:ascii="Arial" w:cs="Arial" w:eastAsia="Arial" w:hAnsi="Arial"/>
          <w:sz w:val="16"/>
          <w:szCs w:val="16"/>
          <w:color w:val="auto"/>
        </w:rPr>
      </w:pPr>
    </w:p>
    <w:p>
      <w:pPr>
        <w:jc w:val="both"/>
        <w:ind w:left="-60" w:right="60" w:firstLine="436"/>
        <w:spacing w:after="0" w:line="259" w:lineRule="auto"/>
        <w:tabs>
          <w:tab w:leader="none" w:pos="725"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Sarbanes-Oxley Act</w:t>
      </w:r>
      <w:r>
        <w:rPr>
          <w:rFonts w:ascii="Arial" w:cs="Arial" w:eastAsia="Arial" w:hAnsi="Arial"/>
          <w:sz w:val="18"/>
          <w:szCs w:val="18"/>
          <w:color w:val="auto"/>
        </w:rPr>
        <w:t>. There is and has been no material failure on the part of the Company or, to the knowledge of the Company, any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Company’s directors or officers, in their capacities as such, to comply with any applicable provision of the Sarbanes-Oxley Act of 2002, as amended, and the rules and regulations promulgated in connection therewith (the “</w:t>
      </w:r>
      <w:r>
        <w:rPr>
          <w:rFonts w:ascii="Arial" w:cs="Arial" w:eastAsia="Arial" w:hAnsi="Arial"/>
          <w:sz w:val="18"/>
          <w:szCs w:val="18"/>
          <w:u w:val="single" w:color="auto"/>
          <w:color w:val="auto"/>
        </w:rPr>
        <w:t>Sarbanes-Oxley Act</w:t>
      </w:r>
      <w:r>
        <w:rPr>
          <w:rFonts w:ascii="Arial" w:cs="Arial" w:eastAsia="Arial" w:hAnsi="Arial"/>
          <w:sz w:val="18"/>
          <w:szCs w:val="18"/>
          <w:color w:val="auto"/>
        </w:rPr>
        <w:t>”), including Section 402 related to loans and Sections 302 and 906 related to certifications.</w:t>
      </w:r>
    </w:p>
    <w:p>
      <w:pPr>
        <w:spacing w:after="0" w:line="186" w:lineRule="exact"/>
        <w:rPr>
          <w:rFonts w:ascii="Arial" w:cs="Arial" w:eastAsia="Arial" w:hAnsi="Arial"/>
          <w:sz w:val="18"/>
          <w:szCs w:val="18"/>
          <w:color w:val="auto"/>
        </w:rPr>
      </w:pPr>
    </w:p>
    <w:p>
      <w:pPr>
        <w:jc w:val="both"/>
        <w:ind w:left="-60" w:right="140" w:firstLine="436"/>
        <w:spacing w:after="0" w:line="263" w:lineRule="auto"/>
        <w:tabs>
          <w:tab w:leader="none" w:pos="725" w:val="left"/>
        </w:tabs>
        <w:numPr>
          <w:ilvl w:val="0"/>
          <w:numId w:val="19"/>
        </w:numPr>
        <w:rPr>
          <w:rFonts w:ascii="Arial" w:cs="Arial" w:eastAsia="Arial" w:hAnsi="Arial"/>
          <w:sz w:val="18"/>
          <w:szCs w:val="18"/>
          <w:color w:val="auto"/>
        </w:rPr>
      </w:pPr>
      <w:r>
        <w:rPr>
          <w:rFonts w:ascii="Arial" w:cs="Arial" w:eastAsia="Arial" w:hAnsi="Arial"/>
          <w:sz w:val="18"/>
          <w:szCs w:val="18"/>
          <w:i w:val="1"/>
          <w:iCs w:val="1"/>
          <w:color w:val="auto"/>
        </w:rPr>
        <w:t>Status under the Securities Act</w:t>
      </w:r>
      <w:r>
        <w:rPr>
          <w:rFonts w:ascii="Arial" w:cs="Arial" w:eastAsia="Arial" w:hAnsi="Arial"/>
          <w:sz w:val="18"/>
          <w:szCs w:val="18"/>
          <w:color w:val="auto"/>
        </w:rPr>
        <w:t>. The Company is not an ineligible issuer and is a well-known seasoned issuer, in each case as defined under</w:t>
      </w:r>
      <w:r>
        <w:rPr>
          <w:rFonts w:ascii="Arial" w:cs="Arial" w:eastAsia="Arial" w:hAnsi="Arial"/>
          <w:sz w:val="18"/>
          <w:szCs w:val="18"/>
          <w:i w:val="1"/>
          <w:iCs w:val="1"/>
          <w:color w:val="auto"/>
        </w:rPr>
        <w:t xml:space="preserve"> </w:t>
      </w:r>
      <w:r>
        <w:rPr>
          <w:rFonts w:ascii="Arial" w:cs="Arial" w:eastAsia="Arial" w:hAnsi="Arial"/>
          <w:sz w:val="18"/>
          <w:szCs w:val="18"/>
          <w:color w:val="auto"/>
        </w:rPr>
        <w:t>the Securities Act, in each case at the times specified in the Securities Act in connection with the offering of the Securities. The Company has paid the registration fee for this offering pursuant to Rule 457 under the Securities Act.</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900"/>
          </w:cols>
          <w:pgMar w:left="500" w:top="274" w:right="499" w:bottom="1440" w:gutter="0" w:footer="0" w:header="0"/>
        </w:sectPr>
      </w:pPr>
    </w:p>
    <w:bookmarkStart w:id="18" w:name="page19"/>
    <w:bookmarkEnd w:id="18"/>
    <w:p>
      <w:pPr>
        <w:ind w:left="4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4. </w:t>
      </w:r>
      <w:r>
        <w:rPr>
          <w:rFonts w:ascii="Arial" w:cs="Arial" w:eastAsia="Arial" w:hAnsi="Arial"/>
          <w:sz w:val="18"/>
          <w:szCs w:val="18"/>
          <w:u w:val="single" w:color="auto"/>
          <w:color w:val="auto"/>
        </w:rPr>
        <w:t>Further Agreements of the Company</w:t>
      </w:r>
      <w:r>
        <w:rPr>
          <w:rFonts w:ascii="Arial" w:cs="Arial" w:eastAsia="Arial" w:hAnsi="Arial"/>
          <w:sz w:val="18"/>
          <w:szCs w:val="18"/>
          <w:color w:val="auto"/>
        </w:rPr>
        <w:t>. The Company covenants and agrees with each Underwriter that:</w:t>
      </w:r>
    </w:p>
    <w:p>
      <w:pPr>
        <w:spacing w:after="0" w:line="117" w:lineRule="exact"/>
        <w:rPr>
          <w:sz w:val="20"/>
          <w:szCs w:val="20"/>
          <w:color w:val="auto"/>
        </w:rPr>
      </w:pPr>
    </w:p>
    <w:p>
      <w:pPr>
        <w:ind w:left="-20" w:right="20" w:firstLine="436"/>
        <w:spacing w:after="0" w:line="254" w:lineRule="auto"/>
        <w:tabs>
          <w:tab w:leader="none" w:pos="665"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 xml:space="preserve">Required Filings. </w:t>
      </w:r>
      <w:r>
        <w:rPr>
          <w:rFonts w:ascii="Arial" w:cs="Arial" w:eastAsia="Arial" w:hAnsi="Arial"/>
          <w:sz w:val="18"/>
          <w:szCs w:val="18"/>
          <w:color w:val="auto"/>
        </w:rPr>
        <w:t>The Company will file the final Prospectus with the Commission within the time periods specified by Rule 424(b) and Rule</w:t>
      </w:r>
      <w:r>
        <w:rPr>
          <w:rFonts w:ascii="Arial" w:cs="Arial" w:eastAsia="Arial" w:hAnsi="Arial"/>
          <w:sz w:val="18"/>
          <w:szCs w:val="18"/>
          <w:i w:val="1"/>
          <w:iCs w:val="1"/>
          <w:color w:val="auto"/>
        </w:rPr>
        <w:t xml:space="preserve"> </w:t>
      </w:r>
      <w:r>
        <w:rPr>
          <w:rFonts w:ascii="Arial" w:cs="Arial" w:eastAsia="Arial" w:hAnsi="Arial"/>
          <w:sz w:val="18"/>
          <w:szCs w:val="18"/>
          <w:color w:val="auto"/>
        </w:rPr>
        <w:t>430A, 430B or 430C under the Securities Act; will file any Issuer Free Writing Prospectus (including the Pricing Term Sheet referred to in Annex B hereto) to the extent required by Rule 433 under the Securities Act; will file promptly all reports and any definitive proxy or information statements required to be filed by the Company with the Commission pursuant to Section 13(a), 13(c), 14 or 15(d) of the Exchange Act subsequent to the date of the Prospectus and for so long as the delivery of a prospectus is required in connection with the offering or sale of the Securities; and will furnish copies of the Prospectus and each Issuer Free Writing Prospectus (to the extent not previously delivered) to the Underwriters in New York City prior to 10:00 A.M., New York City time, on the business day next succeeding the date of this Agreement in such quantities as the Representatives may reasonably request.</w:t>
      </w:r>
    </w:p>
    <w:p>
      <w:pPr>
        <w:spacing w:after="0" w:line="191" w:lineRule="exact"/>
        <w:rPr>
          <w:rFonts w:ascii="Arial" w:cs="Arial" w:eastAsia="Arial" w:hAnsi="Arial"/>
          <w:sz w:val="18"/>
          <w:szCs w:val="18"/>
          <w:color w:val="auto"/>
        </w:rPr>
      </w:pPr>
    </w:p>
    <w:p>
      <w:pPr>
        <w:ind w:left="-20" w:firstLine="436"/>
        <w:spacing w:after="0" w:line="253" w:lineRule="auto"/>
        <w:tabs>
          <w:tab w:leader="none" w:pos="675" w:val="left"/>
        </w:tabs>
        <w:numPr>
          <w:ilvl w:val="0"/>
          <w:numId w:val="20"/>
        </w:numPr>
        <w:rPr>
          <w:rFonts w:ascii="Arial" w:cs="Arial" w:eastAsia="Arial" w:hAnsi="Arial"/>
          <w:sz w:val="18"/>
          <w:szCs w:val="18"/>
          <w:color w:val="auto"/>
        </w:rPr>
      </w:pPr>
      <w:r>
        <w:rPr>
          <w:rFonts w:ascii="Arial" w:cs="Arial" w:eastAsia="Arial" w:hAnsi="Arial"/>
          <w:sz w:val="18"/>
          <w:szCs w:val="18"/>
          <w:i w:val="1"/>
          <w:iCs w:val="1"/>
          <w:color w:val="auto"/>
        </w:rPr>
        <w:t xml:space="preserve">Delivery of Copies. </w:t>
      </w:r>
      <w:r>
        <w:rPr>
          <w:rFonts w:ascii="Arial" w:cs="Arial" w:eastAsia="Arial" w:hAnsi="Arial"/>
          <w:sz w:val="18"/>
          <w:szCs w:val="18"/>
          <w:color w:val="auto"/>
        </w:rPr>
        <w:t>The Company will deliver, without charge, upon written request (i) to the Representatives, two conformed copies of the</w:t>
      </w:r>
      <w:r>
        <w:rPr>
          <w:rFonts w:ascii="Arial" w:cs="Arial" w:eastAsia="Arial" w:hAnsi="Arial"/>
          <w:sz w:val="18"/>
          <w:szCs w:val="18"/>
          <w:i w:val="1"/>
          <w:iCs w:val="1"/>
          <w:color w:val="auto"/>
        </w:rPr>
        <w:t xml:space="preserve"> </w:t>
      </w:r>
      <w:r>
        <w:rPr>
          <w:rFonts w:ascii="Arial" w:cs="Arial" w:eastAsia="Arial" w:hAnsi="Arial"/>
          <w:sz w:val="18"/>
          <w:szCs w:val="18"/>
          <w:color w:val="auto"/>
        </w:rPr>
        <w:t>Registration Statement as originally filed and each amendment thereto, in each case including all exhibits and consents filed therewith and documents incorporated by reference therein; and (ii) to each Underwriter (A) a conformed copy of the Registration Statement as originally filed and each amendment thereto, in each case including all exhibits and consents filed therewith and (B) during the Prospectus Delivery Period (as defined below), as many copies of the Prospectus (including all amendments and supplements thereto and documents incorporated by reference therein) and each Issuer Free Writing Prospectus as the Representatives may reasonably request. As used herein, the term “</w:t>
      </w:r>
      <w:r>
        <w:rPr>
          <w:rFonts w:ascii="Arial" w:cs="Arial" w:eastAsia="Arial" w:hAnsi="Arial"/>
          <w:sz w:val="18"/>
          <w:szCs w:val="18"/>
          <w:u w:val="single" w:color="auto"/>
          <w:color w:val="auto"/>
        </w:rPr>
        <w:t>Prospectus Delivery Period</w:t>
      </w:r>
      <w:r>
        <w:rPr>
          <w:rFonts w:ascii="Arial" w:cs="Arial" w:eastAsia="Arial" w:hAnsi="Arial"/>
          <w:sz w:val="18"/>
          <w:szCs w:val="18"/>
          <w:color w:val="auto"/>
        </w:rPr>
        <w:t>” means such period of time after the first date of the public offering of the Securities as in the opinion of counsel for the Underwriters a prospectus relating to the Securities is required by law to be delivered (or required to be delivered but for Rule 172 under the Securities Act) in connection with sales of the Securities by any Underwriter or dealer.</w:t>
      </w:r>
    </w:p>
    <w:p>
      <w:pPr>
        <w:spacing w:after="0" w:line="196" w:lineRule="exact"/>
        <w:rPr>
          <w:rFonts w:ascii="Arial" w:cs="Arial" w:eastAsia="Arial" w:hAnsi="Arial"/>
          <w:sz w:val="18"/>
          <w:szCs w:val="18"/>
          <w:color w:val="auto"/>
        </w:rPr>
      </w:pPr>
    </w:p>
    <w:p>
      <w:pPr>
        <w:ind w:left="-20" w:right="40" w:firstLine="436"/>
        <w:spacing w:after="0" w:line="296" w:lineRule="auto"/>
        <w:tabs>
          <w:tab w:leader="none" w:pos="665" w:val="left"/>
        </w:tabs>
        <w:numPr>
          <w:ilvl w:val="0"/>
          <w:numId w:val="20"/>
        </w:numPr>
        <w:rPr>
          <w:rFonts w:ascii="Arial" w:cs="Arial" w:eastAsia="Arial" w:hAnsi="Arial"/>
          <w:sz w:val="16"/>
          <w:szCs w:val="16"/>
          <w:color w:val="auto"/>
        </w:rPr>
      </w:pPr>
      <w:r>
        <w:rPr>
          <w:rFonts w:ascii="Arial" w:cs="Arial" w:eastAsia="Arial" w:hAnsi="Arial"/>
          <w:sz w:val="16"/>
          <w:szCs w:val="16"/>
          <w:i w:val="1"/>
          <w:iCs w:val="1"/>
          <w:color w:val="auto"/>
        </w:rPr>
        <w:t xml:space="preserve">Amendments or Supplements; Issuer Free Writing Prospectuses. </w:t>
      </w:r>
      <w:r>
        <w:rPr>
          <w:rFonts w:ascii="Arial" w:cs="Arial" w:eastAsia="Arial" w:hAnsi="Arial"/>
          <w:sz w:val="16"/>
          <w:szCs w:val="16"/>
          <w:color w:val="auto"/>
        </w:rPr>
        <w:t>Before making, preparing, using, authorizing, approving, referring to or filing</w:t>
      </w:r>
      <w:r>
        <w:rPr>
          <w:rFonts w:ascii="Arial" w:cs="Arial" w:eastAsia="Arial" w:hAnsi="Arial"/>
          <w:sz w:val="16"/>
          <w:szCs w:val="16"/>
          <w:i w:val="1"/>
          <w:iCs w:val="1"/>
          <w:color w:val="auto"/>
        </w:rPr>
        <w:t xml:space="preserve"> </w:t>
      </w:r>
      <w:r>
        <w:rPr>
          <w:rFonts w:ascii="Arial" w:cs="Arial" w:eastAsia="Arial" w:hAnsi="Arial"/>
          <w:sz w:val="16"/>
          <w:szCs w:val="16"/>
          <w:color w:val="auto"/>
        </w:rPr>
        <w:t>any Issuer Free Writing Prospectus, and before filing any amendment or supplement to the Registration Statement or the Prospectus, whether before or after the time that the Registration Statement becomes effective, the Company will furnish to the Representatives and counsel for the Underwriters a copy of the proposed Issuer Free Writing Prospectus, amendment or supplement for review and will not make, prepare, use, authorize, approve, refer to or file any such Issuer Free Writing Prospectus or file any such proposed amendment or supplement to which the Representatives reasonably object.</w:t>
      </w:r>
    </w:p>
    <w:p>
      <w:pPr>
        <w:spacing w:after="0" w:line="9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0960"/>
          </w:cols>
          <w:pgMar w:left="460" w:top="274" w:right="479" w:bottom="1440" w:gutter="0" w:footer="0" w:header="0"/>
        </w:sectPr>
      </w:pPr>
    </w:p>
    <w:bookmarkStart w:id="19" w:name="page20"/>
    <w:bookmarkEnd w:id="19"/>
    <w:p>
      <w:pPr>
        <w:ind w:firstLine="436"/>
        <w:spacing w:after="0" w:line="285" w:lineRule="auto"/>
        <w:tabs>
          <w:tab w:leader="none" w:pos="695" w:val="left"/>
        </w:tabs>
        <w:numPr>
          <w:ilvl w:val="0"/>
          <w:numId w:val="21"/>
        </w:numPr>
        <w:rPr>
          <w:rFonts w:ascii="Arial" w:cs="Arial" w:eastAsia="Arial" w:hAnsi="Arial"/>
          <w:sz w:val="16"/>
          <w:szCs w:val="16"/>
          <w:color w:val="auto"/>
        </w:rPr>
      </w:pPr>
      <w:r>
        <w:rPr>
          <w:rFonts w:ascii="Arial" w:cs="Arial" w:eastAsia="Arial" w:hAnsi="Arial"/>
          <w:sz w:val="16"/>
          <w:szCs w:val="16"/>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Notice to the Representatives. </w:t>
      </w:r>
      <w:r>
        <w:rPr>
          <w:rFonts w:ascii="Arial" w:cs="Arial" w:eastAsia="Arial" w:hAnsi="Arial"/>
          <w:sz w:val="16"/>
          <w:szCs w:val="16"/>
          <w:color w:val="auto"/>
        </w:rPr>
        <w:t>The Company will advise the Representatives promptly, and confirm such advice in writing, (i) when any</w:t>
      </w:r>
      <w:r>
        <w:rPr>
          <w:rFonts w:ascii="Arial" w:cs="Arial" w:eastAsia="Arial" w:hAnsi="Arial"/>
          <w:sz w:val="16"/>
          <w:szCs w:val="16"/>
          <w:i w:val="1"/>
          <w:iCs w:val="1"/>
          <w:color w:val="auto"/>
        </w:rPr>
        <w:t xml:space="preserve"> </w:t>
      </w:r>
      <w:r>
        <w:rPr>
          <w:rFonts w:ascii="Arial" w:cs="Arial" w:eastAsia="Arial" w:hAnsi="Arial"/>
          <w:sz w:val="16"/>
          <w:szCs w:val="16"/>
          <w:color w:val="auto"/>
        </w:rPr>
        <w:t>amendment to the Registration Statement has been filed or becomes effective; (ii) when any supplement to the Prospectus or any Issuer Free Writing Prospectus or any amendment to the Prospectus or any Issuer Free Writing Prospectus has been filed; (iii) of any request by the Commission for any amendment to the Registration Statement or any amendment or supplement to the Prospectus or the receipt of any comments from the Commission relating to the Registration Statement or any other request by the Commission for any additional information; (iv) of the issuance by the Commission or any other governmental or regulatory authority of any order suspending the effectiveness of the Registration Statement or preventing or suspending the use of any Preliminary Prospectus, the Prospectus, any Time of Sale Information or any Issuer Free Writing Prospectus or the initiation or threatening of any proceeding for that purpose or pursuant to Section 8A of the Securities Act; (v) of the occurrence of any event or development within the Prospectus Delivery Period as a result of which the Prospectus, any of the Time of Sale Information or any Issuer Free Writing Prospectus as then amended or supplemented would include any untrue statement of a material fact or omit to state a material fact necessary in order to make the statements therein, in the light of the circumstances existing when the Prospectus, the Time of Sale Information or any such Issuer Free Writing Prospectus is delivered to a purchaser, not misleading; and (vi) of the receipt by the Company of any notice with respect to any suspension of the qualification of the Securities for offer and sale in any jurisdiction or the initiation or threatening of any proceeding for such purpose; and the Company will use its reasonable best efforts to prevent the issuance of any such order suspending the effectiveness of the Registration Statement, preventing or suspending the use of any Preliminary Prospectus, any of the Time of Sale Information, Issuer Free Writing Prospectus or the Prospectus, or suspending any such qualification of the Securities and, if any such order is issued, will obtain as soon as possible the withdrawal thereof.</w:t>
      </w:r>
    </w:p>
    <w:p>
      <w:pPr>
        <w:spacing w:after="0" w:line="176" w:lineRule="exact"/>
        <w:rPr>
          <w:rFonts w:ascii="Arial" w:cs="Arial" w:eastAsia="Arial" w:hAnsi="Arial"/>
          <w:sz w:val="16"/>
          <w:szCs w:val="16"/>
          <w:color w:val="auto"/>
        </w:rPr>
      </w:pPr>
    </w:p>
    <w:p>
      <w:pPr>
        <w:ind w:firstLine="436"/>
        <w:spacing w:after="0" w:line="270" w:lineRule="auto"/>
        <w:tabs>
          <w:tab w:leader="none" w:pos="685" w:val="left"/>
        </w:tabs>
        <w:numPr>
          <w:ilvl w:val="0"/>
          <w:numId w:val="21"/>
        </w:numPr>
        <w:rPr>
          <w:rFonts w:ascii="Arial" w:cs="Arial" w:eastAsia="Arial" w:hAnsi="Arial"/>
          <w:sz w:val="17"/>
          <w:szCs w:val="17"/>
          <w:color w:val="auto"/>
        </w:rPr>
      </w:pPr>
      <w:r>
        <w:rPr>
          <w:rFonts w:ascii="Arial" w:cs="Arial" w:eastAsia="Arial" w:hAnsi="Arial"/>
          <w:sz w:val="17"/>
          <w:szCs w:val="17"/>
          <w:i w:val="1"/>
          <w:iCs w:val="1"/>
          <w:color w:val="auto"/>
        </w:rPr>
        <w:t xml:space="preserve">Time of Sale Information. </w:t>
      </w:r>
      <w:r>
        <w:rPr>
          <w:rFonts w:ascii="Arial" w:cs="Arial" w:eastAsia="Arial" w:hAnsi="Arial"/>
          <w:sz w:val="17"/>
          <w:szCs w:val="17"/>
          <w:color w:val="auto"/>
        </w:rPr>
        <w:t>If at any time prior to the Closing Date (i) any event shall occur or condition shall exist as a result of which any of</w:t>
      </w:r>
      <w:r>
        <w:rPr>
          <w:rFonts w:ascii="Arial" w:cs="Arial" w:eastAsia="Arial" w:hAnsi="Arial"/>
          <w:sz w:val="17"/>
          <w:szCs w:val="17"/>
          <w:i w:val="1"/>
          <w:iCs w:val="1"/>
          <w:color w:val="auto"/>
        </w:rPr>
        <w:t xml:space="preserve"> </w:t>
      </w:r>
      <w:r>
        <w:rPr>
          <w:rFonts w:ascii="Arial" w:cs="Arial" w:eastAsia="Arial" w:hAnsi="Arial"/>
          <w:sz w:val="17"/>
          <w:szCs w:val="17"/>
          <w:color w:val="auto"/>
        </w:rPr>
        <w:t>the Time of Sale Information as then amended or supplemented would include any untrue statement of a material fact or omit to state any material fact necessary in order to make the statements therein, in the light of the circumstances under which they were made, not misleading or (ii) it is necessary to amend or supplement the Time of Sale Information to comply with law, the Company will immediately notify the Underwriters thereof and forthwith prepare and, subject to paragraph (c) above, file with the Commission (to the extent required) and furnish to the Underwriters and to such dealers as the Representatives may designate, such amendments or supplements to the Time of Sale Information (or any document to be filed with the Commission and incorporated by reference therein) as may be necessary so that the statements in any of the Time of Sale Information as so amended or supplemented (including such documents to be incorporated by reference therein) will not, in the light of the circumstances under which they were made, be misleading or so that any of the Time of Sale Information will comply with law.</w:t>
      </w:r>
    </w:p>
    <w:p>
      <w:pPr>
        <w:spacing w:after="0" w:line="180" w:lineRule="exact"/>
        <w:rPr>
          <w:rFonts w:ascii="Arial" w:cs="Arial" w:eastAsia="Arial" w:hAnsi="Arial"/>
          <w:sz w:val="17"/>
          <w:szCs w:val="17"/>
          <w:color w:val="auto"/>
        </w:rPr>
      </w:pPr>
    </w:p>
    <w:p>
      <w:pPr>
        <w:ind w:right="120" w:firstLine="436"/>
        <w:spacing w:after="0" w:line="263" w:lineRule="auto"/>
        <w:tabs>
          <w:tab w:leader="none" w:pos="665" w:val="left"/>
        </w:tabs>
        <w:numPr>
          <w:ilvl w:val="0"/>
          <w:numId w:val="21"/>
        </w:numPr>
        <w:rPr>
          <w:rFonts w:ascii="Arial" w:cs="Arial" w:eastAsia="Arial" w:hAnsi="Arial"/>
          <w:sz w:val="18"/>
          <w:szCs w:val="18"/>
          <w:color w:val="auto"/>
        </w:rPr>
      </w:pPr>
      <w:r>
        <w:rPr>
          <w:rFonts w:ascii="Arial" w:cs="Arial" w:eastAsia="Arial" w:hAnsi="Arial"/>
          <w:sz w:val="18"/>
          <w:szCs w:val="18"/>
          <w:i w:val="1"/>
          <w:iCs w:val="1"/>
          <w:color w:val="auto"/>
        </w:rPr>
        <w:t>Ongoing Compliance</w:t>
      </w:r>
      <w:r>
        <w:rPr>
          <w:rFonts w:ascii="Arial" w:cs="Arial" w:eastAsia="Arial" w:hAnsi="Arial"/>
          <w:sz w:val="18"/>
          <w:szCs w:val="18"/>
          <w:color w:val="auto"/>
        </w:rPr>
        <w:t>. If during the Prospectus Delivery Period (i) any event shall occur or condition shall exist as a result of which the</w:t>
      </w:r>
      <w:r>
        <w:rPr>
          <w:rFonts w:ascii="Arial" w:cs="Arial" w:eastAsia="Arial" w:hAnsi="Arial"/>
          <w:sz w:val="18"/>
          <w:szCs w:val="18"/>
          <w:i w:val="1"/>
          <w:iCs w:val="1"/>
          <w:color w:val="auto"/>
        </w:rPr>
        <w:t xml:space="preserve"> </w:t>
      </w:r>
      <w:r>
        <w:rPr>
          <w:rFonts w:ascii="Arial" w:cs="Arial" w:eastAsia="Arial" w:hAnsi="Arial"/>
          <w:sz w:val="18"/>
          <w:szCs w:val="18"/>
          <w:color w:val="auto"/>
        </w:rPr>
        <w:t>Prospectus as then amended or supplemented would include any untrue statement of a material fact or omit to state any material fact necessary in order to make the statements therein, in the light of the</w:t>
      </w:r>
    </w:p>
    <w:p>
      <w:pPr>
        <w:spacing w:after="0" w:line="11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1000"/>
          </w:cols>
          <w:pgMar w:left="440" w:top="274" w:right="459" w:bottom="1440" w:gutter="0" w:footer="0" w:header="0"/>
        </w:sectPr>
      </w:pPr>
    </w:p>
    <w:bookmarkStart w:id="20" w:name="page21"/>
    <w:bookmarkEnd w:id="20"/>
    <w:p>
      <w:pPr>
        <w:ind w:right="60"/>
        <w:spacing w:after="0" w:line="293"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circumstances existing when the Prospectus is delivered to a purchaser, not misleading or (ii) it is necessary to amend or supplement the Prospectus to comply with law, the Company will immediately notify the Underwriters thereof and forthwith prepare and, subject to paragraph (c) above, file with the Commission and furnish to the Underwriters and to such dealers as the Representatives may designate, such amendments or supplements to the Prospectus (or any document to be filed with the Commission and incorporated by reference therein) as may be necessary so that the statements in the Prospectus as so amended or supplemented including such documents to be incorporated by reference therein will not, in the light of the circumstances existing when the Prospectus is delivered to a purchaser, be misleading or so that the Prospectus will comply with law</w:t>
      </w:r>
      <w:r>
        <w:rPr>
          <w:rFonts w:ascii="Arial" w:cs="Arial" w:eastAsia="Arial" w:hAnsi="Arial"/>
          <w:sz w:val="16"/>
          <w:szCs w:val="16"/>
          <w:i w:val="1"/>
          <w:iCs w:val="1"/>
          <w:color w:val="auto"/>
        </w:rPr>
        <w:t>.</w:t>
      </w:r>
    </w:p>
    <w:p>
      <w:pPr>
        <w:spacing w:after="0" w:line="164" w:lineRule="exact"/>
        <w:rPr>
          <w:sz w:val="20"/>
          <w:szCs w:val="20"/>
          <w:color w:val="auto"/>
        </w:rPr>
      </w:pPr>
    </w:p>
    <w:p>
      <w:pPr>
        <w:jc w:val="both"/>
        <w:ind w:firstLine="436"/>
        <w:spacing w:after="0" w:line="257" w:lineRule="auto"/>
        <w:tabs>
          <w:tab w:leader="none" w:pos="69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 xml:space="preserve">Blue Sky Compliance. </w:t>
      </w:r>
      <w:r>
        <w:rPr>
          <w:rFonts w:ascii="Arial" w:cs="Arial" w:eastAsia="Arial" w:hAnsi="Arial"/>
          <w:sz w:val="18"/>
          <w:szCs w:val="18"/>
          <w:color w:val="auto"/>
        </w:rPr>
        <w:t>The Company will qualify the Securities for offer and sale under the securities or Blue Sky laws of such jurisdictions as</w:t>
      </w:r>
      <w:r>
        <w:rPr>
          <w:rFonts w:ascii="Arial" w:cs="Arial" w:eastAsia="Arial" w:hAnsi="Arial"/>
          <w:sz w:val="18"/>
          <w:szCs w:val="18"/>
          <w:i w:val="1"/>
          <w:iCs w:val="1"/>
          <w:color w:val="auto"/>
        </w:rPr>
        <w:t xml:space="preserve"> </w:t>
      </w:r>
      <w:r>
        <w:rPr>
          <w:rFonts w:ascii="Arial" w:cs="Arial" w:eastAsia="Arial" w:hAnsi="Arial"/>
          <w:sz w:val="18"/>
          <w:szCs w:val="18"/>
          <w:color w:val="auto"/>
        </w:rPr>
        <w:t xml:space="preserve">the Representatives shall reasonably request and will continue such qualifications in effect so long as required for distribution of the Securities; </w:t>
      </w:r>
      <w:r>
        <w:rPr>
          <w:rFonts w:ascii="Arial" w:cs="Arial" w:eastAsia="Arial" w:hAnsi="Arial"/>
          <w:sz w:val="18"/>
          <w:szCs w:val="18"/>
          <w:u w:val="single" w:color="auto"/>
          <w:color w:val="auto"/>
        </w:rPr>
        <w:t>provided</w:t>
      </w:r>
      <w:r>
        <w:rPr>
          <w:rFonts w:ascii="Arial" w:cs="Arial" w:eastAsia="Arial" w:hAnsi="Arial"/>
          <w:sz w:val="18"/>
          <w:szCs w:val="18"/>
          <w:color w:val="auto"/>
        </w:rPr>
        <w:t xml:space="preserve"> that the Company shall not be required to (i) qualify as a foreign corporation or other entity or as a dealer in securities in any such jurisdiction where it would not otherwise be required to so qualify, (ii) file any general consent to service of process in any such jurisdiction or (iii) subject itself to taxation in any such jurisdiction if it is not otherwise so subject.</w:t>
      </w:r>
    </w:p>
    <w:p>
      <w:pPr>
        <w:spacing w:after="0" w:line="187" w:lineRule="exact"/>
        <w:rPr>
          <w:rFonts w:ascii="Arial" w:cs="Arial" w:eastAsia="Arial" w:hAnsi="Arial"/>
          <w:sz w:val="18"/>
          <w:szCs w:val="18"/>
          <w:color w:val="auto"/>
        </w:rPr>
      </w:pPr>
    </w:p>
    <w:p>
      <w:pPr>
        <w:ind w:right="140" w:firstLine="436"/>
        <w:spacing w:after="0" w:line="259" w:lineRule="auto"/>
        <w:tabs>
          <w:tab w:leader="none" w:pos="69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 xml:space="preserve">Earnings Statement. </w:t>
      </w:r>
      <w:r>
        <w:rPr>
          <w:rFonts w:ascii="Arial" w:cs="Arial" w:eastAsia="Arial" w:hAnsi="Arial"/>
          <w:sz w:val="18"/>
          <w:szCs w:val="18"/>
          <w:color w:val="auto"/>
        </w:rPr>
        <w:t>The Company will make generally available to its security holders and the Representatives, including by filing with the</w:t>
      </w:r>
      <w:r>
        <w:rPr>
          <w:rFonts w:ascii="Arial" w:cs="Arial" w:eastAsia="Arial" w:hAnsi="Arial"/>
          <w:sz w:val="18"/>
          <w:szCs w:val="18"/>
          <w:i w:val="1"/>
          <w:iCs w:val="1"/>
          <w:color w:val="auto"/>
        </w:rPr>
        <w:t xml:space="preserve"> </w:t>
      </w:r>
      <w:r>
        <w:rPr>
          <w:rFonts w:ascii="Arial" w:cs="Arial" w:eastAsia="Arial" w:hAnsi="Arial"/>
          <w:sz w:val="18"/>
          <w:szCs w:val="18"/>
          <w:color w:val="auto"/>
        </w:rPr>
        <w:t>Commission, as soon as practicable an earnings statement that satisfies the provisions of Section 11(a) of the Securities Act and Rule 158 of the Commission promulgated thereunder covering a period of at least twelve months beginning with the first fiscal quarter of the Company occurring after the “effective date” (as defined in Rule 158) of the Registration Statement.</w:t>
      </w:r>
    </w:p>
    <w:p>
      <w:pPr>
        <w:spacing w:after="0" w:line="186" w:lineRule="exact"/>
        <w:rPr>
          <w:rFonts w:ascii="Arial" w:cs="Arial" w:eastAsia="Arial" w:hAnsi="Arial"/>
          <w:sz w:val="18"/>
          <w:szCs w:val="18"/>
          <w:color w:val="auto"/>
        </w:rPr>
      </w:pPr>
    </w:p>
    <w:p>
      <w:pPr>
        <w:jc w:val="both"/>
        <w:ind w:right="60" w:firstLine="436"/>
        <w:spacing w:after="0" w:line="263" w:lineRule="auto"/>
        <w:tabs>
          <w:tab w:leader="none" w:pos="65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 xml:space="preserve">Clear Market. </w:t>
      </w:r>
      <w:r>
        <w:rPr>
          <w:rFonts w:ascii="Arial" w:cs="Arial" w:eastAsia="Arial" w:hAnsi="Arial"/>
          <w:sz w:val="18"/>
          <w:szCs w:val="18"/>
          <w:color w:val="auto"/>
        </w:rPr>
        <w:t>During the period from the date hereof through and including the Closing Date, the Company will not, without the prior written</w:t>
      </w:r>
      <w:r>
        <w:rPr>
          <w:rFonts w:ascii="Arial" w:cs="Arial" w:eastAsia="Arial" w:hAnsi="Arial"/>
          <w:sz w:val="18"/>
          <w:szCs w:val="18"/>
          <w:i w:val="1"/>
          <w:iCs w:val="1"/>
          <w:color w:val="auto"/>
        </w:rPr>
        <w:t xml:space="preserve"> </w:t>
      </w:r>
      <w:r>
        <w:rPr>
          <w:rFonts w:ascii="Arial" w:cs="Arial" w:eastAsia="Arial" w:hAnsi="Arial"/>
          <w:sz w:val="18"/>
          <w:szCs w:val="18"/>
          <w:color w:val="auto"/>
        </w:rPr>
        <w:t>consent of the Representatives, offer, sell, contract to sell or otherwise dispose of any debt securities issued or guaranteed by the Company and having a tenor of more than one year.</w:t>
      </w:r>
    </w:p>
    <w:p>
      <w:pPr>
        <w:spacing w:after="0" w:line="183" w:lineRule="exact"/>
        <w:rPr>
          <w:rFonts w:ascii="Arial" w:cs="Arial" w:eastAsia="Arial" w:hAnsi="Arial"/>
          <w:sz w:val="18"/>
          <w:szCs w:val="18"/>
          <w:color w:val="auto"/>
        </w:rPr>
      </w:pPr>
    </w:p>
    <w:p>
      <w:pPr>
        <w:ind w:right="200" w:firstLine="436"/>
        <w:spacing w:after="0" w:line="277" w:lineRule="auto"/>
        <w:tabs>
          <w:tab w:leader="none" w:pos="65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 xml:space="preserve">Use of Proceeds. </w:t>
      </w:r>
      <w:r>
        <w:rPr>
          <w:rFonts w:ascii="Arial" w:cs="Arial" w:eastAsia="Arial" w:hAnsi="Arial"/>
          <w:sz w:val="18"/>
          <w:szCs w:val="18"/>
          <w:color w:val="auto"/>
        </w:rPr>
        <w:t>The Company will apply the net proceeds from the sale of the Securities as described in each of the Registration Statement,</w:t>
      </w:r>
      <w:r>
        <w:rPr>
          <w:rFonts w:ascii="Arial" w:cs="Arial" w:eastAsia="Arial" w:hAnsi="Arial"/>
          <w:sz w:val="18"/>
          <w:szCs w:val="18"/>
          <w:i w:val="1"/>
          <w:iCs w:val="1"/>
          <w:color w:val="auto"/>
        </w:rPr>
        <w:t xml:space="preserve"> </w:t>
      </w:r>
      <w:r>
        <w:rPr>
          <w:rFonts w:ascii="Arial" w:cs="Arial" w:eastAsia="Arial" w:hAnsi="Arial"/>
          <w:sz w:val="18"/>
          <w:szCs w:val="18"/>
          <w:color w:val="auto"/>
        </w:rPr>
        <w:t>the Time of Sale Information and the Prospectus under the heading “Use of Proceeds.”</w:t>
      </w:r>
    </w:p>
    <w:p>
      <w:pPr>
        <w:spacing w:after="0" w:line="170" w:lineRule="exact"/>
        <w:rPr>
          <w:rFonts w:ascii="Arial" w:cs="Arial" w:eastAsia="Arial" w:hAnsi="Arial"/>
          <w:sz w:val="18"/>
          <w:szCs w:val="18"/>
          <w:color w:val="auto"/>
        </w:rPr>
      </w:pPr>
    </w:p>
    <w:p>
      <w:pPr>
        <w:ind w:left="700" w:hanging="264"/>
        <w:spacing w:after="0"/>
        <w:tabs>
          <w:tab w:leader="none" w:pos="700" w:val="left"/>
        </w:tabs>
        <w:numPr>
          <w:ilvl w:val="0"/>
          <w:numId w:val="22"/>
        </w:numPr>
        <w:rPr>
          <w:rFonts w:ascii="Arial" w:cs="Arial" w:eastAsia="Arial" w:hAnsi="Arial"/>
          <w:sz w:val="17"/>
          <w:szCs w:val="17"/>
          <w:color w:val="auto"/>
        </w:rPr>
      </w:pPr>
      <w:r>
        <w:rPr>
          <w:rFonts w:ascii="Arial" w:cs="Arial" w:eastAsia="Arial" w:hAnsi="Arial"/>
          <w:sz w:val="17"/>
          <w:szCs w:val="17"/>
          <w:i w:val="1"/>
          <w:iCs w:val="1"/>
          <w:color w:val="auto"/>
        </w:rPr>
        <w:t>DTC</w:t>
      </w:r>
      <w:r>
        <w:rPr>
          <w:rFonts w:ascii="Arial" w:cs="Arial" w:eastAsia="Arial" w:hAnsi="Arial"/>
          <w:sz w:val="17"/>
          <w:szCs w:val="17"/>
          <w:color w:val="auto"/>
        </w:rPr>
        <w:t>. The Company will assist the Underwriters in arranging for the Securities to be eligible for clearance and settlement through DTC.</w:t>
      </w:r>
    </w:p>
    <w:p>
      <w:pPr>
        <w:spacing w:after="0" w:line="236" w:lineRule="exact"/>
        <w:rPr>
          <w:rFonts w:ascii="Arial" w:cs="Arial" w:eastAsia="Arial" w:hAnsi="Arial"/>
          <w:sz w:val="17"/>
          <w:szCs w:val="17"/>
          <w:color w:val="auto"/>
        </w:rPr>
      </w:pPr>
    </w:p>
    <w:p>
      <w:pPr>
        <w:ind w:right="360" w:firstLine="436"/>
        <w:spacing w:after="0" w:line="277" w:lineRule="auto"/>
        <w:tabs>
          <w:tab w:leader="none" w:pos="65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 xml:space="preserve">No Stabilization. </w:t>
      </w:r>
      <w:r>
        <w:rPr>
          <w:rFonts w:ascii="Arial" w:cs="Arial" w:eastAsia="Arial" w:hAnsi="Arial"/>
          <w:sz w:val="18"/>
          <w:szCs w:val="18"/>
          <w:color w:val="auto"/>
        </w:rPr>
        <w:t>The Company will not take, directly or indirectly, any action designed to or that could reasonably be expected to cause or</w:t>
      </w:r>
      <w:r>
        <w:rPr>
          <w:rFonts w:ascii="Arial" w:cs="Arial" w:eastAsia="Arial" w:hAnsi="Arial"/>
          <w:sz w:val="18"/>
          <w:szCs w:val="18"/>
          <w:i w:val="1"/>
          <w:iCs w:val="1"/>
          <w:color w:val="auto"/>
        </w:rPr>
        <w:t xml:space="preserve"> </w:t>
      </w:r>
      <w:r>
        <w:rPr>
          <w:rFonts w:ascii="Arial" w:cs="Arial" w:eastAsia="Arial" w:hAnsi="Arial"/>
          <w:sz w:val="18"/>
          <w:szCs w:val="18"/>
          <w:color w:val="auto"/>
        </w:rPr>
        <w:t>result in any stabilization or manipulation of the price of the Securities.</w:t>
      </w:r>
    </w:p>
    <w:p>
      <w:pPr>
        <w:spacing w:after="0" w:line="170" w:lineRule="exact"/>
        <w:rPr>
          <w:rFonts w:ascii="Arial" w:cs="Arial" w:eastAsia="Arial" w:hAnsi="Arial"/>
          <w:sz w:val="18"/>
          <w:szCs w:val="18"/>
          <w:color w:val="auto"/>
        </w:rPr>
      </w:pPr>
    </w:p>
    <w:p>
      <w:pPr>
        <w:ind w:right="280" w:firstLine="436"/>
        <w:spacing w:after="0" w:line="277" w:lineRule="auto"/>
        <w:tabs>
          <w:tab w:leader="none" w:pos="745" w:val="left"/>
        </w:tabs>
        <w:numPr>
          <w:ilvl w:val="0"/>
          <w:numId w:val="22"/>
        </w:numPr>
        <w:rPr>
          <w:rFonts w:ascii="Arial" w:cs="Arial" w:eastAsia="Arial" w:hAnsi="Arial"/>
          <w:sz w:val="18"/>
          <w:szCs w:val="18"/>
          <w:color w:val="auto"/>
        </w:rPr>
      </w:pPr>
      <w:r>
        <w:rPr>
          <w:rFonts w:ascii="Arial" w:cs="Arial" w:eastAsia="Arial" w:hAnsi="Arial"/>
          <w:sz w:val="18"/>
          <w:szCs w:val="18"/>
          <w:i w:val="1"/>
          <w:iCs w:val="1"/>
          <w:color w:val="auto"/>
        </w:rPr>
        <w:t>Record Retention</w:t>
      </w:r>
      <w:r>
        <w:rPr>
          <w:rFonts w:ascii="Arial" w:cs="Arial" w:eastAsia="Arial" w:hAnsi="Arial"/>
          <w:sz w:val="18"/>
          <w:szCs w:val="18"/>
          <w:color w:val="auto"/>
        </w:rPr>
        <w:t>. The Company will, pursuant to reasonable procedures developed in good faith, retain copies of each Issuer Free Writing</w:t>
      </w:r>
      <w:r>
        <w:rPr>
          <w:rFonts w:ascii="Arial" w:cs="Arial" w:eastAsia="Arial" w:hAnsi="Arial"/>
          <w:sz w:val="18"/>
          <w:szCs w:val="18"/>
          <w:i w:val="1"/>
          <w:iCs w:val="1"/>
          <w:color w:val="auto"/>
        </w:rPr>
        <w:t xml:space="preserve"> </w:t>
      </w:r>
      <w:r>
        <w:rPr>
          <w:rFonts w:ascii="Arial" w:cs="Arial" w:eastAsia="Arial" w:hAnsi="Arial"/>
          <w:sz w:val="18"/>
          <w:szCs w:val="18"/>
          <w:color w:val="auto"/>
        </w:rPr>
        <w:t>Prospectus that is not filed with the Commission in accordance with Rule 433 under the Securities Act.</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1000"/>
          </w:cols>
          <w:pgMar w:left="440" w:top="274" w:right="459" w:bottom="1440" w:gutter="0" w:footer="0" w:header="0"/>
        </w:sectPr>
      </w:pPr>
    </w:p>
    <w:bookmarkStart w:id="21" w:name="page22"/>
    <w:bookmarkEnd w:id="21"/>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5. </w:t>
      </w:r>
      <w:r>
        <w:rPr>
          <w:rFonts w:ascii="Arial" w:cs="Arial" w:eastAsia="Arial" w:hAnsi="Arial"/>
          <w:sz w:val="18"/>
          <w:szCs w:val="18"/>
          <w:u w:val="single" w:color="auto"/>
          <w:color w:val="auto"/>
        </w:rPr>
        <w:t>Certain Agreements of the Underwriters</w:t>
      </w:r>
      <w:r>
        <w:rPr>
          <w:rFonts w:ascii="Arial" w:cs="Arial" w:eastAsia="Arial" w:hAnsi="Arial"/>
          <w:sz w:val="18"/>
          <w:szCs w:val="18"/>
          <w:color w:val="auto"/>
        </w:rPr>
        <w:t>. Each Underwriter hereby represents and agrees that:</w:t>
      </w:r>
    </w:p>
    <w:p>
      <w:pPr>
        <w:spacing w:after="0" w:line="117" w:lineRule="exact"/>
        <w:rPr>
          <w:sz w:val="20"/>
          <w:szCs w:val="20"/>
          <w:color w:val="auto"/>
        </w:rPr>
      </w:pPr>
    </w:p>
    <w:p>
      <w:pPr>
        <w:ind w:right="20" w:firstLine="436"/>
        <w:spacing w:after="0" w:line="271" w:lineRule="auto"/>
        <w:tabs>
          <w:tab w:leader="none" w:pos="685" w:val="left"/>
        </w:tabs>
        <w:numPr>
          <w:ilvl w:val="0"/>
          <w:numId w:val="23"/>
        </w:numPr>
        <w:rPr>
          <w:rFonts w:ascii="Arial" w:cs="Arial" w:eastAsia="Arial" w:hAnsi="Arial"/>
          <w:sz w:val="17"/>
          <w:szCs w:val="17"/>
          <w:color w:val="auto"/>
        </w:rPr>
      </w:pPr>
      <w:r>
        <w:rPr>
          <w:rFonts w:ascii="Arial" w:cs="Arial" w:eastAsia="Arial" w:hAnsi="Arial"/>
          <w:sz w:val="17"/>
          <w:szCs w:val="17"/>
          <w:color w:val="auto"/>
        </w:rPr>
        <w:t>It has not and will not use, authorize use of, refer to, or participate in the planning for use of, any “free writing prospectus,” as defined in Rule 405 under the Securities Act (which term includes use of any written information furnished to the Commission by the Company and not incorporated by reference into the Registration Statement and any press release issued by the Company) other than (i) a free writing prospectus that, solely as a result of use by such Underwriter, would not trigger an obligation to file such free writing prospectus with the Commission pursuant to Rule 433, (ii) any Issuer Free Writing Prospectus listed on Annex A or prepared pursuant to Section 3(c) or Section 4(c) above (including any electronic road show), or (iii) any free writing prospectus prepared by such Underwriter and approved by the Company in advance in writing (each such free writing prospectus referred to in clauses (i) or (iii), an “</w:t>
      </w:r>
      <w:r>
        <w:rPr>
          <w:rFonts w:ascii="Arial" w:cs="Arial" w:eastAsia="Arial" w:hAnsi="Arial"/>
          <w:sz w:val="17"/>
          <w:szCs w:val="17"/>
          <w:u w:val="single" w:color="auto"/>
          <w:color w:val="auto"/>
        </w:rPr>
        <w:t>Underwriter Free Writing Prospectus</w:t>
      </w:r>
      <w:r>
        <w:rPr>
          <w:rFonts w:ascii="Arial" w:cs="Arial" w:eastAsia="Arial" w:hAnsi="Arial"/>
          <w:sz w:val="17"/>
          <w:szCs w:val="17"/>
          <w:color w:val="auto"/>
        </w:rPr>
        <w:t>”). Notwithstanding the foregoing, the Underwriters may use the Pricing Term Sheet referred to in Annex B hereto without the consent of the Company.</w:t>
      </w:r>
    </w:p>
    <w:p>
      <w:pPr>
        <w:spacing w:after="0" w:line="178" w:lineRule="exact"/>
        <w:rPr>
          <w:rFonts w:ascii="Arial" w:cs="Arial" w:eastAsia="Arial" w:hAnsi="Arial"/>
          <w:sz w:val="17"/>
          <w:szCs w:val="17"/>
          <w:color w:val="auto"/>
        </w:rPr>
      </w:pPr>
    </w:p>
    <w:p>
      <w:pPr>
        <w:ind w:right="300" w:firstLine="436"/>
        <w:spacing w:after="0" w:line="277" w:lineRule="auto"/>
        <w:tabs>
          <w:tab w:leader="none" w:pos="695" w:val="left"/>
        </w:tabs>
        <w:numPr>
          <w:ilvl w:val="0"/>
          <w:numId w:val="23"/>
        </w:numPr>
        <w:rPr>
          <w:rFonts w:ascii="Arial" w:cs="Arial" w:eastAsia="Arial" w:hAnsi="Arial"/>
          <w:sz w:val="18"/>
          <w:szCs w:val="18"/>
          <w:color w:val="auto"/>
        </w:rPr>
      </w:pPr>
      <w:r>
        <w:rPr>
          <w:rFonts w:ascii="Arial" w:cs="Arial" w:eastAsia="Arial" w:hAnsi="Arial"/>
          <w:sz w:val="18"/>
          <w:szCs w:val="18"/>
          <w:color w:val="auto"/>
        </w:rPr>
        <w:t>It is not subject to any pending proceeding under Section 8A of the Securities Act with respect to the offering (and will promptly notify the Company if any such proceeding against it is initiated during the Prospectus Delivery Period).</w:t>
      </w:r>
    </w:p>
    <w:p>
      <w:pPr>
        <w:spacing w:after="0" w:line="170" w:lineRule="exact"/>
        <w:rPr>
          <w:sz w:val="20"/>
          <w:szCs w:val="20"/>
          <w:color w:val="auto"/>
        </w:rPr>
      </w:pPr>
    </w:p>
    <w:p>
      <w:pPr>
        <w:ind w:right="180" w:firstLine="436"/>
        <w:spacing w:after="0" w:line="308" w:lineRule="auto"/>
        <w:tabs>
          <w:tab w:leader="none" w:pos="620" w:val="left"/>
        </w:tabs>
        <w:numPr>
          <w:ilvl w:val="0"/>
          <w:numId w:val="24"/>
        </w:numPr>
        <w:rPr>
          <w:rFonts w:ascii="Arial" w:cs="Arial" w:eastAsia="Arial" w:hAnsi="Arial"/>
          <w:sz w:val="17"/>
          <w:szCs w:val="17"/>
          <w:color w:val="auto"/>
        </w:rPr>
      </w:pPr>
      <w:r>
        <w:rPr>
          <w:rFonts w:ascii="Arial" w:cs="Arial" w:eastAsia="Arial" w:hAnsi="Arial"/>
          <w:sz w:val="17"/>
          <w:szCs w:val="17"/>
          <w:u w:val="single" w:color="auto"/>
          <w:color w:val="auto"/>
        </w:rPr>
        <w:t>Conditions of Underwriters’ Obligations.</w:t>
      </w:r>
      <w:r>
        <w:rPr>
          <w:rFonts w:ascii="Arial" w:cs="Arial" w:eastAsia="Arial" w:hAnsi="Arial"/>
          <w:sz w:val="17"/>
          <w:szCs w:val="17"/>
          <w:color w:val="auto"/>
        </w:rPr>
        <w:t xml:space="preserve"> The obligation of each Underwriter to purchase Securities on the Closing Date as provided herein is subject to the performance by the Company of its covenants and other obligations hereunder and to the following additional conditions:</w:t>
      </w:r>
    </w:p>
    <w:p>
      <w:pPr>
        <w:spacing w:after="0" w:line="146" w:lineRule="exact"/>
        <w:rPr>
          <w:sz w:val="20"/>
          <w:szCs w:val="20"/>
          <w:color w:val="auto"/>
        </w:rPr>
      </w:pPr>
    </w:p>
    <w:p>
      <w:pPr>
        <w:ind w:right="40" w:firstLine="436"/>
        <w:spacing w:after="0" w:line="296" w:lineRule="auto"/>
        <w:tabs>
          <w:tab w:leader="none" w:pos="685" w:val="left"/>
        </w:tabs>
        <w:numPr>
          <w:ilvl w:val="0"/>
          <w:numId w:val="25"/>
        </w:numPr>
        <w:rPr>
          <w:rFonts w:ascii="Arial" w:cs="Arial" w:eastAsia="Arial" w:hAnsi="Arial"/>
          <w:sz w:val="16"/>
          <w:szCs w:val="16"/>
          <w:color w:val="auto"/>
        </w:rPr>
      </w:pPr>
      <w:r>
        <w:rPr>
          <w:rFonts w:ascii="Arial" w:cs="Arial" w:eastAsia="Arial" w:hAnsi="Arial"/>
          <w:sz w:val="16"/>
          <w:szCs w:val="16"/>
          <w:i w:val="1"/>
          <w:iCs w:val="1"/>
          <w:color w:val="auto"/>
        </w:rPr>
        <w:t xml:space="preserve">Registration Compliance; No Stop Order. </w:t>
      </w:r>
      <w:r>
        <w:rPr>
          <w:rFonts w:ascii="Arial" w:cs="Arial" w:eastAsia="Arial" w:hAnsi="Arial"/>
          <w:sz w:val="16"/>
          <w:szCs w:val="16"/>
          <w:color w:val="auto"/>
        </w:rPr>
        <w:t>No order suspending the effectiveness of the Registration Statement shall be in effect, and no</w:t>
      </w:r>
      <w:r>
        <w:rPr>
          <w:rFonts w:ascii="Arial" w:cs="Arial" w:eastAsia="Arial" w:hAnsi="Arial"/>
          <w:sz w:val="16"/>
          <w:szCs w:val="16"/>
          <w:i w:val="1"/>
          <w:iCs w:val="1"/>
          <w:color w:val="auto"/>
        </w:rPr>
        <w:t xml:space="preserve"> </w:t>
      </w:r>
      <w:r>
        <w:rPr>
          <w:rFonts w:ascii="Arial" w:cs="Arial" w:eastAsia="Arial" w:hAnsi="Arial"/>
          <w:sz w:val="16"/>
          <w:szCs w:val="16"/>
          <w:color w:val="auto"/>
        </w:rPr>
        <w:t>proceeding for such purpose pursuant to Section 8A under the Securities Act shall be pending before or, to the Company’s knowledge, threatened by the Commission; the Prospectus and each Issuer Free Writing Prospectus shall have been timely filed with the Commission under the Securities Act (in the case of an Issuer Free Writing Prospectus, to the extent required by Rule 433 under the Securities Act) and in accordance with Section 4(a) hereof; and all requests by the Commission for additional information shall have been complied with to the reasonable satisfaction of the Representatives.</w:t>
      </w:r>
    </w:p>
    <w:p>
      <w:pPr>
        <w:spacing w:after="0" w:line="161" w:lineRule="exact"/>
        <w:rPr>
          <w:rFonts w:ascii="Arial" w:cs="Arial" w:eastAsia="Arial" w:hAnsi="Arial"/>
          <w:sz w:val="16"/>
          <w:szCs w:val="16"/>
          <w:color w:val="auto"/>
        </w:rPr>
      </w:pPr>
    </w:p>
    <w:p>
      <w:pPr>
        <w:ind w:right="340" w:firstLine="436"/>
        <w:spacing w:after="0" w:line="263" w:lineRule="auto"/>
        <w:tabs>
          <w:tab w:leader="none" w:pos="695" w:val="left"/>
        </w:tabs>
        <w:numPr>
          <w:ilvl w:val="0"/>
          <w:numId w:val="25"/>
        </w:numPr>
        <w:rPr>
          <w:rFonts w:ascii="Arial" w:cs="Arial" w:eastAsia="Arial" w:hAnsi="Arial"/>
          <w:sz w:val="18"/>
          <w:szCs w:val="18"/>
          <w:color w:val="auto"/>
        </w:rPr>
      </w:pPr>
      <w:r>
        <w:rPr>
          <w:rFonts w:ascii="Arial" w:cs="Arial" w:eastAsia="Arial" w:hAnsi="Arial"/>
          <w:sz w:val="18"/>
          <w:szCs w:val="18"/>
          <w:i w:val="1"/>
          <w:iCs w:val="1"/>
          <w:color w:val="auto"/>
        </w:rPr>
        <w:t xml:space="preserve">Representations and Warranties. </w:t>
      </w:r>
      <w:r>
        <w:rPr>
          <w:rFonts w:ascii="Arial" w:cs="Arial" w:eastAsia="Arial" w:hAnsi="Arial"/>
          <w:sz w:val="18"/>
          <w:szCs w:val="18"/>
          <w:color w:val="auto"/>
        </w:rPr>
        <w:t>The representations and warranties of the Company contained herein shall be true and correct on the date</w:t>
      </w:r>
      <w:r>
        <w:rPr>
          <w:rFonts w:ascii="Arial" w:cs="Arial" w:eastAsia="Arial" w:hAnsi="Arial"/>
          <w:sz w:val="18"/>
          <w:szCs w:val="18"/>
          <w:i w:val="1"/>
          <w:iCs w:val="1"/>
          <w:color w:val="auto"/>
        </w:rPr>
        <w:t xml:space="preserve"> </w:t>
      </w:r>
      <w:r>
        <w:rPr>
          <w:rFonts w:ascii="Arial" w:cs="Arial" w:eastAsia="Arial" w:hAnsi="Arial"/>
          <w:sz w:val="18"/>
          <w:szCs w:val="18"/>
          <w:color w:val="auto"/>
        </w:rPr>
        <w:t>hereof and on and as of the Closing Date, and the statements of the Company and its officers made in any certificates delivered pursuant to this Agreement shall be true and correct on and as of the Closing Date.</w:t>
      </w:r>
    </w:p>
    <w:p>
      <w:pPr>
        <w:spacing w:after="0" w:line="183" w:lineRule="exact"/>
        <w:rPr>
          <w:rFonts w:ascii="Arial" w:cs="Arial" w:eastAsia="Arial" w:hAnsi="Arial"/>
          <w:sz w:val="18"/>
          <w:szCs w:val="18"/>
          <w:color w:val="auto"/>
        </w:rPr>
      </w:pPr>
    </w:p>
    <w:p>
      <w:pPr>
        <w:ind w:firstLine="436"/>
        <w:spacing w:after="0" w:line="311" w:lineRule="auto"/>
        <w:tabs>
          <w:tab w:leader="none" w:pos="685" w:val="left"/>
        </w:tabs>
        <w:numPr>
          <w:ilvl w:val="0"/>
          <w:numId w:val="25"/>
        </w:numPr>
        <w:rPr>
          <w:rFonts w:ascii="Arial" w:cs="Arial" w:eastAsia="Arial" w:hAnsi="Arial"/>
          <w:sz w:val="16"/>
          <w:szCs w:val="16"/>
          <w:color w:val="auto"/>
        </w:rPr>
      </w:pPr>
      <w:r>
        <w:rPr>
          <w:rFonts w:ascii="Arial" w:cs="Arial" w:eastAsia="Arial" w:hAnsi="Arial"/>
          <w:sz w:val="16"/>
          <w:szCs w:val="16"/>
          <w:i w:val="1"/>
          <w:iCs w:val="1"/>
          <w:color w:val="auto"/>
        </w:rPr>
        <w:t xml:space="preserve">No Downgrade. </w:t>
      </w:r>
      <w:r>
        <w:rPr>
          <w:rFonts w:ascii="Arial" w:cs="Arial" w:eastAsia="Arial" w:hAnsi="Arial"/>
          <w:sz w:val="16"/>
          <w:szCs w:val="16"/>
          <w:color w:val="auto"/>
        </w:rPr>
        <w:t>Subsequent to the earlier of (A) the Time of Sale and (B) the execution and delivery of this Agreement, (i) no downgrading</w:t>
      </w:r>
      <w:r>
        <w:rPr>
          <w:rFonts w:ascii="Arial" w:cs="Arial" w:eastAsia="Arial" w:hAnsi="Arial"/>
          <w:sz w:val="16"/>
          <w:szCs w:val="16"/>
          <w:i w:val="1"/>
          <w:iCs w:val="1"/>
          <w:color w:val="auto"/>
        </w:rPr>
        <w:t xml:space="preserve"> </w:t>
      </w:r>
      <w:r>
        <w:rPr>
          <w:rFonts w:ascii="Arial" w:cs="Arial" w:eastAsia="Arial" w:hAnsi="Arial"/>
          <w:sz w:val="16"/>
          <w:szCs w:val="16"/>
          <w:color w:val="auto"/>
        </w:rPr>
        <w:t>shall have occurred in the rating accorded the Securities or any other debt securities or preferred stock issued or guaranteed by the Company or any of its subsidiaries by any “nationally recognized statistical rating organization,” as such term is defined under Section 3(a)(62) under the</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0"/>
          </w:cols>
          <w:pgMar w:left="440" w:top="274" w:right="459" w:bottom="1440" w:gutter="0" w:footer="0" w:header="0"/>
        </w:sectPr>
      </w:pPr>
    </w:p>
    <w:bookmarkStart w:id="22" w:name="page23"/>
    <w:bookmarkEnd w:id="22"/>
    <w:p>
      <w:pPr>
        <w:ind w:right="280"/>
        <w:spacing w:after="0" w:line="263"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Exchange Act, and (ii) no such organization shall have publicly announced that it has under surveillance or review, or has changed its outlook with respect to, its rating of the Securities or of any other debt securities or preferred stock issued or guaranteed by the Company or any of its subsidiaries (other than an announcement with positive implications of a possible upgrading).</w:t>
      </w:r>
    </w:p>
    <w:p>
      <w:pPr>
        <w:spacing w:after="0" w:line="184" w:lineRule="exact"/>
        <w:rPr>
          <w:sz w:val="20"/>
          <w:szCs w:val="20"/>
          <w:color w:val="auto"/>
        </w:rPr>
      </w:pPr>
    </w:p>
    <w:p>
      <w:pPr>
        <w:ind w:right="120" w:firstLine="436"/>
        <w:spacing w:after="0" w:line="257" w:lineRule="auto"/>
        <w:tabs>
          <w:tab w:leader="none" w:pos="695"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 xml:space="preserve">No Material Adverse Change. </w:t>
      </w:r>
      <w:r>
        <w:rPr>
          <w:rFonts w:ascii="Arial" w:cs="Arial" w:eastAsia="Arial" w:hAnsi="Arial"/>
          <w:sz w:val="18"/>
          <w:szCs w:val="18"/>
          <w:color w:val="auto"/>
        </w:rPr>
        <w:t>No event or condition of a type described in Section 3(g) hereof shall have occurred or shall exist, which event</w:t>
      </w:r>
      <w:r>
        <w:rPr>
          <w:rFonts w:ascii="Arial" w:cs="Arial" w:eastAsia="Arial" w:hAnsi="Arial"/>
          <w:sz w:val="18"/>
          <w:szCs w:val="18"/>
          <w:i w:val="1"/>
          <w:iCs w:val="1"/>
          <w:color w:val="auto"/>
        </w:rPr>
        <w:t xml:space="preserve"> </w:t>
      </w:r>
      <w:r>
        <w:rPr>
          <w:rFonts w:ascii="Arial" w:cs="Arial" w:eastAsia="Arial" w:hAnsi="Arial"/>
          <w:sz w:val="18"/>
          <w:szCs w:val="18"/>
          <w:color w:val="auto"/>
        </w:rPr>
        <w:t>or condition is not described in each of the Time of Sale Information (excluding any amendment or supplement thereto) and the Prospectus (excluding any amendment or supplement thereto) the effect of which in the judgment of the Representative makes it impracticable or inadvisable to proceed with the offering, sale or delivery of the Securities on the terms and in the manner contemplated by this Agreement, the Time of Sale Information and the Prospectus.</w:t>
      </w:r>
    </w:p>
    <w:p>
      <w:pPr>
        <w:spacing w:after="0" w:line="187" w:lineRule="exact"/>
        <w:rPr>
          <w:rFonts w:ascii="Arial" w:cs="Arial" w:eastAsia="Arial" w:hAnsi="Arial"/>
          <w:sz w:val="18"/>
          <w:szCs w:val="18"/>
          <w:color w:val="auto"/>
        </w:rPr>
      </w:pPr>
    </w:p>
    <w:p>
      <w:pPr>
        <w:ind w:right="60" w:firstLine="436"/>
        <w:spacing w:after="0" w:line="296" w:lineRule="auto"/>
        <w:tabs>
          <w:tab w:leader="none" w:pos="685" w:val="left"/>
        </w:tabs>
        <w:numPr>
          <w:ilvl w:val="0"/>
          <w:numId w:val="26"/>
        </w:numPr>
        <w:rPr>
          <w:rFonts w:ascii="Arial" w:cs="Arial" w:eastAsia="Arial" w:hAnsi="Arial"/>
          <w:sz w:val="16"/>
          <w:szCs w:val="16"/>
          <w:color w:val="auto"/>
        </w:rPr>
      </w:pPr>
      <w:r>
        <w:rPr>
          <w:rFonts w:ascii="Arial" w:cs="Arial" w:eastAsia="Arial" w:hAnsi="Arial"/>
          <w:sz w:val="16"/>
          <w:szCs w:val="16"/>
          <w:i w:val="1"/>
          <w:iCs w:val="1"/>
          <w:color w:val="auto"/>
        </w:rPr>
        <w:t xml:space="preserve">Officer’s Certificate. </w:t>
      </w:r>
      <w:r>
        <w:rPr>
          <w:rFonts w:ascii="Arial" w:cs="Arial" w:eastAsia="Arial" w:hAnsi="Arial"/>
          <w:sz w:val="16"/>
          <w:szCs w:val="16"/>
          <w:color w:val="auto"/>
        </w:rPr>
        <w:t>The Representatives shall have received on and as of the Closing Date a certificate of an executive officer of the</w:t>
      </w:r>
      <w:r>
        <w:rPr>
          <w:rFonts w:ascii="Arial" w:cs="Arial" w:eastAsia="Arial" w:hAnsi="Arial"/>
          <w:sz w:val="16"/>
          <w:szCs w:val="16"/>
          <w:i w:val="1"/>
          <w:iCs w:val="1"/>
          <w:color w:val="auto"/>
        </w:rPr>
        <w:t xml:space="preserve"> </w:t>
      </w:r>
      <w:r>
        <w:rPr>
          <w:rFonts w:ascii="Arial" w:cs="Arial" w:eastAsia="Arial" w:hAnsi="Arial"/>
          <w:sz w:val="16"/>
          <w:szCs w:val="16"/>
          <w:color w:val="auto"/>
        </w:rPr>
        <w:t>Company who has specific knowledge of the Company’s financial matters and is satisfactory to the Representatives (i) confirming that such officer has carefully reviewed the Registration Statement, the Time of Sale Information and the Prospectus, (ii) confirming that the representations and warranties of the Company in this Agreement are true and correct and that the Company has complied with all agreements and satisfied all conditions on its part to be performed or satisfied hereunder at or prior to the Closing Date and (iii) confirming as to such matters set forth in paragraphs (a), (c) and (d) above.</w:t>
      </w:r>
    </w:p>
    <w:p>
      <w:pPr>
        <w:spacing w:after="0" w:line="161" w:lineRule="exact"/>
        <w:rPr>
          <w:rFonts w:ascii="Arial" w:cs="Arial" w:eastAsia="Arial" w:hAnsi="Arial"/>
          <w:sz w:val="16"/>
          <w:szCs w:val="16"/>
          <w:color w:val="auto"/>
        </w:rPr>
      </w:pPr>
    </w:p>
    <w:p>
      <w:pPr>
        <w:ind w:right="140" w:firstLine="436"/>
        <w:spacing w:after="0" w:line="296" w:lineRule="auto"/>
        <w:tabs>
          <w:tab w:leader="none" w:pos="665" w:val="left"/>
        </w:tabs>
        <w:numPr>
          <w:ilvl w:val="0"/>
          <w:numId w:val="26"/>
        </w:numPr>
        <w:rPr>
          <w:rFonts w:ascii="Arial" w:cs="Arial" w:eastAsia="Arial" w:hAnsi="Arial"/>
          <w:sz w:val="16"/>
          <w:szCs w:val="16"/>
          <w:color w:val="auto"/>
        </w:rPr>
      </w:pPr>
      <w:r>
        <w:rPr>
          <w:rFonts w:ascii="Arial" w:cs="Arial" w:eastAsia="Arial" w:hAnsi="Arial"/>
          <w:sz w:val="16"/>
          <w:szCs w:val="16"/>
          <w:i w:val="1"/>
          <w:iCs w:val="1"/>
          <w:color w:val="auto"/>
        </w:rPr>
        <w:t xml:space="preserve">Comfort Letters. </w:t>
      </w:r>
      <w:r>
        <w:rPr>
          <w:rFonts w:ascii="Arial" w:cs="Arial" w:eastAsia="Arial" w:hAnsi="Arial"/>
          <w:sz w:val="16"/>
          <w:szCs w:val="16"/>
          <w:color w:val="auto"/>
        </w:rPr>
        <w:t>Deloitte &amp; Touche LLP shall have furnished to the Representatives letters, dated the respective dates of delivery thereof and</w:t>
      </w:r>
      <w:r>
        <w:rPr>
          <w:rFonts w:ascii="Arial" w:cs="Arial" w:eastAsia="Arial" w:hAnsi="Arial"/>
          <w:sz w:val="16"/>
          <w:szCs w:val="16"/>
          <w:i w:val="1"/>
          <w:iCs w:val="1"/>
          <w:color w:val="auto"/>
        </w:rPr>
        <w:t xml:space="preserve"> </w:t>
      </w:r>
      <w:r>
        <w:rPr>
          <w:rFonts w:ascii="Arial" w:cs="Arial" w:eastAsia="Arial" w:hAnsi="Arial"/>
          <w:sz w:val="16"/>
          <w:szCs w:val="16"/>
          <w:color w:val="auto"/>
        </w:rPr>
        <w:t xml:space="preserve">addressed to the Underwriters, in form and substance reasonably satisfactory to the Representatives, containing statements and information of the type customarily included in accountants’ “comfort letters” to underwriters with respect to the financial statements and certain financial information contained or incorporated by reference in each of the Registration Statement, the Time of Sale Information and the Prospectus; </w:t>
      </w:r>
      <w:r>
        <w:rPr>
          <w:rFonts w:ascii="Arial" w:cs="Arial" w:eastAsia="Arial" w:hAnsi="Arial"/>
          <w:sz w:val="16"/>
          <w:szCs w:val="16"/>
          <w:u w:val="single" w:color="auto"/>
          <w:color w:val="auto"/>
        </w:rPr>
        <w:t>provided</w:t>
      </w:r>
      <w:r>
        <w:rPr>
          <w:rFonts w:ascii="Arial" w:cs="Arial" w:eastAsia="Arial" w:hAnsi="Arial"/>
          <w:sz w:val="16"/>
          <w:szCs w:val="16"/>
          <w:color w:val="auto"/>
        </w:rPr>
        <w:t xml:space="preserve"> that the letter delivered on the Closing Date shall use a “cut-off” date no more than two business days prior to the Closing Date.</w:t>
      </w:r>
    </w:p>
    <w:p>
      <w:pPr>
        <w:spacing w:after="0" w:line="161" w:lineRule="exact"/>
        <w:rPr>
          <w:rFonts w:ascii="Arial" w:cs="Arial" w:eastAsia="Arial" w:hAnsi="Arial"/>
          <w:sz w:val="16"/>
          <w:szCs w:val="16"/>
          <w:color w:val="auto"/>
        </w:rPr>
      </w:pPr>
    </w:p>
    <w:p>
      <w:pPr>
        <w:ind w:firstLine="436"/>
        <w:spacing w:after="0" w:line="263" w:lineRule="auto"/>
        <w:tabs>
          <w:tab w:leader="none" w:pos="695"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 xml:space="preserve">Opinion and 10b-5 Statement of Counsel for the Company. </w:t>
      </w:r>
      <w:r>
        <w:rPr>
          <w:rFonts w:ascii="Arial" w:cs="Arial" w:eastAsia="Arial" w:hAnsi="Arial"/>
          <w:sz w:val="18"/>
          <w:szCs w:val="18"/>
          <w:color w:val="auto"/>
        </w:rPr>
        <w:t>Weil, Gotshal &amp; Manges LLP, counsel for the Company, shall have furnished to the</w:t>
      </w:r>
      <w:r>
        <w:rPr>
          <w:rFonts w:ascii="Arial" w:cs="Arial" w:eastAsia="Arial" w:hAnsi="Arial"/>
          <w:sz w:val="18"/>
          <w:szCs w:val="18"/>
          <w:i w:val="1"/>
          <w:iCs w:val="1"/>
          <w:color w:val="auto"/>
        </w:rPr>
        <w:t xml:space="preserve"> </w:t>
      </w:r>
      <w:r>
        <w:rPr>
          <w:rFonts w:ascii="Arial" w:cs="Arial" w:eastAsia="Arial" w:hAnsi="Arial"/>
          <w:sz w:val="18"/>
          <w:szCs w:val="18"/>
          <w:color w:val="auto"/>
        </w:rPr>
        <w:t>Representatives, at the request of the Company, its written opinion and 10b-5 statement, dated the Closing Date and addressed to the Underwriters, in form and substance reasonably satisfactory to the Representatives.</w:t>
      </w:r>
    </w:p>
    <w:p>
      <w:pPr>
        <w:spacing w:after="0" w:line="183" w:lineRule="exact"/>
        <w:rPr>
          <w:rFonts w:ascii="Arial" w:cs="Arial" w:eastAsia="Arial" w:hAnsi="Arial"/>
          <w:sz w:val="18"/>
          <w:szCs w:val="18"/>
          <w:color w:val="auto"/>
        </w:rPr>
      </w:pPr>
    </w:p>
    <w:p>
      <w:pPr>
        <w:ind w:right="20" w:firstLine="436"/>
        <w:spacing w:after="0" w:line="259" w:lineRule="auto"/>
        <w:tabs>
          <w:tab w:leader="none" w:pos="695" w:val="left"/>
        </w:tabs>
        <w:numPr>
          <w:ilvl w:val="0"/>
          <w:numId w:val="26"/>
        </w:numPr>
        <w:rPr>
          <w:rFonts w:ascii="Arial" w:cs="Arial" w:eastAsia="Arial" w:hAnsi="Arial"/>
          <w:sz w:val="18"/>
          <w:szCs w:val="18"/>
          <w:color w:val="auto"/>
        </w:rPr>
      </w:pPr>
      <w:r>
        <w:rPr>
          <w:rFonts w:ascii="Arial" w:cs="Arial" w:eastAsia="Arial" w:hAnsi="Arial"/>
          <w:sz w:val="18"/>
          <w:szCs w:val="18"/>
          <w:i w:val="1"/>
          <w:iCs w:val="1"/>
          <w:color w:val="auto"/>
        </w:rPr>
        <w:t xml:space="preserve">Opinion and 10b-5 Statement of Counsel for the Underwriters. </w:t>
      </w:r>
      <w:r>
        <w:rPr>
          <w:rFonts w:ascii="Arial" w:cs="Arial" w:eastAsia="Arial" w:hAnsi="Arial"/>
          <w:sz w:val="18"/>
          <w:szCs w:val="18"/>
          <w:color w:val="auto"/>
        </w:rPr>
        <w:t>The Representatives shall have received on and as of the Closing Date an</w:t>
      </w:r>
      <w:r>
        <w:rPr>
          <w:rFonts w:ascii="Arial" w:cs="Arial" w:eastAsia="Arial" w:hAnsi="Arial"/>
          <w:sz w:val="18"/>
          <w:szCs w:val="18"/>
          <w:i w:val="1"/>
          <w:iCs w:val="1"/>
          <w:color w:val="auto"/>
        </w:rPr>
        <w:t xml:space="preserve"> </w:t>
      </w:r>
      <w:r>
        <w:rPr>
          <w:rFonts w:ascii="Arial" w:cs="Arial" w:eastAsia="Arial" w:hAnsi="Arial"/>
          <w:sz w:val="18"/>
          <w:szCs w:val="18"/>
          <w:color w:val="auto"/>
        </w:rPr>
        <w:t>opinion and 10b-5 statement, addressed to the Underwriters, of Davis Polk &amp; Wardwell LLP, counsel for the Underwriters, with respect to such matters as the Representatives may reasonably request, and such counsel shall have received such documents and information as they may reasonably request to enable them to pass upon such matters.</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40" w:top="274" w:right="479" w:bottom="1440" w:gutter="0" w:footer="0" w:header="0"/>
        </w:sectPr>
      </w:pPr>
    </w:p>
    <w:bookmarkStart w:id="23" w:name="page24"/>
    <w:bookmarkEnd w:id="23"/>
    <w:p>
      <w:pPr>
        <w:ind w:left="4" w:right="80" w:firstLine="436"/>
        <w:spacing w:after="0" w:line="259" w:lineRule="auto"/>
        <w:tabs>
          <w:tab w:leader="none" w:pos="659"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No Legal Impediment to Issuance. </w:t>
      </w:r>
      <w:r>
        <w:rPr>
          <w:rFonts w:ascii="Arial" w:cs="Arial" w:eastAsia="Arial" w:hAnsi="Arial"/>
          <w:sz w:val="18"/>
          <w:szCs w:val="18"/>
          <w:color w:val="auto"/>
        </w:rPr>
        <w:t>No action shall have been taken and no statute, rule, regulation or order shall have been enacted, adopted or</w:t>
      </w:r>
      <w:r>
        <w:rPr>
          <w:rFonts w:ascii="Arial" w:cs="Arial" w:eastAsia="Arial" w:hAnsi="Arial"/>
          <w:sz w:val="18"/>
          <w:szCs w:val="18"/>
          <w:i w:val="1"/>
          <w:iCs w:val="1"/>
          <w:color w:val="auto"/>
        </w:rPr>
        <w:t xml:space="preserve"> </w:t>
      </w:r>
      <w:r>
        <w:rPr>
          <w:rFonts w:ascii="Arial" w:cs="Arial" w:eastAsia="Arial" w:hAnsi="Arial"/>
          <w:sz w:val="18"/>
          <w:szCs w:val="18"/>
          <w:color w:val="auto"/>
        </w:rPr>
        <w:t>issued by any federal, state or foreign governmental or regulatory authority that would, as of the Closing Date, prevent the issuance or sale of the Securities; and no injunction or order of any federal, state or foreign court shall have been issued that would, as of the Closing Date, prevent the issuance or sale of the Securities.</w:t>
      </w:r>
    </w:p>
    <w:p>
      <w:pPr>
        <w:spacing w:after="0" w:line="186" w:lineRule="exact"/>
        <w:rPr>
          <w:rFonts w:ascii="Arial" w:cs="Arial" w:eastAsia="Arial" w:hAnsi="Arial"/>
          <w:sz w:val="18"/>
          <w:szCs w:val="18"/>
          <w:color w:val="auto"/>
        </w:rPr>
      </w:pPr>
    </w:p>
    <w:p>
      <w:pPr>
        <w:ind w:left="4" w:right="180" w:firstLine="436"/>
        <w:spacing w:after="0" w:line="259" w:lineRule="auto"/>
        <w:tabs>
          <w:tab w:leader="none" w:pos="659"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Good Standing</w:t>
      </w:r>
      <w:r>
        <w:rPr>
          <w:rFonts w:ascii="Arial" w:cs="Arial" w:eastAsia="Arial" w:hAnsi="Arial"/>
          <w:sz w:val="18"/>
          <w:szCs w:val="18"/>
          <w:color w:val="auto"/>
        </w:rPr>
        <w:t>. The Representatives shall have received on and as of the Closing Date satisfactory evidence of the good standing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and each of its significant subsidiaries listed on Schedule 2 hereto in their respective jurisdictions of organization and their good standing in such other jurisdictions as the Representatives may reasonably request, in each case in writing or any standard form of telecommunication, from the appropriate governmental authorities of such jurisdictions.</w:t>
      </w:r>
    </w:p>
    <w:p>
      <w:pPr>
        <w:spacing w:after="0" w:line="186" w:lineRule="exact"/>
        <w:rPr>
          <w:rFonts w:ascii="Arial" w:cs="Arial" w:eastAsia="Arial" w:hAnsi="Arial"/>
          <w:sz w:val="18"/>
          <w:szCs w:val="18"/>
          <w:color w:val="auto"/>
        </w:rPr>
      </w:pPr>
    </w:p>
    <w:p>
      <w:pPr>
        <w:ind w:left="704" w:hanging="264"/>
        <w:spacing w:after="0"/>
        <w:tabs>
          <w:tab w:leader="none" w:pos="704"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DTC</w:t>
      </w:r>
      <w:r>
        <w:rPr>
          <w:rFonts w:ascii="Arial" w:cs="Arial" w:eastAsia="Arial" w:hAnsi="Arial"/>
          <w:sz w:val="18"/>
          <w:szCs w:val="18"/>
          <w:color w:val="auto"/>
        </w:rPr>
        <w:t>. The Securities shall be eligible for clearance and settlement through DTC.</w:t>
      </w:r>
    </w:p>
    <w:p>
      <w:pPr>
        <w:spacing w:after="0" w:line="225" w:lineRule="exact"/>
        <w:rPr>
          <w:rFonts w:ascii="Arial" w:cs="Arial" w:eastAsia="Arial" w:hAnsi="Arial"/>
          <w:sz w:val="18"/>
          <w:szCs w:val="18"/>
          <w:color w:val="auto"/>
        </w:rPr>
      </w:pPr>
    </w:p>
    <w:p>
      <w:pPr>
        <w:ind w:left="4" w:right="260" w:firstLine="436"/>
        <w:spacing w:after="0" w:line="263" w:lineRule="auto"/>
        <w:tabs>
          <w:tab w:leader="none" w:pos="659"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Indenture and Securities</w:t>
      </w:r>
      <w:r>
        <w:rPr>
          <w:rFonts w:ascii="Arial" w:cs="Arial" w:eastAsia="Arial" w:hAnsi="Arial"/>
          <w:sz w:val="18"/>
          <w:szCs w:val="18"/>
          <w:color w:val="auto"/>
        </w:rPr>
        <w:t>. The Third Supplemental Indenture shall have been duly executed and delivered by a duly authorized officer of the</w:t>
      </w:r>
      <w:r>
        <w:rPr>
          <w:rFonts w:ascii="Arial" w:cs="Arial" w:eastAsia="Arial" w:hAnsi="Arial"/>
          <w:sz w:val="18"/>
          <w:szCs w:val="18"/>
          <w:i w:val="1"/>
          <w:iCs w:val="1"/>
          <w:color w:val="auto"/>
        </w:rPr>
        <w:t xml:space="preserve"> </w:t>
      </w:r>
      <w:r>
        <w:rPr>
          <w:rFonts w:ascii="Arial" w:cs="Arial" w:eastAsia="Arial" w:hAnsi="Arial"/>
          <w:sz w:val="18"/>
          <w:szCs w:val="18"/>
          <w:color w:val="auto"/>
        </w:rPr>
        <w:t>Company and the Trustee, and the Securities shall have been duly executed and delivered by a duly authorized officer of the Company and duly authenticated by the Trustee.</w:t>
      </w:r>
    </w:p>
    <w:p>
      <w:pPr>
        <w:spacing w:after="0" w:line="183" w:lineRule="exact"/>
        <w:rPr>
          <w:rFonts w:ascii="Arial" w:cs="Arial" w:eastAsia="Arial" w:hAnsi="Arial"/>
          <w:sz w:val="18"/>
          <w:szCs w:val="18"/>
          <w:color w:val="auto"/>
        </w:rPr>
      </w:pPr>
    </w:p>
    <w:p>
      <w:pPr>
        <w:ind w:left="4" w:right="60" w:firstLine="436"/>
        <w:spacing w:after="0" w:line="277" w:lineRule="auto"/>
        <w:tabs>
          <w:tab w:leader="none" w:pos="749" w:val="left"/>
        </w:tabs>
        <w:numPr>
          <w:ilvl w:val="0"/>
          <w:numId w:val="27"/>
        </w:numPr>
        <w:rPr>
          <w:rFonts w:ascii="Arial" w:cs="Arial" w:eastAsia="Arial" w:hAnsi="Arial"/>
          <w:sz w:val="18"/>
          <w:szCs w:val="18"/>
          <w:color w:val="auto"/>
        </w:rPr>
      </w:pPr>
      <w:r>
        <w:rPr>
          <w:rFonts w:ascii="Arial" w:cs="Arial" w:eastAsia="Arial" w:hAnsi="Arial"/>
          <w:sz w:val="18"/>
          <w:szCs w:val="18"/>
          <w:i w:val="1"/>
          <w:iCs w:val="1"/>
          <w:color w:val="auto"/>
        </w:rPr>
        <w:t xml:space="preserve">Additional Documents. </w:t>
      </w:r>
      <w:r>
        <w:rPr>
          <w:rFonts w:ascii="Arial" w:cs="Arial" w:eastAsia="Arial" w:hAnsi="Arial"/>
          <w:sz w:val="18"/>
          <w:szCs w:val="18"/>
          <w:color w:val="auto"/>
        </w:rPr>
        <w:t>On or prior to the Closing Date, the Company shall have furnished to the Representatives such further certificates and</w:t>
      </w:r>
      <w:r>
        <w:rPr>
          <w:rFonts w:ascii="Arial" w:cs="Arial" w:eastAsia="Arial" w:hAnsi="Arial"/>
          <w:sz w:val="18"/>
          <w:szCs w:val="18"/>
          <w:i w:val="1"/>
          <w:iCs w:val="1"/>
          <w:color w:val="auto"/>
        </w:rPr>
        <w:t xml:space="preserve"> </w:t>
      </w:r>
      <w:r>
        <w:rPr>
          <w:rFonts w:ascii="Arial" w:cs="Arial" w:eastAsia="Arial" w:hAnsi="Arial"/>
          <w:sz w:val="18"/>
          <w:szCs w:val="18"/>
          <w:color w:val="auto"/>
        </w:rPr>
        <w:t>documents as the Representatives may reasonably request.</w:t>
      </w:r>
    </w:p>
    <w:p>
      <w:pPr>
        <w:spacing w:after="0" w:line="170" w:lineRule="exact"/>
        <w:rPr>
          <w:sz w:val="20"/>
          <w:szCs w:val="20"/>
          <w:color w:val="auto"/>
        </w:rPr>
      </w:pPr>
    </w:p>
    <w:p>
      <w:pPr>
        <w:ind w:left="4" w:right="380" w:firstLine="440"/>
        <w:spacing w:after="0" w:line="277" w:lineRule="auto"/>
        <w:rPr>
          <w:sz w:val="20"/>
          <w:szCs w:val="20"/>
          <w:color w:val="auto"/>
        </w:rPr>
      </w:pPr>
      <w:r>
        <w:rPr>
          <w:rFonts w:ascii="Arial" w:cs="Arial" w:eastAsia="Arial" w:hAnsi="Arial"/>
          <w:sz w:val="18"/>
          <w:szCs w:val="18"/>
          <w:color w:val="auto"/>
        </w:rPr>
        <w:t>All opinions, letters, certificates and evidence mentioned above or elsewhere in this Agreement shall be deemed to be in compliance with the provisions hereof only if they are in form and substance reasonably satisfactory to counsel for the Underwriters.</w:t>
      </w:r>
    </w:p>
    <w:p>
      <w:pPr>
        <w:spacing w:after="0" w:line="170" w:lineRule="exact"/>
        <w:rPr>
          <w:sz w:val="20"/>
          <w:szCs w:val="20"/>
          <w:color w:val="auto"/>
        </w:rPr>
      </w:pPr>
    </w:p>
    <w:p>
      <w:pPr>
        <w:ind w:left="624" w:hanging="184"/>
        <w:spacing w:after="0"/>
        <w:tabs>
          <w:tab w:leader="none" w:pos="624" w:val="left"/>
        </w:tabs>
        <w:numPr>
          <w:ilvl w:val="0"/>
          <w:numId w:val="28"/>
        </w:numPr>
        <w:rPr>
          <w:rFonts w:ascii="Arial" w:cs="Arial" w:eastAsia="Arial" w:hAnsi="Arial"/>
          <w:sz w:val="18"/>
          <w:szCs w:val="18"/>
          <w:color w:val="auto"/>
        </w:rPr>
      </w:pPr>
      <w:r>
        <w:rPr>
          <w:rFonts w:ascii="Arial" w:cs="Arial" w:eastAsia="Arial" w:hAnsi="Arial"/>
          <w:sz w:val="18"/>
          <w:szCs w:val="18"/>
          <w:u w:val="single" w:color="auto"/>
          <w:color w:val="auto"/>
        </w:rPr>
        <w:t>Indemnification and Contribution</w:t>
      </w:r>
      <w:r>
        <w:rPr>
          <w:rFonts w:ascii="Arial" w:cs="Arial" w:eastAsia="Arial" w:hAnsi="Arial"/>
          <w:sz w:val="18"/>
          <w:szCs w:val="18"/>
          <w:color w:val="auto"/>
        </w:rPr>
        <w:t>.</w:t>
      </w:r>
    </w:p>
    <w:p>
      <w:pPr>
        <w:spacing w:after="0" w:line="225" w:lineRule="exact"/>
        <w:rPr>
          <w:sz w:val="20"/>
          <w:szCs w:val="20"/>
          <w:color w:val="auto"/>
        </w:rPr>
      </w:pPr>
    </w:p>
    <w:p>
      <w:pPr>
        <w:ind w:left="4" w:right="60" w:firstLine="436"/>
        <w:spacing w:after="0" w:line="284" w:lineRule="auto"/>
        <w:tabs>
          <w:tab w:leader="none" w:pos="689" w:val="left"/>
        </w:tabs>
        <w:numPr>
          <w:ilvl w:val="1"/>
          <w:numId w:val="29"/>
        </w:numPr>
        <w:rPr>
          <w:rFonts w:ascii="Arial" w:cs="Arial" w:eastAsia="Arial" w:hAnsi="Arial"/>
          <w:sz w:val="16"/>
          <w:szCs w:val="16"/>
          <w:color w:val="auto"/>
        </w:rPr>
      </w:pPr>
      <w:r>
        <w:rPr>
          <w:rFonts w:ascii="Arial" w:cs="Arial" w:eastAsia="Arial" w:hAnsi="Arial"/>
          <w:sz w:val="16"/>
          <w:szCs w:val="16"/>
          <w:i w:val="1"/>
          <w:iCs w:val="1"/>
          <w:color w:val="auto"/>
        </w:rPr>
        <w:t xml:space="preserve">Indemnification of the Underwriters. </w:t>
      </w:r>
      <w:r>
        <w:rPr>
          <w:rFonts w:ascii="Arial" w:cs="Arial" w:eastAsia="Arial" w:hAnsi="Arial"/>
          <w:sz w:val="16"/>
          <w:szCs w:val="16"/>
          <w:color w:val="auto"/>
        </w:rPr>
        <w:t>The Company agrees to indemnify and hold harmless each Underwriter, its affiliates, directors and</w:t>
      </w:r>
      <w:r>
        <w:rPr>
          <w:rFonts w:ascii="Arial" w:cs="Arial" w:eastAsia="Arial" w:hAnsi="Arial"/>
          <w:sz w:val="16"/>
          <w:szCs w:val="16"/>
          <w:i w:val="1"/>
          <w:iCs w:val="1"/>
          <w:color w:val="auto"/>
        </w:rPr>
        <w:t xml:space="preserve"> </w:t>
      </w:r>
      <w:r>
        <w:rPr>
          <w:rFonts w:ascii="Arial" w:cs="Arial" w:eastAsia="Arial" w:hAnsi="Arial"/>
          <w:sz w:val="16"/>
          <w:szCs w:val="16"/>
          <w:color w:val="auto"/>
        </w:rPr>
        <w:t>officers and each person, if any, who controls such Underwriter within the meaning of Section 15 of the Securities Act or Section 20 of the Exchange Act, from and against any and all losses, claims, damages and liabilities (including, without limitation, legal fees and other expenses incurred in connection with any suit, action or proceeding or any claim asserted, as such fees and expenses are incurred), joint or several, that arise out of, or are based upon, (i) any untrue statement or alleged untrue statement of a material fact contained in the Registration Statement or caused by any omission or alleged omission to state therein a material fact required to be stated therein or necessary in order to make the statements therein, not misleading, or</w:t>
      </w:r>
    </w:p>
    <w:p>
      <w:pPr>
        <w:spacing w:after="0" w:line="4" w:lineRule="exact"/>
        <w:rPr>
          <w:rFonts w:ascii="Arial" w:cs="Arial" w:eastAsia="Arial" w:hAnsi="Arial"/>
          <w:sz w:val="16"/>
          <w:szCs w:val="16"/>
          <w:color w:val="auto"/>
        </w:rPr>
      </w:pPr>
    </w:p>
    <w:p>
      <w:pPr>
        <w:ind w:left="4" w:hanging="4"/>
        <w:spacing w:after="0" w:line="253" w:lineRule="auto"/>
        <w:tabs>
          <w:tab w:leader="none" w:pos="269" w:val="left"/>
        </w:tabs>
        <w:numPr>
          <w:ilvl w:val="0"/>
          <w:numId w:val="30"/>
        </w:numPr>
        <w:rPr>
          <w:rFonts w:ascii="Arial" w:cs="Arial" w:eastAsia="Arial" w:hAnsi="Arial"/>
          <w:sz w:val="18"/>
          <w:szCs w:val="18"/>
          <w:color w:val="auto"/>
        </w:rPr>
      </w:pPr>
      <w:r>
        <w:rPr>
          <w:rFonts w:ascii="Arial" w:cs="Arial" w:eastAsia="Arial" w:hAnsi="Arial"/>
          <w:sz w:val="18"/>
          <w:szCs w:val="18"/>
          <w:color w:val="auto"/>
        </w:rPr>
        <w:t>any untrue statement or alleged untrue statement of a material fact contained in the Prospectus (or any amendment or supplement thereto), any Issuer Free Writing Prospectus or any Time of Sale Information, or caused by any omission or alleged omission to state therein a material fact necessary in order to make the statements therein, in the light of the circumstances under which they were made, not misleading, in each case except insofar as such losses, claims, damages or liabilities arise out of, or are based upon, any untrue statement or omission or alleged untrue statement or omission made in reliance upon and in conformity with any Underwriter Information.</w:t>
      </w:r>
    </w:p>
    <w:p>
      <w:pPr>
        <w:spacing w:after="0" w:line="123" w:lineRule="exact"/>
        <w:rPr>
          <w:sz w:val="20"/>
          <w:szCs w:val="20"/>
          <w:color w:val="auto"/>
        </w:rPr>
      </w:pPr>
    </w:p>
    <w:p>
      <w:pPr>
        <w:jc w:val="center"/>
        <w:ind w:right="-23"/>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0984"/>
          </w:cols>
          <w:pgMar w:left="436" w:top="274" w:right="479" w:bottom="1440" w:gutter="0" w:footer="0" w:header="0"/>
        </w:sectPr>
      </w:pPr>
    </w:p>
    <w:bookmarkStart w:id="24" w:name="page25"/>
    <w:bookmarkEnd w:id="24"/>
    <w:p>
      <w:pPr>
        <w:ind w:firstLine="436"/>
        <w:spacing w:after="0" w:line="253" w:lineRule="auto"/>
        <w:tabs>
          <w:tab w:leader="none" w:pos="695" w:val="left"/>
        </w:tabs>
        <w:numPr>
          <w:ilvl w:val="0"/>
          <w:numId w:val="31"/>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Indemnification of the Company. </w:t>
      </w:r>
      <w:r>
        <w:rPr>
          <w:rFonts w:ascii="Arial" w:cs="Arial" w:eastAsia="Arial" w:hAnsi="Arial"/>
          <w:sz w:val="18"/>
          <w:szCs w:val="18"/>
          <w:color w:val="auto"/>
        </w:rPr>
        <w:t>Each Underwriter agrees, severally and not jointly, to indemnify and hold harmless the Company, its directors</w:t>
      </w:r>
      <w:r>
        <w:rPr>
          <w:rFonts w:ascii="Arial" w:cs="Arial" w:eastAsia="Arial" w:hAnsi="Arial"/>
          <w:sz w:val="18"/>
          <w:szCs w:val="18"/>
          <w:i w:val="1"/>
          <w:iCs w:val="1"/>
          <w:color w:val="auto"/>
        </w:rPr>
        <w:t xml:space="preserve"> </w:t>
      </w:r>
      <w:r>
        <w:rPr>
          <w:rFonts w:ascii="Arial" w:cs="Arial" w:eastAsia="Arial" w:hAnsi="Arial"/>
          <w:sz w:val="18"/>
          <w:szCs w:val="18"/>
          <w:color w:val="auto"/>
        </w:rPr>
        <w:t>and officers who signed the Registration Statement and each person, if any, who controls the Company within the meaning of Section 15 of the Securities Act or Section 20 of the Exchange Act to the same extent as the indemnity set forth in paragraph (a) above, but only with respect to any losses, claims, damages or liabilities that arise out of, or are based upon, any untrue statement or omission or alleged untrue statement or omission made in reliance upon and in conformity with Underwriter Information furnished to the Company in writing by such Underwriter through the Representatives expressly for use in the Registration Statement, the Prospectus (or any amendment or supplement thereto), any Issuer Free Writing Prospectus or any Time of Sale Information, it being understood and agreed that the only such information furnished by any Underwriter consists of the following information in the Preliminary Prospectus and the Prospectus under the caption “Underwriting; Conflicts of Interest”: the information contained in the third paragraph, the information in the second and third sentences of the sixth paragraph and the information in each of the seventh, ninth and tenth paragraphs.</w:t>
      </w:r>
    </w:p>
    <w:p>
      <w:pPr>
        <w:spacing w:after="0" w:line="194" w:lineRule="exact"/>
        <w:rPr>
          <w:rFonts w:ascii="Arial" w:cs="Arial" w:eastAsia="Arial" w:hAnsi="Arial"/>
          <w:sz w:val="18"/>
          <w:szCs w:val="18"/>
          <w:color w:val="auto"/>
        </w:rPr>
      </w:pPr>
    </w:p>
    <w:p>
      <w:pPr>
        <w:ind w:firstLine="436"/>
        <w:spacing w:after="0" w:line="268" w:lineRule="auto"/>
        <w:tabs>
          <w:tab w:leader="none" w:pos="685" w:val="left"/>
        </w:tabs>
        <w:numPr>
          <w:ilvl w:val="0"/>
          <w:numId w:val="31"/>
        </w:numPr>
        <w:rPr>
          <w:rFonts w:ascii="Arial" w:cs="Arial" w:eastAsia="Arial" w:hAnsi="Arial"/>
          <w:sz w:val="17"/>
          <w:szCs w:val="17"/>
          <w:color w:val="auto"/>
        </w:rPr>
      </w:pPr>
      <w:r>
        <w:rPr>
          <w:rFonts w:ascii="Arial" w:cs="Arial" w:eastAsia="Arial" w:hAnsi="Arial"/>
          <w:sz w:val="17"/>
          <w:szCs w:val="17"/>
          <w:i w:val="1"/>
          <w:iCs w:val="1"/>
          <w:color w:val="auto"/>
        </w:rPr>
        <w:t xml:space="preserve">Notice and Procedures. </w:t>
      </w:r>
      <w:r>
        <w:rPr>
          <w:rFonts w:ascii="Arial" w:cs="Arial" w:eastAsia="Arial" w:hAnsi="Arial"/>
          <w:sz w:val="17"/>
          <w:szCs w:val="17"/>
          <w:color w:val="auto"/>
        </w:rPr>
        <w:t>If any suit, action, proceeding (including any governmental or regulatory investigation), claim or demand shall be</w:t>
      </w:r>
      <w:r>
        <w:rPr>
          <w:rFonts w:ascii="Arial" w:cs="Arial" w:eastAsia="Arial" w:hAnsi="Arial"/>
          <w:sz w:val="17"/>
          <w:szCs w:val="17"/>
          <w:i w:val="1"/>
          <w:iCs w:val="1"/>
          <w:color w:val="auto"/>
        </w:rPr>
        <w:t xml:space="preserve"> </w:t>
      </w:r>
      <w:r>
        <w:rPr>
          <w:rFonts w:ascii="Arial" w:cs="Arial" w:eastAsia="Arial" w:hAnsi="Arial"/>
          <w:sz w:val="17"/>
          <w:szCs w:val="17"/>
          <w:color w:val="auto"/>
        </w:rPr>
        <w:t>brought or asserted against any person in respect of which indemnification may be sought pursuant to either paragraph (a) or (b) above, such person (the “</w:t>
      </w:r>
      <w:r>
        <w:rPr>
          <w:rFonts w:ascii="Arial" w:cs="Arial" w:eastAsia="Arial" w:hAnsi="Arial"/>
          <w:sz w:val="17"/>
          <w:szCs w:val="17"/>
          <w:u w:val="single" w:color="auto"/>
          <w:color w:val="auto"/>
        </w:rPr>
        <w:t>Indemnified Person</w:t>
      </w:r>
      <w:r>
        <w:rPr>
          <w:rFonts w:ascii="Arial" w:cs="Arial" w:eastAsia="Arial" w:hAnsi="Arial"/>
          <w:sz w:val="17"/>
          <w:szCs w:val="17"/>
          <w:color w:val="auto"/>
        </w:rPr>
        <w:t>”) shall promptly notify the person against whom such indemnification may be sought (the “</w:t>
      </w:r>
      <w:r>
        <w:rPr>
          <w:rFonts w:ascii="Arial" w:cs="Arial" w:eastAsia="Arial" w:hAnsi="Arial"/>
          <w:sz w:val="17"/>
          <w:szCs w:val="17"/>
          <w:u w:val="single" w:color="auto"/>
          <w:color w:val="auto"/>
        </w:rPr>
        <w:t>Indemnifying Person</w:t>
      </w:r>
      <w:r>
        <w:rPr>
          <w:rFonts w:ascii="Arial" w:cs="Arial" w:eastAsia="Arial" w:hAnsi="Arial"/>
          <w:sz w:val="17"/>
          <w:szCs w:val="17"/>
          <w:color w:val="auto"/>
        </w:rPr>
        <w:t xml:space="preserve">”) in writing;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that the failure to notify the Indemnifying Person shall not relieve it from any liability that it may have under paragraph (a) or (b) above except to the extent that it has been materially prejudiced (through the forfeiture of substantive rights or defenses) by such failure; and </w:t>
      </w:r>
      <w:r>
        <w:rPr>
          <w:rFonts w:ascii="Arial" w:cs="Arial" w:eastAsia="Arial" w:hAnsi="Arial"/>
          <w:sz w:val="17"/>
          <w:szCs w:val="17"/>
          <w:u w:val="single" w:color="auto"/>
          <w:color w:val="auto"/>
        </w:rPr>
        <w:t>provided</w:t>
      </w:r>
      <w:r>
        <w:rPr>
          <w:rFonts w:ascii="Arial" w:cs="Arial" w:eastAsia="Arial" w:hAnsi="Arial"/>
          <w:sz w:val="17"/>
          <w:szCs w:val="17"/>
          <w:color w:val="auto"/>
        </w:rPr>
        <w:t xml:space="preserve">, </w:t>
      </w:r>
      <w:r>
        <w:rPr>
          <w:rFonts w:ascii="Arial" w:cs="Arial" w:eastAsia="Arial" w:hAnsi="Arial"/>
          <w:sz w:val="17"/>
          <w:szCs w:val="17"/>
          <w:u w:val="single" w:color="auto"/>
          <w:color w:val="auto"/>
        </w:rPr>
        <w:t>further</w:t>
      </w:r>
      <w:r>
        <w:rPr>
          <w:rFonts w:ascii="Arial" w:cs="Arial" w:eastAsia="Arial" w:hAnsi="Arial"/>
          <w:sz w:val="17"/>
          <w:szCs w:val="17"/>
          <w:color w:val="auto"/>
        </w:rPr>
        <w:t>, that the failure to notify the Indemnifying Person shall not relieve it from any liability that it may have to an Indemnified Person otherwise than under paragraph (a) or (b) above. If any such proceeding shall be brought or asserted against an Indemnified Person and it shall have notified the Indemnifying Person thereof, the Indemnifying Person shall retain counsel reasonably satisfactory to the Indemnified Person (who shall not, without the consent of the Indemnified Person, be counsel to the Indemnifying Person) to represent the Indemnified Person and any others entitled to indemnification pursuant to this Section 7 that the Indemnifying Person may designate in such proceeding and shall pay the fees and expenses of such proceeding and shall pay the fees and expenses of such counsel related to such proceeding, as incurred. In any such proceeding, any Indemnified Person shall have the right to retain its own counsel, but the fees and expenses of such counsel shall be at the expense of such Indemnified Person unless (i) the Indemnifying Person and the Indemnified Person shall have mutually agreed to the contrary; (ii) the Indemnifying Person has failed within a reasonable time to retain counsel reasonably satisfactory to the Indemnified Person; (iii) the Indemnified Person shall have reasonably concluded that there may be legal defenses available to it that are different from or in addition to those available to the Indemnifying Person; or (iv) the named parties in any such proceeding (including any</w:t>
      </w:r>
    </w:p>
    <w:p>
      <w:pPr>
        <w:spacing w:after="0" w:line="112"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21</w:t>
      </w:r>
    </w:p>
    <w:p>
      <w:pPr>
        <w:sectPr>
          <w:pgSz w:w="11900" w:h="16838" w:orient="portrait"/>
          <w:cols w:equalWidth="0" w:num="1">
            <w:col w:w="11000"/>
          </w:cols>
          <w:pgMar w:left="440" w:top="274" w:right="459" w:bottom="1440" w:gutter="0" w:footer="0" w:header="0"/>
        </w:sectPr>
      </w:pPr>
    </w:p>
    <w:bookmarkStart w:id="25" w:name="page26"/>
    <w:bookmarkEnd w:id="25"/>
    <w:p>
      <w:pPr>
        <w:spacing w:after="0" w:line="285"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impleaded parties) include both the Indemnifying Person and the Indemnified Person and representation of both parties by the same counsel would be inappropriate due to actual or potential differing interests between them. It is understood and agreed that the Indemnifying Person shall not, in connection with any proceeding or related proceeding in the same jurisdiction, be liable for the fees and expenses of more than one separate firm (in addition to any local counsel) for all Indemnified Persons, and that all such fees and expenses shall be paid or reimbursed as they are incurred. Any such separate firm for any Underwriter, its affiliates, directors and officers and any control persons of such Underwriter shall be designated in writing by the Representatives, and any such separate firm for the Company, its directors and officers who signed the Registration Statement and any control persons of the Company shall be designated in writing by the Company. The Indemnifying Person shall not be liable for any settlement of any proceeding effected without its written consent, but if settled with such consent or if there be a final judgment for the plaintiff, the Indemnifying Person agrees to indemnify each Indemnified Person from and against any loss or liability by reason of such settlement or judgment. Notwithstanding the foregoing sentence, if at any time an Indemnified Person shall have requested that an Indemnifying Person reimburse the Indemnified Person for fees and expenses of counsel as contemplated by this paragraph, the Indemnifying Person shall be liable for any settlement of any proceeding effected without its written consent if (i) such settlement is entered into more than 30 days after receipt by the Indemnifying Person of such request and (ii) the Indemnifying Person shall not have reimbursed the Indemnified Person in accordance with such request prior to the date of such settlement. No Indemnifying Person shall, without the written consent of the Indemnified Person, effect any settlement of any pending or threatened proceeding in respect of which any Indemnified Person is or could have been a party and indemnification could have been sought hereunder by such Indemnified Person, unless such settlement (x) includes an unconditional release of such Indemnified Person, in form and substance reasonably satisfactory to such Indemnified Person, from all liability on claims that are the subject matter of such proceeding and (y) does not include any statement as to or any admission of fault, culpability or a failure to act by or on behalf of any Indemnified Person.</w:t>
      </w:r>
    </w:p>
    <w:p>
      <w:pPr>
        <w:spacing w:after="0" w:line="171" w:lineRule="exact"/>
        <w:rPr>
          <w:sz w:val="20"/>
          <w:szCs w:val="20"/>
          <w:color w:val="auto"/>
        </w:rPr>
      </w:pPr>
    </w:p>
    <w:p>
      <w:pPr>
        <w:ind w:firstLine="436"/>
        <w:spacing w:after="0" w:line="269" w:lineRule="auto"/>
        <w:tabs>
          <w:tab w:leader="none" w:pos="695" w:val="left"/>
        </w:tabs>
        <w:numPr>
          <w:ilvl w:val="0"/>
          <w:numId w:val="32"/>
        </w:numPr>
        <w:rPr>
          <w:rFonts w:ascii="Arial" w:cs="Arial" w:eastAsia="Arial" w:hAnsi="Arial"/>
          <w:sz w:val="17"/>
          <w:szCs w:val="17"/>
          <w:color w:val="auto"/>
        </w:rPr>
      </w:pPr>
      <w:r>
        <w:rPr>
          <w:rFonts w:ascii="Arial" w:cs="Arial" w:eastAsia="Arial" w:hAnsi="Arial"/>
          <w:sz w:val="17"/>
          <w:szCs w:val="17"/>
          <w:i w:val="1"/>
          <w:iCs w:val="1"/>
          <w:color w:val="auto"/>
        </w:rPr>
        <w:t xml:space="preserve">Contribution. </w:t>
      </w:r>
      <w:r>
        <w:rPr>
          <w:rFonts w:ascii="Arial" w:cs="Arial" w:eastAsia="Arial" w:hAnsi="Arial"/>
          <w:sz w:val="17"/>
          <w:szCs w:val="17"/>
          <w:color w:val="auto"/>
        </w:rPr>
        <w:t>If the indemnification provided for in paragraph (a) or (b) above is unavailable to an Indemnified Person or insufficient in</w:t>
      </w:r>
      <w:r>
        <w:rPr>
          <w:rFonts w:ascii="Arial" w:cs="Arial" w:eastAsia="Arial" w:hAnsi="Arial"/>
          <w:sz w:val="17"/>
          <w:szCs w:val="17"/>
          <w:i w:val="1"/>
          <w:iCs w:val="1"/>
          <w:color w:val="auto"/>
        </w:rPr>
        <w:t xml:space="preserve"> </w:t>
      </w:r>
      <w:r>
        <w:rPr>
          <w:rFonts w:ascii="Arial" w:cs="Arial" w:eastAsia="Arial" w:hAnsi="Arial"/>
          <w:sz w:val="17"/>
          <w:szCs w:val="17"/>
          <w:color w:val="auto"/>
        </w:rPr>
        <w:t>respect of any losses, claims, damages or liabilities referred to therein, then each Indemnifying Person under such paragraph, in lieu of indemnifying such Indemnified Person thereunder, shall contribute to the amount paid or payable by such Indemnified Person as a result of such losses, claims, damages or liabilities (i) in such proportion as is appropriate to reflect the relative benefits received by the Company on the one hand and the Underwriters on the other from the offering of the Securities or (ii) if the allocation provided by clause (i) is not permitted by applicable law, in such proportion as is appropriate to reflect not only the relative benefits referred to in clause (i) but also the relative fault of the Company on the one hand and the Underwriters on the other in connection with the statements or omissions that resulted in such losses, claims, damages or liabilities, as well as any other relevant equitable considerations. The relative benefits received by the Company on the one hand and the Underwriters on the other shall be deemed to be in the proportion as the total net proceeds (before deducting expenses) received by the Company bear to the total underwriting discounts and commissions received by the Underwriters, in each case</w:t>
      </w:r>
    </w:p>
    <w:p>
      <w:pPr>
        <w:spacing w:after="0" w:line="11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22</w:t>
      </w:r>
    </w:p>
    <w:p>
      <w:pPr>
        <w:sectPr>
          <w:pgSz w:w="11900" w:h="16838" w:orient="portrait"/>
          <w:cols w:equalWidth="0" w:num="1">
            <w:col w:w="11000"/>
          </w:cols>
          <w:pgMar w:left="440" w:top="274" w:right="459" w:bottom="1440" w:gutter="0" w:footer="0" w:header="0"/>
        </w:sectPr>
      </w:pPr>
    </w:p>
    <w:bookmarkStart w:id="26" w:name="page27"/>
    <w:bookmarkEnd w:id="26"/>
    <w:p>
      <w:pPr>
        <w:ind w:right="8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as set forth in the table on the cover of the Prospectus. The relative fault of the Company on the one hand and the Underwriters on the other shall be determined by reference to, among other things, whether the untrue or alleged untrue statement of a material fact or the omission or alleged omission to state a material fact relates to information supplied by the Company or by the Underwriters and the parties’ relative intent, knowledge, access to information and opportunity to correct or prevent such statement or omission.</w:t>
      </w:r>
    </w:p>
    <w:p>
      <w:pPr>
        <w:spacing w:after="0" w:line="187" w:lineRule="exact"/>
        <w:rPr>
          <w:sz w:val="20"/>
          <w:szCs w:val="20"/>
          <w:color w:val="auto"/>
        </w:rPr>
      </w:pPr>
    </w:p>
    <w:p>
      <w:pPr>
        <w:ind w:right="80" w:firstLine="436"/>
        <w:spacing w:after="0" w:line="269" w:lineRule="auto"/>
        <w:tabs>
          <w:tab w:leader="none" w:pos="685" w:val="left"/>
        </w:tabs>
        <w:numPr>
          <w:ilvl w:val="0"/>
          <w:numId w:val="33"/>
        </w:numPr>
        <w:rPr>
          <w:rFonts w:ascii="Arial" w:cs="Arial" w:eastAsia="Arial" w:hAnsi="Arial"/>
          <w:sz w:val="17"/>
          <w:szCs w:val="17"/>
          <w:color w:val="auto"/>
        </w:rPr>
      </w:pPr>
      <w:r>
        <w:rPr>
          <w:rFonts w:ascii="Arial" w:cs="Arial" w:eastAsia="Arial" w:hAnsi="Arial"/>
          <w:sz w:val="17"/>
          <w:szCs w:val="17"/>
          <w:i w:val="1"/>
          <w:iCs w:val="1"/>
          <w:color w:val="auto"/>
        </w:rPr>
        <w:t xml:space="preserve">Limitation on Liability. </w:t>
      </w:r>
      <w:r>
        <w:rPr>
          <w:rFonts w:ascii="Arial" w:cs="Arial" w:eastAsia="Arial" w:hAnsi="Arial"/>
          <w:sz w:val="17"/>
          <w:szCs w:val="17"/>
          <w:color w:val="auto"/>
        </w:rPr>
        <w:t>The Company and the Underwriters agree that it would not be just and equitable if contribution pursuant to this</w:t>
      </w:r>
      <w:r>
        <w:rPr>
          <w:rFonts w:ascii="Arial" w:cs="Arial" w:eastAsia="Arial" w:hAnsi="Arial"/>
          <w:sz w:val="17"/>
          <w:szCs w:val="17"/>
          <w:i w:val="1"/>
          <w:iCs w:val="1"/>
          <w:color w:val="auto"/>
        </w:rPr>
        <w:t xml:space="preserve"> </w:t>
      </w:r>
      <w:r>
        <w:rPr>
          <w:rFonts w:ascii="Arial" w:cs="Arial" w:eastAsia="Arial" w:hAnsi="Arial"/>
          <w:sz w:val="17"/>
          <w:szCs w:val="17"/>
          <w:color w:val="auto"/>
        </w:rPr>
        <w:t xml:space="preserve">Section 7 were determined by </w:t>
      </w:r>
      <w:r>
        <w:rPr>
          <w:rFonts w:ascii="Arial" w:cs="Arial" w:eastAsia="Arial" w:hAnsi="Arial"/>
          <w:sz w:val="17"/>
          <w:szCs w:val="17"/>
          <w:u w:val="single" w:color="auto"/>
          <w:color w:val="auto"/>
        </w:rPr>
        <w:t>pro rata</w:t>
      </w:r>
      <w:r>
        <w:rPr>
          <w:rFonts w:ascii="Arial" w:cs="Arial" w:eastAsia="Arial" w:hAnsi="Arial"/>
          <w:sz w:val="17"/>
          <w:szCs w:val="17"/>
          <w:color w:val="auto"/>
        </w:rPr>
        <w:t xml:space="preserve"> allocation (even if the Underwriters were treated as one entity for such purpose) or by any other method of allocation that does not take account of the equitable considerations referred to in paragraph (d) above. The amount paid or payable by an Indemnified Person as a result of the losses, claims, damages and liabilities referred to in paragraph (d) above shall be deemed to include, subject to the limitations set forth above, any legal or other expenses reasonably incurred by such Indemnified Person in connection with any such action or claim. Notwithstanding the provisions of this Section 7, in no event shall an Underwriter be required to contribute any amount in excess of the amount by which the total underwriting discounts and commissions received by such Underwriter with respect to the offering of the Securities exceeds the amount of any damages that such Underwriter has otherwise been required to pay by reason of such untrue or alleged untrue statement or omission or alleged omission. No person guilty of fraudulent misrepresentation (within the meaning of Section 11(f) of the Securities Act) shall be entitled to contribution from any person who was not guilty of such fraudulent misrepresentation. The Underwriters’ obligations to contribute pursuant to this Section 7 are several in proportion to their respective purchase obligations hereunder and not joint.</w:t>
      </w:r>
    </w:p>
    <w:p>
      <w:pPr>
        <w:spacing w:after="0" w:line="181" w:lineRule="exact"/>
        <w:rPr>
          <w:rFonts w:ascii="Arial" w:cs="Arial" w:eastAsia="Arial" w:hAnsi="Arial"/>
          <w:sz w:val="17"/>
          <w:szCs w:val="17"/>
          <w:color w:val="auto"/>
        </w:rPr>
      </w:pPr>
    </w:p>
    <w:p>
      <w:pPr>
        <w:ind w:right="400" w:firstLine="436"/>
        <w:spacing w:after="0" w:line="277" w:lineRule="auto"/>
        <w:tabs>
          <w:tab w:leader="none" w:pos="665" w:val="left"/>
        </w:tabs>
        <w:numPr>
          <w:ilvl w:val="0"/>
          <w:numId w:val="33"/>
        </w:numPr>
        <w:rPr>
          <w:rFonts w:ascii="Arial" w:cs="Arial" w:eastAsia="Arial" w:hAnsi="Arial"/>
          <w:sz w:val="18"/>
          <w:szCs w:val="18"/>
          <w:color w:val="auto"/>
        </w:rPr>
      </w:pPr>
      <w:r>
        <w:rPr>
          <w:rFonts w:ascii="Arial" w:cs="Arial" w:eastAsia="Arial" w:hAnsi="Arial"/>
          <w:sz w:val="18"/>
          <w:szCs w:val="18"/>
          <w:i w:val="1"/>
          <w:iCs w:val="1"/>
          <w:color w:val="auto"/>
        </w:rPr>
        <w:t xml:space="preserve">Non-Exclusive Remedies. </w:t>
      </w:r>
      <w:r>
        <w:rPr>
          <w:rFonts w:ascii="Arial" w:cs="Arial" w:eastAsia="Arial" w:hAnsi="Arial"/>
          <w:sz w:val="18"/>
          <w:szCs w:val="18"/>
          <w:color w:val="auto"/>
        </w:rPr>
        <w:t>The remedies provided for in this Section 7 are not exclusive and shall not limit any rights or remedies that may</w:t>
      </w:r>
      <w:r>
        <w:rPr>
          <w:rFonts w:ascii="Arial" w:cs="Arial" w:eastAsia="Arial" w:hAnsi="Arial"/>
          <w:sz w:val="18"/>
          <w:szCs w:val="18"/>
          <w:i w:val="1"/>
          <w:iCs w:val="1"/>
          <w:color w:val="auto"/>
        </w:rPr>
        <w:t xml:space="preserve"> </w:t>
      </w:r>
      <w:r>
        <w:rPr>
          <w:rFonts w:ascii="Arial" w:cs="Arial" w:eastAsia="Arial" w:hAnsi="Arial"/>
          <w:sz w:val="18"/>
          <w:szCs w:val="18"/>
          <w:color w:val="auto"/>
        </w:rPr>
        <w:t>otherwise be available to any Indemnified Person at law or in equity.</w:t>
      </w:r>
    </w:p>
    <w:p>
      <w:pPr>
        <w:spacing w:after="0" w:line="170" w:lineRule="exact"/>
        <w:rPr>
          <w:sz w:val="20"/>
          <w:szCs w:val="20"/>
          <w:color w:val="auto"/>
        </w:rPr>
      </w:pPr>
    </w:p>
    <w:p>
      <w:pPr>
        <w:ind w:left="620" w:hanging="184"/>
        <w:spacing w:after="0"/>
        <w:tabs>
          <w:tab w:leader="none" w:pos="620" w:val="left"/>
        </w:tabs>
        <w:numPr>
          <w:ilvl w:val="0"/>
          <w:numId w:val="34"/>
        </w:numPr>
        <w:rPr>
          <w:rFonts w:ascii="Arial" w:cs="Arial" w:eastAsia="Arial" w:hAnsi="Arial"/>
          <w:sz w:val="18"/>
          <w:szCs w:val="18"/>
          <w:color w:val="auto"/>
        </w:rPr>
      </w:pPr>
      <w:r>
        <w:rPr>
          <w:rFonts w:ascii="Arial" w:cs="Arial" w:eastAsia="Arial" w:hAnsi="Arial"/>
          <w:sz w:val="18"/>
          <w:szCs w:val="18"/>
          <w:u w:val="single" w:color="auto"/>
          <w:color w:val="auto"/>
        </w:rPr>
        <w:t>Effectiveness of Agreement</w:t>
      </w:r>
      <w:r>
        <w:rPr>
          <w:rFonts w:ascii="Arial" w:cs="Arial" w:eastAsia="Arial" w:hAnsi="Arial"/>
          <w:sz w:val="18"/>
          <w:szCs w:val="18"/>
          <w:color w:val="auto"/>
        </w:rPr>
        <w:t>. This Agreement shall become effective as of the date first written above.</w:t>
      </w:r>
    </w:p>
    <w:p>
      <w:pPr>
        <w:spacing w:after="0" w:line="225" w:lineRule="exact"/>
        <w:rPr>
          <w:rFonts w:ascii="Arial" w:cs="Arial" w:eastAsia="Arial" w:hAnsi="Arial"/>
          <w:sz w:val="18"/>
          <w:szCs w:val="18"/>
          <w:color w:val="auto"/>
        </w:rPr>
      </w:pPr>
    </w:p>
    <w:p>
      <w:pPr>
        <w:ind w:firstLine="436"/>
        <w:spacing w:after="0" w:line="271" w:lineRule="auto"/>
        <w:tabs>
          <w:tab w:leader="none" w:pos="620" w:val="left"/>
        </w:tabs>
        <w:numPr>
          <w:ilvl w:val="0"/>
          <w:numId w:val="34"/>
        </w:numPr>
        <w:rPr>
          <w:rFonts w:ascii="Arial" w:cs="Arial" w:eastAsia="Arial" w:hAnsi="Arial"/>
          <w:sz w:val="17"/>
          <w:szCs w:val="17"/>
          <w:color w:val="auto"/>
        </w:rPr>
      </w:pPr>
      <w:r>
        <w:rPr>
          <w:rFonts w:ascii="Arial" w:cs="Arial" w:eastAsia="Arial" w:hAnsi="Arial"/>
          <w:sz w:val="17"/>
          <w:szCs w:val="17"/>
          <w:u w:val="single" w:color="auto"/>
          <w:color w:val="auto"/>
        </w:rPr>
        <w:t>Termination</w:t>
      </w:r>
      <w:r>
        <w:rPr>
          <w:rFonts w:ascii="Arial" w:cs="Arial" w:eastAsia="Arial" w:hAnsi="Arial"/>
          <w:sz w:val="17"/>
          <w:szCs w:val="17"/>
          <w:color w:val="auto"/>
        </w:rPr>
        <w:t>. This Agreement may be terminated in the absolute discretion of the Representatives, by notice to the Company, if after the execution and delivery of this Agreement and on or prior to the Closing Date (i) trading generally shall have been suspended or materially limited on the New York Stock Exchange or the over-the-counter market; (ii) trading of any securities issued or guaranteed by the Company shall have been suspended on any exchange or in any over-the-counter market; (iii) a general moratorium on commercial banking activities shall have been declared by federal or New York State authorities; or (iv) there shall have occurred any outbreak or escalation of hostilities or any change in financial markets or any calamity or crisis, either within or outside the United States, that, in the judgment of the Representatives, is material and adverse and makes it impracticable or inadvisable to proceed with the offering, sale or delivery of the Securities on the terms and in the manner contemplated by this Agreement, the Time of Sale Information and the Prospectus.</w:t>
      </w:r>
    </w:p>
    <w:p>
      <w:pPr>
        <w:spacing w:after="0" w:line="111"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23</w:t>
      </w:r>
    </w:p>
    <w:p>
      <w:pPr>
        <w:sectPr>
          <w:pgSz w:w="11900" w:h="16838" w:orient="portrait"/>
          <w:cols w:equalWidth="0" w:num="1">
            <w:col w:w="10980"/>
          </w:cols>
          <w:pgMar w:left="440" w:top="274" w:right="479" w:bottom="1440" w:gutter="0" w:footer="0" w:header="0"/>
        </w:sectPr>
      </w:pPr>
    </w:p>
    <w:bookmarkStart w:id="27" w:name="page28"/>
    <w:bookmarkEnd w:id="27"/>
    <w:p>
      <w:pPr>
        <w:ind w:left="680" w:hanging="264"/>
        <w:spacing w:after="0"/>
        <w:tabs>
          <w:tab w:leader="none" w:pos="680" w:val="left"/>
        </w:tabs>
        <w:numPr>
          <w:ilvl w:val="0"/>
          <w:numId w:val="35"/>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Defaulting Underwriter</w:t>
      </w:r>
      <w:r>
        <w:rPr>
          <w:rFonts w:ascii="Arial" w:cs="Arial" w:eastAsia="Arial" w:hAnsi="Arial"/>
          <w:sz w:val="18"/>
          <w:szCs w:val="18"/>
          <w:color w:val="auto"/>
        </w:rPr>
        <w:t>.</w:t>
      </w:r>
    </w:p>
    <w:p>
      <w:pPr>
        <w:spacing w:after="0" w:line="225" w:lineRule="exact"/>
        <w:rPr>
          <w:sz w:val="20"/>
          <w:szCs w:val="20"/>
          <w:color w:val="auto"/>
        </w:rPr>
      </w:pPr>
    </w:p>
    <w:p>
      <w:pPr>
        <w:ind w:left="-20" w:firstLine="436"/>
        <w:spacing w:after="0" w:line="287" w:lineRule="auto"/>
        <w:tabs>
          <w:tab w:leader="none" w:pos="665" w:val="left"/>
        </w:tabs>
        <w:numPr>
          <w:ilvl w:val="0"/>
          <w:numId w:val="36"/>
        </w:numPr>
        <w:rPr>
          <w:rFonts w:ascii="Arial" w:cs="Arial" w:eastAsia="Arial" w:hAnsi="Arial"/>
          <w:sz w:val="16"/>
          <w:szCs w:val="16"/>
          <w:color w:val="auto"/>
        </w:rPr>
      </w:pPr>
      <w:r>
        <w:rPr>
          <w:rFonts w:ascii="Arial" w:cs="Arial" w:eastAsia="Arial" w:hAnsi="Arial"/>
          <w:sz w:val="16"/>
          <w:szCs w:val="16"/>
          <w:color w:val="auto"/>
        </w:rPr>
        <w:t>If, on the Closing Date, any Underwriter defaults on its obligation to purchase the Securities that it has agreed to purchase hereunder, the non-defaulting Underwriters may in their discretion arrange for the purchase of such Securities by other persons satisfactory to the Company on the terms contained in this Agreement. If, within 36 hours after any such default by any Underwriter, the non-defaulting Underwriters do not arrange for the purchase of such Securities, then the Company shall be entitled to a further period of 36 hours within which to procure other persons satisfactory to the non-defaulting Underwriters to purchase such Securities on such terms. If other persons become obligated or agree to purchase the Securities of a defaulting Underwriter, either the non-defaulting Underwriters or the Company may postpone the Closing Date for up to five full business days in order to effect any changes that in the opinion of counsel for the Company or counsel for the Underwriters may be necessary in the Registration Statement, the Time of Sale Information and the Prospectus or in any other document or arrangement, and the Company agrees to promptly prepare any amendment or supplement to the Registration Statement, the Time of Sale Information and the Prospectus that effects any such changes. As used in this Agreement, the term “</w:t>
      </w:r>
      <w:r>
        <w:rPr>
          <w:rFonts w:ascii="Arial" w:cs="Arial" w:eastAsia="Arial" w:hAnsi="Arial"/>
          <w:sz w:val="16"/>
          <w:szCs w:val="16"/>
          <w:u w:val="single" w:color="auto"/>
          <w:color w:val="auto"/>
        </w:rPr>
        <w:t>Underwriter</w:t>
      </w:r>
      <w:r>
        <w:rPr>
          <w:rFonts w:ascii="Arial" w:cs="Arial" w:eastAsia="Arial" w:hAnsi="Arial"/>
          <w:sz w:val="16"/>
          <w:szCs w:val="16"/>
          <w:color w:val="auto"/>
        </w:rPr>
        <w:t>” includes, for all purposes of this Agreement unless the context otherwise requires, any person not listed in Schedule 1 hereto that, pursuant to this Section 10, purchases Securities that a defaulting Underwriter agreed but failed to purchase.</w:t>
      </w:r>
    </w:p>
    <w:p>
      <w:pPr>
        <w:spacing w:after="0" w:line="171" w:lineRule="exact"/>
        <w:rPr>
          <w:rFonts w:ascii="Arial" w:cs="Arial" w:eastAsia="Arial" w:hAnsi="Arial"/>
          <w:sz w:val="16"/>
          <w:szCs w:val="16"/>
          <w:color w:val="auto"/>
        </w:rPr>
      </w:pPr>
    </w:p>
    <w:p>
      <w:pPr>
        <w:ind w:left="-20" w:right="20" w:firstLine="436"/>
        <w:spacing w:after="0" w:line="255" w:lineRule="auto"/>
        <w:tabs>
          <w:tab w:leader="none" w:pos="675" w:val="left"/>
        </w:tabs>
        <w:numPr>
          <w:ilvl w:val="0"/>
          <w:numId w:val="36"/>
        </w:numPr>
        <w:rPr>
          <w:rFonts w:ascii="Arial" w:cs="Arial" w:eastAsia="Arial" w:hAnsi="Arial"/>
          <w:sz w:val="18"/>
          <w:szCs w:val="18"/>
          <w:color w:val="auto"/>
        </w:rPr>
      </w:pPr>
      <w:r>
        <w:rPr>
          <w:rFonts w:ascii="Arial" w:cs="Arial" w:eastAsia="Arial" w:hAnsi="Arial"/>
          <w:sz w:val="18"/>
          <w:szCs w:val="18"/>
          <w:color w:val="auto"/>
        </w:rPr>
        <w:t xml:space="preserve">If, after giving effect to any arrangements for the purchase of the Securities of a defaulting Underwriter or Underwriters by the non-defaulting Underwriters and the Company as provided in paragraph (a) above, the aggregate principal amount of such Securities that remains unpurchased does not exceed one-eleventh of the aggregate principal amount of all the Securities, then the Company shall have the right to require each non-defaulting Underwriter to purchase the principal amount of Securities that such Underwriter agreed to purchase hereunder plus such Underwriter’s </w:t>
      </w:r>
      <w:r>
        <w:rPr>
          <w:rFonts w:ascii="Arial" w:cs="Arial" w:eastAsia="Arial" w:hAnsi="Arial"/>
          <w:sz w:val="18"/>
          <w:szCs w:val="18"/>
          <w:u w:val="single" w:color="auto"/>
          <w:color w:val="auto"/>
        </w:rPr>
        <w:t>pro rata</w:t>
      </w:r>
      <w:r>
        <w:rPr>
          <w:rFonts w:ascii="Arial" w:cs="Arial" w:eastAsia="Arial" w:hAnsi="Arial"/>
          <w:sz w:val="18"/>
          <w:szCs w:val="18"/>
          <w:color w:val="auto"/>
        </w:rPr>
        <w:t xml:space="preserve"> share (based on the principal amount of Securities that such Underwriter agreed to purchase hereunder) of the Securities of such defaulting Underwriter or Underwriters for which such arrangements have not been made.</w:t>
      </w:r>
    </w:p>
    <w:p>
      <w:pPr>
        <w:spacing w:after="0" w:line="192" w:lineRule="exact"/>
        <w:rPr>
          <w:rFonts w:ascii="Arial" w:cs="Arial" w:eastAsia="Arial" w:hAnsi="Arial"/>
          <w:sz w:val="18"/>
          <w:szCs w:val="18"/>
          <w:color w:val="auto"/>
        </w:rPr>
      </w:pPr>
    </w:p>
    <w:p>
      <w:pPr>
        <w:ind w:left="-20" w:right="40" w:firstLine="436"/>
        <w:spacing w:after="0" w:line="272" w:lineRule="auto"/>
        <w:tabs>
          <w:tab w:leader="none" w:pos="665" w:val="left"/>
        </w:tabs>
        <w:numPr>
          <w:ilvl w:val="0"/>
          <w:numId w:val="36"/>
        </w:numPr>
        <w:rPr>
          <w:rFonts w:ascii="Arial" w:cs="Arial" w:eastAsia="Arial" w:hAnsi="Arial"/>
          <w:sz w:val="17"/>
          <w:szCs w:val="17"/>
          <w:color w:val="auto"/>
        </w:rPr>
      </w:pPr>
      <w:r>
        <w:rPr>
          <w:rFonts w:ascii="Arial" w:cs="Arial" w:eastAsia="Arial" w:hAnsi="Arial"/>
          <w:sz w:val="17"/>
          <w:szCs w:val="17"/>
          <w:color w:val="auto"/>
        </w:rPr>
        <w:t>If, after giving effect to any arrangements for the purchase of the Securities of a defaulting Underwriter or Underwriters by the non-defaulting Underwriters and the Company as provided in paragraph (a) above, the aggregate principal amount of such Securities that remains unpurchased exceeds one-eleventh of the aggregate principal amount of all the Securities, or if the Company shall not exercise the right described in paragraph (b) above to require non-defaulting Underwriters to purchase Securities of a defaulting Underwriter or Underwriters, then this Agreement shall terminate without liability on the part of the non-defaulting Underwriters. Any termination of this Agreement pursuant to this Section 10 shall be without liability on the part of the Company, except for the expenses to be borne by the Company and the Underwriters as set forth in Section 11 hereof and the provisions of Section 7 hereof, which shall not terminate and shall remain in effect.</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24</w:t>
      </w:r>
    </w:p>
    <w:p>
      <w:pPr>
        <w:sectPr>
          <w:pgSz w:w="11900" w:h="16838" w:orient="portrait"/>
          <w:cols w:equalWidth="0" w:num="1">
            <w:col w:w="10980"/>
          </w:cols>
          <w:pgMar w:left="460" w:top="274" w:right="459" w:bottom="1440" w:gutter="0" w:footer="0" w:header="0"/>
        </w:sectPr>
      </w:pPr>
    </w:p>
    <w:bookmarkStart w:id="28" w:name="page29"/>
    <w:bookmarkEnd w:id="28"/>
    <w:p>
      <w:pPr>
        <w:ind w:left="4" w:right="20" w:firstLine="436"/>
        <w:spacing w:after="0" w:line="277" w:lineRule="auto"/>
        <w:tabs>
          <w:tab w:leader="none" w:pos="699" w:val="left"/>
        </w:tabs>
        <w:numPr>
          <w:ilvl w:val="0"/>
          <w:numId w:val="37"/>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Nothing contained herein shall relieve a defaulting Underwriter of any liability it may have to the Company or any non-defaulting Underwriter for damages caused by its default.</w:t>
      </w:r>
    </w:p>
    <w:p>
      <w:pPr>
        <w:spacing w:after="0" w:line="170" w:lineRule="exact"/>
        <w:rPr>
          <w:sz w:val="20"/>
          <w:szCs w:val="20"/>
          <w:color w:val="auto"/>
        </w:rPr>
      </w:pPr>
    </w:p>
    <w:p>
      <w:pPr>
        <w:ind w:left="704" w:hanging="264"/>
        <w:spacing w:after="0"/>
        <w:tabs>
          <w:tab w:leader="none" w:pos="704" w:val="left"/>
        </w:tabs>
        <w:numPr>
          <w:ilvl w:val="0"/>
          <w:numId w:val="38"/>
        </w:numPr>
        <w:rPr>
          <w:rFonts w:ascii="Arial" w:cs="Arial" w:eastAsia="Arial" w:hAnsi="Arial"/>
          <w:sz w:val="18"/>
          <w:szCs w:val="18"/>
          <w:color w:val="auto"/>
        </w:rPr>
      </w:pPr>
      <w:r>
        <w:rPr>
          <w:rFonts w:ascii="Arial" w:cs="Arial" w:eastAsia="Arial" w:hAnsi="Arial"/>
          <w:sz w:val="18"/>
          <w:szCs w:val="18"/>
          <w:u w:val="single" w:color="auto"/>
          <w:color w:val="auto"/>
        </w:rPr>
        <w:t>Payment of Expenses</w:t>
      </w:r>
      <w:r>
        <w:rPr>
          <w:rFonts w:ascii="Arial" w:cs="Arial" w:eastAsia="Arial" w:hAnsi="Arial"/>
          <w:sz w:val="18"/>
          <w:szCs w:val="18"/>
          <w:i w:val="1"/>
          <w:iCs w:val="1"/>
          <w:color w:val="auto"/>
        </w:rPr>
        <w:t>.</w:t>
      </w:r>
    </w:p>
    <w:p>
      <w:pPr>
        <w:spacing w:after="0" w:line="225" w:lineRule="exact"/>
        <w:rPr>
          <w:sz w:val="20"/>
          <w:szCs w:val="20"/>
          <w:color w:val="auto"/>
        </w:rPr>
      </w:pPr>
    </w:p>
    <w:p>
      <w:pPr>
        <w:ind w:left="4" w:firstLine="436"/>
        <w:spacing w:after="0" w:line="283" w:lineRule="auto"/>
        <w:tabs>
          <w:tab w:leader="none" w:pos="689" w:val="left"/>
        </w:tabs>
        <w:numPr>
          <w:ilvl w:val="1"/>
          <w:numId w:val="39"/>
        </w:numPr>
        <w:rPr>
          <w:rFonts w:ascii="Arial" w:cs="Arial" w:eastAsia="Arial" w:hAnsi="Arial"/>
          <w:sz w:val="16"/>
          <w:szCs w:val="16"/>
          <w:color w:val="auto"/>
        </w:rPr>
      </w:pPr>
      <w:r>
        <w:rPr>
          <w:rFonts w:ascii="Arial" w:cs="Arial" w:eastAsia="Arial" w:hAnsi="Arial"/>
          <w:sz w:val="16"/>
          <w:szCs w:val="16"/>
          <w:color w:val="auto"/>
        </w:rPr>
        <w:t>Whether or not the transactions contemplated by this Agreement are consummated or this Agreement is terminated, the Company agrees to pay or cause to be paid all costs and expenses incident to the performance of its obligations hereunder, including without limitation, (i) the costs incident to the authorization, issuance, sale, preparation and delivery of the Securities and any taxes payable in that connection; (ii) the costs incident to the preparation, printing and filing under the Securities Act of the Registration Statement, the Preliminary Prospectus, any Issuer Free Writing Prospectus, any Time of Sale Information and the Prospectus (including all exhibits, amendments and supplements thereto) and the distribution thereof; (iii) the costs of reproducing and distributing each of the Transaction Documents; (iv) the fees and expenses of the Company’s counsel and independent accountants; (v) the fees and expenses incurred in connection with the registration or qualification and determination of eligibility for investment of the Securities under the laws of such jurisdictions as the Representatives may designate and the preparation, printing and distribution of a Blue Sky Memorandum (including the documented fees and expenses of counsel for the Underwriters in connection with such qualification and Blue Sky Memorandum); (vi) any fees charged by rating agencies for rating the Securities; (vii) the fees and expenses of the Trustee and any paying agent (including related fees and expenses of any counsel to such parties); (viii) all expenses and application fees incurred in connection with any filing with, and clearance of the offering by, the Financial Industry Regulatory Authority, and the approval of the Securities for book-entry transfer by DTC; and</w:t>
      </w:r>
    </w:p>
    <w:p>
      <w:pPr>
        <w:spacing w:after="0" w:line="2" w:lineRule="exact"/>
        <w:rPr>
          <w:rFonts w:ascii="Arial" w:cs="Arial" w:eastAsia="Arial" w:hAnsi="Arial"/>
          <w:sz w:val="16"/>
          <w:szCs w:val="16"/>
          <w:color w:val="auto"/>
        </w:rPr>
      </w:pPr>
    </w:p>
    <w:p>
      <w:pPr>
        <w:ind w:left="4" w:hanging="4"/>
        <w:spacing w:after="0" w:line="255" w:lineRule="auto"/>
        <w:tabs>
          <w:tab w:leader="none" w:pos="309" w:val="left"/>
        </w:tabs>
        <w:numPr>
          <w:ilvl w:val="0"/>
          <w:numId w:val="40"/>
        </w:numPr>
        <w:rPr>
          <w:rFonts w:ascii="Arial" w:cs="Arial" w:eastAsia="Arial" w:hAnsi="Arial"/>
          <w:sz w:val="18"/>
          <w:szCs w:val="18"/>
          <w:color w:val="auto"/>
        </w:rPr>
      </w:pPr>
      <w:r>
        <w:rPr>
          <w:rFonts w:ascii="Arial" w:cs="Arial" w:eastAsia="Arial" w:hAnsi="Arial"/>
          <w:sz w:val="18"/>
          <w:szCs w:val="18"/>
          <w:color w:val="auto"/>
        </w:rPr>
        <w:t>all expenses incurred by the Company in connection with any “road show” presentation to potential investors. It is understood, however, that, except as provided herein, the Underwriters will pay all of their own costs and expenses, including the fees of their counsel, transfer taxes on resale of any of the Securities by them, and any advertising expenses connected with any offers they make.</w:t>
      </w:r>
    </w:p>
    <w:p>
      <w:pPr>
        <w:spacing w:after="0" w:line="189" w:lineRule="exact"/>
        <w:rPr>
          <w:rFonts w:ascii="Arial" w:cs="Arial" w:eastAsia="Arial" w:hAnsi="Arial"/>
          <w:sz w:val="18"/>
          <w:szCs w:val="18"/>
          <w:color w:val="auto"/>
        </w:rPr>
      </w:pPr>
    </w:p>
    <w:p>
      <w:pPr>
        <w:ind w:left="4" w:right="460" w:firstLine="436"/>
        <w:spacing w:after="0" w:line="301" w:lineRule="auto"/>
        <w:tabs>
          <w:tab w:leader="none" w:pos="699" w:val="left"/>
        </w:tabs>
        <w:numPr>
          <w:ilvl w:val="1"/>
          <w:numId w:val="40"/>
        </w:numPr>
        <w:rPr>
          <w:rFonts w:ascii="Arial" w:cs="Arial" w:eastAsia="Arial" w:hAnsi="Arial"/>
          <w:sz w:val="16"/>
          <w:szCs w:val="16"/>
          <w:color w:val="auto"/>
        </w:rPr>
      </w:pPr>
      <w:r>
        <w:rPr>
          <w:rFonts w:ascii="Arial" w:cs="Arial" w:eastAsia="Arial" w:hAnsi="Arial"/>
          <w:sz w:val="16"/>
          <w:szCs w:val="16"/>
          <w:color w:val="auto"/>
        </w:rPr>
        <w:t>If (i) this Agreement is terminated pursuant to Section 9, (ii) the Company for any reason fails to tender the Securities for delivery to the Underwriters or (iii) the Underwriters decline to purchase the Securities for any reason permitted under this Agreement, the Company agrees to reimburse the Underwriters for all reasonable and documented out-of-pocket costs and expenses (including the fees and expenses of their counsel) reasonably incurred by the Underwriters in connection with this Agreement and the offering contemplated hereby.</w:t>
      </w:r>
    </w:p>
    <w:p>
      <w:pPr>
        <w:spacing w:after="0" w:line="157" w:lineRule="exact"/>
        <w:rPr>
          <w:sz w:val="20"/>
          <w:szCs w:val="20"/>
          <w:color w:val="auto"/>
        </w:rPr>
      </w:pPr>
    </w:p>
    <w:p>
      <w:pPr>
        <w:ind w:left="4" w:right="240" w:firstLine="436"/>
        <w:spacing w:after="0" w:line="257" w:lineRule="auto"/>
        <w:tabs>
          <w:tab w:leader="none" w:pos="714" w:val="left"/>
        </w:tabs>
        <w:numPr>
          <w:ilvl w:val="0"/>
          <w:numId w:val="41"/>
        </w:numPr>
        <w:rPr>
          <w:rFonts w:ascii="Arial" w:cs="Arial" w:eastAsia="Arial" w:hAnsi="Arial"/>
          <w:sz w:val="18"/>
          <w:szCs w:val="18"/>
          <w:color w:val="auto"/>
        </w:rPr>
      </w:pPr>
      <w:r>
        <w:rPr>
          <w:rFonts w:ascii="Arial" w:cs="Arial" w:eastAsia="Arial" w:hAnsi="Arial"/>
          <w:sz w:val="18"/>
          <w:szCs w:val="18"/>
          <w:u w:val="single" w:color="auto"/>
          <w:color w:val="auto"/>
        </w:rPr>
        <w:t>Persons Entitled to Benefit of Agreement</w:t>
      </w:r>
      <w:r>
        <w:rPr>
          <w:rFonts w:ascii="Arial" w:cs="Arial" w:eastAsia="Arial" w:hAnsi="Arial"/>
          <w:sz w:val="18"/>
          <w:szCs w:val="18"/>
          <w:color w:val="auto"/>
        </w:rPr>
        <w:t>. This Agreement shall inure to the benefit of and be binding upon the parties hereto and their respective successors and the officers and directors and any controlling persons referred to herein, and the affiliates of each Underwriter referred to in Section 7 hereof. Nothing in this Agreement is intended or shall be construed to give any other person any legal or equitable right, remedy or claim under or in respect of this Agreement or any provision contained herein. No purchaser of Securities from any Underwriter shall be deemed to be a successor merely by reason of such purchase.</w:t>
      </w:r>
    </w:p>
    <w:p>
      <w:pPr>
        <w:spacing w:after="0" w:line="120"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25</w:t>
      </w:r>
    </w:p>
    <w:p>
      <w:pPr>
        <w:sectPr>
          <w:pgSz w:w="11900" w:h="16838" w:orient="portrait"/>
          <w:cols w:equalWidth="0" w:num="1">
            <w:col w:w="11004"/>
          </w:cols>
          <w:pgMar w:left="436" w:top="274" w:right="459" w:bottom="1440" w:gutter="0" w:footer="0" w:header="0"/>
        </w:sectPr>
      </w:pPr>
    </w:p>
    <w:bookmarkStart w:id="29" w:name="page30"/>
    <w:bookmarkEnd w:id="29"/>
    <w:p>
      <w:pPr>
        <w:ind w:left="-20" w:right="20" w:firstLine="436"/>
        <w:spacing w:after="0" w:line="259" w:lineRule="auto"/>
        <w:tabs>
          <w:tab w:leader="none" w:pos="69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Survival</w:t>
      </w:r>
      <w:r>
        <w:rPr>
          <w:rFonts w:ascii="Arial" w:cs="Arial" w:eastAsia="Arial" w:hAnsi="Arial"/>
          <w:sz w:val="18"/>
          <w:szCs w:val="18"/>
          <w:color w:val="auto"/>
        </w:rPr>
        <w:t>. The respective indemnities, rights of contribution, representations, warranties and agreements of the Company and the Underwriters contained in this Agreement or made by or on behalf of the Company or the Underwriters pursuant to this Agreement or any certificate delivered pursuant hereto shall survive the delivery of and payment for the Securities and shall remain in full force and effect, regardless of any termination of this Agreement or any investigation made by or on behalf of the Company or the Underwriters.</w:t>
      </w:r>
    </w:p>
    <w:p>
      <w:pPr>
        <w:spacing w:after="0" w:line="186" w:lineRule="exact"/>
        <w:rPr>
          <w:rFonts w:ascii="Arial" w:cs="Arial" w:eastAsia="Arial" w:hAnsi="Arial"/>
          <w:sz w:val="18"/>
          <w:szCs w:val="18"/>
          <w:color w:val="auto"/>
        </w:rPr>
      </w:pPr>
    </w:p>
    <w:p>
      <w:pPr>
        <w:jc w:val="both"/>
        <w:ind w:left="-20" w:right="180" w:firstLine="436"/>
        <w:spacing w:after="0" w:line="279" w:lineRule="auto"/>
        <w:tabs>
          <w:tab w:leader="none" w:pos="690" w:val="left"/>
        </w:tabs>
        <w:numPr>
          <w:ilvl w:val="0"/>
          <w:numId w:val="42"/>
        </w:numPr>
        <w:rPr>
          <w:rFonts w:ascii="Arial" w:cs="Arial" w:eastAsia="Arial" w:hAnsi="Arial"/>
          <w:sz w:val="17"/>
          <w:szCs w:val="17"/>
          <w:color w:val="auto"/>
        </w:rPr>
      </w:pPr>
      <w:r>
        <w:rPr>
          <w:rFonts w:ascii="Arial" w:cs="Arial" w:eastAsia="Arial" w:hAnsi="Arial"/>
          <w:sz w:val="17"/>
          <w:szCs w:val="17"/>
          <w:u w:val="single" w:color="auto"/>
          <w:color w:val="auto"/>
        </w:rPr>
        <w:t>Certain Defined Terms</w:t>
      </w:r>
      <w:r>
        <w:rPr>
          <w:rFonts w:ascii="Arial" w:cs="Arial" w:eastAsia="Arial" w:hAnsi="Arial"/>
          <w:sz w:val="17"/>
          <w:szCs w:val="17"/>
          <w:color w:val="auto"/>
        </w:rPr>
        <w:t>. For purposes of this Agreement, (a) except where otherwise expressly provided, the term “</w:t>
      </w:r>
      <w:r>
        <w:rPr>
          <w:rFonts w:ascii="Arial" w:cs="Arial" w:eastAsia="Arial" w:hAnsi="Arial"/>
          <w:sz w:val="17"/>
          <w:szCs w:val="17"/>
          <w:u w:val="single" w:color="auto"/>
          <w:color w:val="auto"/>
        </w:rPr>
        <w:t>affiliate</w:t>
      </w:r>
      <w:r>
        <w:rPr>
          <w:rFonts w:ascii="Arial" w:cs="Arial" w:eastAsia="Arial" w:hAnsi="Arial"/>
          <w:sz w:val="17"/>
          <w:szCs w:val="17"/>
          <w:color w:val="auto"/>
        </w:rPr>
        <w:t>” has the meaning set forth in Rule 405 under the Securities Act; (b) the term “</w:t>
      </w:r>
      <w:r>
        <w:rPr>
          <w:rFonts w:ascii="Arial" w:cs="Arial" w:eastAsia="Arial" w:hAnsi="Arial"/>
          <w:sz w:val="17"/>
          <w:szCs w:val="17"/>
          <w:u w:val="single" w:color="auto"/>
          <w:color w:val="auto"/>
        </w:rPr>
        <w:t>business day</w:t>
      </w:r>
      <w:r>
        <w:rPr>
          <w:rFonts w:ascii="Arial" w:cs="Arial" w:eastAsia="Arial" w:hAnsi="Arial"/>
          <w:sz w:val="17"/>
          <w:szCs w:val="17"/>
          <w:color w:val="auto"/>
        </w:rPr>
        <w:t>” means any day other than a day on which banks are permitted or required to be closed in New York City; (c) the term “</w:t>
      </w:r>
      <w:r>
        <w:rPr>
          <w:rFonts w:ascii="Arial" w:cs="Arial" w:eastAsia="Arial" w:hAnsi="Arial"/>
          <w:sz w:val="17"/>
          <w:szCs w:val="17"/>
          <w:u w:val="single" w:color="auto"/>
          <w:color w:val="auto"/>
        </w:rPr>
        <w:t>subsidiary</w:t>
      </w:r>
      <w:r>
        <w:rPr>
          <w:rFonts w:ascii="Arial" w:cs="Arial" w:eastAsia="Arial" w:hAnsi="Arial"/>
          <w:sz w:val="17"/>
          <w:szCs w:val="17"/>
          <w:color w:val="auto"/>
        </w:rPr>
        <w:t>” has the meaning set forth in Rule 405 under the Securities Act; and (d) the term “</w:t>
      </w:r>
      <w:r>
        <w:rPr>
          <w:rFonts w:ascii="Arial" w:cs="Arial" w:eastAsia="Arial" w:hAnsi="Arial"/>
          <w:sz w:val="17"/>
          <w:szCs w:val="17"/>
          <w:u w:val="single" w:color="auto"/>
          <w:color w:val="auto"/>
        </w:rPr>
        <w:t>significant</w:t>
      </w:r>
      <w:r>
        <w:rPr>
          <w:rFonts w:ascii="Arial" w:cs="Arial" w:eastAsia="Arial" w:hAnsi="Arial"/>
          <w:sz w:val="17"/>
          <w:szCs w:val="17"/>
          <w:color w:val="auto"/>
        </w:rPr>
        <w:t xml:space="preserve"> </w:t>
      </w:r>
      <w:r>
        <w:rPr>
          <w:rFonts w:ascii="Arial" w:cs="Arial" w:eastAsia="Arial" w:hAnsi="Arial"/>
          <w:sz w:val="17"/>
          <w:szCs w:val="17"/>
          <w:u w:val="single" w:color="auto"/>
          <w:color w:val="auto"/>
        </w:rPr>
        <w:t>subsidiary</w:t>
      </w:r>
      <w:r>
        <w:rPr>
          <w:rFonts w:ascii="Arial" w:cs="Arial" w:eastAsia="Arial" w:hAnsi="Arial"/>
          <w:sz w:val="17"/>
          <w:szCs w:val="17"/>
          <w:color w:val="auto"/>
        </w:rPr>
        <w:t>” has the meaning set forth in Rule 1-02 of Regulation S-X under the Exchange Act.</w:t>
      </w:r>
    </w:p>
    <w:p>
      <w:pPr>
        <w:spacing w:after="0" w:line="171" w:lineRule="exact"/>
        <w:rPr>
          <w:rFonts w:ascii="Arial" w:cs="Arial" w:eastAsia="Arial" w:hAnsi="Arial"/>
          <w:sz w:val="17"/>
          <w:szCs w:val="17"/>
          <w:color w:val="auto"/>
        </w:rPr>
      </w:pPr>
    </w:p>
    <w:p>
      <w:pPr>
        <w:ind w:left="-20" w:firstLine="436"/>
        <w:spacing w:after="0" w:line="259" w:lineRule="auto"/>
        <w:tabs>
          <w:tab w:leader="none" w:pos="69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Compliance with USA Patriot Act</w:t>
      </w:r>
      <w:r>
        <w:rPr>
          <w:rFonts w:ascii="Arial" w:cs="Arial" w:eastAsia="Arial" w:hAnsi="Arial"/>
          <w:sz w:val="18"/>
          <w:szCs w:val="18"/>
          <w:color w:val="auto"/>
        </w:rPr>
        <w:t>. In accordance with the requirements of the USA Patriot Act (Title III of Pub. L. 107-56 (signed into law October 26, 2001)), the Underwriters are required to obtain, verify and record information that identifies their respective clients, including the Company, which information may include the name and address of their respective clients, as well as other information that will allow the Underwriters to properly identify their respective clients.</w:t>
      </w:r>
    </w:p>
    <w:p>
      <w:pPr>
        <w:spacing w:after="0" w:line="186" w:lineRule="exact"/>
        <w:rPr>
          <w:rFonts w:ascii="Arial" w:cs="Arial" w:eastAsia="Arial" w:hAnsi="Arial"/>
          <w:sz w:val="18"/>
          <w:szCs w:val="18"/>
          <w:color w:val="auto"/>
        </w:rPr>
      </w:pPr>
    </w:p>
    <w:p>
      <w:pPr>
        <w:ind w:left="680" w:hanging="264"/>
        <w:spacing w:after="0"/>
        <w:tabs>
          <w:tab w:leader="none" w:pos="680" w:val="left"/>
        </w:tabs>
        <w:numPr>
          <w:ilvl w:val="0"/>
          <w:numId w:val="42"/>
        </w:numPr>
        <w:rPr>
          <w:rFonts w:ascii="Arial" w:cs="Arial" w:eastAsia="Arial" w:hAnsi="Arial"/>
          <w:sz w:val="18"/>
          <w:szCs w:val="18"/>
          <w:color w:val="auto"/>
        </w:rPr>
      </w:pPr>
      <w:r>
        <w:rPr>
          <w:rFonts w:ascii="Arial" w:cs="Arial" w:eastAsia="Arial" w:hAnsi="Arial"/>
          <w:sz w:val="18"/>
          <w:szCs w:val="18"/>
          <w:u w:val="single" w:color="auto"/>
          <w:color w:val="auto"/>
        </w:rPr>
        <w:t>Miscellaneous</w:t>
      </w:r>
      <w:r>
        <w:rPr>
          <w:rFonts w:ascii="Arial" w:cs="Arial" w:eastAsia="Arial" w:hAnsi="Arial"/>
          <w:sz w:val="18"/>
          <w:szCs w:val="18"/>
          <w:color w:val="auto"/>
        </w:rPr>
        <w:t>.</w:t>
      </w:r>
    </w:p>
    <w:p>
      <w:pPr>
        <w:spacing w:after="0" w:line="225" w:lineRule="exact"/>
        <w:rPr>
          <w:sz w:val="20"/>
          <w:szCs w:val="20"/>
          <w:color w:val="auto"/>
        </w:rPr>
      </w:pPr>
    </w:p>
    <w:p>
      <w:pPr>
        <w:ind w:left="-20" w:right="1020" w:firstLine="436"/>
        <w:spacing w:after="0" w:line="277" w:lineRule="auto"/>
        <w:tabs>
          <w:tab w:leader="none" w:pos="665" w:val="left"/>
        </w:tabs>
        <w:numPr>
          <w:ilvl w:val="0"/>
          <w:numId w:val="43"/>
        </w:numPr>
        <w:rPr>
          <w:rFonts w:ascii="Arial" w:cs="Arial" w:eastAsia="Arial" w:hAnsi="Arial"/>
          <w:sz w:val="18"/>
          <w:szCs w:val="18"/>
          <w:color w:val="auto"/>
        </w:rPr>
      </w:pPr>
      <w:r>
        <w:rPr>
          <w:rFonts w:ascii="Arial" w:cs="Arial" w:eastAsia="Arial" w:hAnsi="Arial"/>
          <w:sz w:val="18"/>
          <w:szCs w:val="18"/>
          <w:i w:val="1"/>
          <w:iCs w:val="1"/>
          <w:color w:val="auto"/>
        </w:rPr>
        <w:t xml:space="preserve">Authority of the Representatives. </w:t>
      </w:r>
      <w:r>
        <w:rPr>
          <w:rFonts w:ascii="Arial" w:cs="Arial" w:eastAsia="Arial" w:hAnsi="Arial"/>
          <w:sz w:val="18"/>
          <w:szCs w:val="18"/>
          <w:color w:val="auto"/>
        </w:rPr>
        <w:t>Any action by the Underwriters hereunder may be taken by the Representatives on behalf of the</w:t>
      </w:r>
      <w:r>
        <w:rPr>
          <w:rFonts w:ascii="Arial" w:cs="Arial" w:eastAsia="Arial" w:hAnsi="Arial"/>
          <w:sz w:val="18"/>
          <w:szCs w:val="18"/>
          <w:i w:val="1"/>
          <w:iCs w:val="1"/>
          <w:color w:val="auto"/>
        </w:rPr>
        <w:t xml:space="preserve"> </w:t>
      </w:r>
      <w:r>
        <w:rPr>
          <w:rFonts w:ascii="Arial" w:cs="Arial" w:eastAsia="Arial" w:hAnsi="Arial"/>
          <w:sz w:val="18"/>
          <w:szCs w:val="18"/>
          <w:color w:val="auto"/>
        </w:rPr>
        <w:t>Underwriters, and any such action taken by the Representatives shall be binding upon the Underwriters.</w:t>
      </w:r>
    </w:p>
    <w:p>
      <w:pPr>
        <w:spacing w:after="0" w:line="170" w:lineRule="exact"/>
        <w:rPr>
          <w:rFonts w:ascii="Arial" w:cs="Arial" w:eastAsia="Arial" w:hAnsi="Arial"/>
          <w:sz w:val="18"/>
          <w:szCs w:val="18"/>
          <w:color w:val="auto"/>
        </w:rPr>
      </w:pPr>
    </w:p>
    <w:p>
      <w:pPr>
        <w:ind w:left="-20" w:right="120" w:firstLine="436"/>
        <w:spacing w:after="0" w:line="291" w:lineRule="auto"/>
        <w:tabs>
          <w:tab w:leader="none" w:pos="675" w:val="left"/>
        </w:tabs>
        <w:numPr>
          <w:ilvl w:val="0"/>
          <w:numId w:val="43"/>
        </w:numPr>
        <w:rPr>
          <w:rFonts w:ascii="Arial" w:cs="Arial" w:eastAsia="Arial" w:hAnsi="Arial"/>
          <w:sz w:val="16"/>
          <w:szCs w:val="16"/>
          <w:color w:val="auto"/>
        </w:rPr>
      </w:pPr>
      <w:r>
        <w:rPr>
          <w:rFonts w:ascii="Arial" w:cs="Arial" w:eastAsia="Arial" w:hAnsi="Arial"/>
          <w:sz w:val="16"/>
          <w:szCs w:val="16"/>
          <w:i w:val="1"/>
          <w:iCs w:val="1"/>
          <w:color w:val="auto"/>
        </w:rPr>
        <w:t xml:space="preserve">Notices. </w:t>
      </w:r>
      <w:r>
        <w:rPr>
          <w:rFonts w:ascii="Arial" w:cs="Arial" w:eastAsia="Arial" w:hAnsi="Arial"/>
          <w:sz w:val="16"/>
          <w:szCs w:val="16"/>
          <w:color w:val="auto"/>
        </w:rPr>
        <w:t>All notices and other communications hereunder shall be in writing and shall be deemed to have been duly given if mailed or</w:t>
      </w:r>
      <w:r>
        <w:rPr>
          <w:rFonts w:ascii="Arial" w:cs="Arial" w:eastAsia="Arial" w:hAnsi="Arial"/>
          <w:sz w:val="16"/>
          <w:szCs w:val="16"/>
          <w:i w:val="1"/>
          <w:iCs w:val="1"/>
          <w:color w:val="auto"/>
        </w:rPr>
        <w:t xml:space="preserve"> </w:t>
      </w:r>
      <w:r>
        <w:rPr>
          <w:rFonts w:ascii="Arial" w:cs="Arial" w:eastAsia="Arial" w:hAnsi="Arial"/>
          <w:sz w:val="16"/>
          <w:szCs w:val="16"/>
          <w:color w:val="auto"/>
        </w:rPr>
        <w:t>transmitted and confirmed by any standard form of telecommunication. Notices to the Underwriters shall be given to the Representatives c/o J.P. Morgan Securities LLC, 383 Madison Avenue, New York, New York 10179 (fax: 212-270-1063), Attention: Investment Grade Syndicate Desk; BofA Securities, Inc., 114 West 47th Street, NY8-114-07-01, New York, New York 10036 (fax: 212-901-7881), Attention: High Grade Debt Capital Markets Transaction Management/Legal, Email: dg.hg_ua_notices@bofa.com; and Wells Fargo Securities, LLC, 550 South Tryon Street, 5th Floor, Charlotte, North Carolina 28202, Attention: Transaction Management, Email: tmgcapitalmarkets@wellsfargo.com. Notices to the Company shall be given to it at c/o Marvell Semiconductor, Inc., at 5488 Marvell Lane, Santa Clara, CA 95054, Attention: Mark Casper; Email: [***].</w:t>
      </w:r>
    </w:p>
    <w:p>
      <w:pPr>
        <w:spacing w:after="0" w:line="9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26</w:t>
      </w:r>
    </w:p>
    <w:p>
      <w:pPr>
        <w:sectPr>
          <w:pgSz w:w="11900" w:h="16838" w:orient="portrait"/>
          <w:cols w:equalWidth="0" w:num="1">
            <w:col w:w="10980"/>
          </w:cols>
          <w:pgMar w:left="460" w:top="274" w:right="459" w:bottom="1440" w:gutter="0" w:footer="0" w:header="0"/>
        </w:sectPr>
      </w:pPr>
    </w:p>
    <w:bookmarkStart w:id="30" w:name="page31"/>
    <w:bookmarkEnd w:id="30"/>
    <w:p>
      <w:pPr>
        <w:ind w:left="-436" w:right="240" w:firstLine="436"/>
        <w:spacing w:after="0" w:line="277" w:lineRule="auto"/>
        <w:tabs>
          <w:tab w:leader="none" w:pos="249" w:val="left"/>
        </w:tabs>
        <w:numPr>
          <w:ilvl w:val="0"/>
          <w:numId w:val="44"/>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Governing Law. </w:t>
      </w:r>
      <w:r>
        <w:rPr>
          <w:rFonts w:ascii="Arial" w:cs="Arial" w:eastAsia="Arial" w:hAnsi="Arial"/>
          <w:sz w:val="18"/>
          <w:szCs w:val="18"/>
          <w:color w:val="auto"/>
        </w:rPr>
        <w:t>This Agreement and any claim, controversy or dispute arising under or related to this Agreement shall be governed by and</w:t>
      </w:r>
      <w:r>
        <w:rPr>
          <w:rFonts w:ascii="Arial" w:cs="Arial" w:eastAsia="Arial" w:hAnsi="Arial"/>
          <w:sz w:val="18"/>
          <w:szCs w:val="18"/>
          <w:i w:val="1"/>
          <w:iCs w:val="1"/>
          <w:color w:val="auto"/>
        </w:rPr>
        <w:t xml:space="preserve"> </w:t>
      </w:r>
      <w:r>
        <w:rPr>
          <w:rFonts w:ascii="Arial" w:cs="Arial" w:eastAsia="Arial" w:hAnsi="Arial"/>
          <w:sz w:val="18"/>
          <w:szCs w:val="18"/>
          <w:color w:val="auto"/>
        </w:rPr>
        <w:t>construed in accordance with the laws of the State of New York.</w:t>
      </w:r>
    </w:p>
    <w:p>
      <w:pPr>
        <w:spacing w:after="0" w:line="170" w:lineRule="exact"/>
        <w:rPr>
          <w:rFonts w:ascii="Arial" w:cs="Arial" w:eastAsia="Arial" w:hAnsi="Arial"/>
          <w:sz w:val="18"/>
          <w:szCs w:val="18"/>
          <w:color w:val="auto"/>
        </w:rPr>
      </w:pPr>
    </w:p>
    <w:p>
      <w:pPr>
        <w:ind w:left="-436" w:right="200" w:firstLine="436"/>
        <w:spacing w:after="0" w:line="255" w:lineRule="auto"/>
        <w:tabs>
          <w:tab w:leader="none" w:pos="259" w:val="left"/>
        </w:tabs>
        <w:numPr>
          <w:ilvl w:val="0"/>
          <w:numId w:val="44"/>
        </w:numPr>
        <w:rPr>
          <w:rFonts w:ascii="Arial" w:cs="Arial" w:eastAsia="Arial" w:hAnsi="Arial"/>
          <w:sz w:val="18"/>
          <w:szCs w:val="18"/>
          <w:color w:val="auto"/>
        </w:rPr>
      </w:pPr>
      <w:r>
        <w:rPr>
          <w:rFonts w:ascii="Arial" w:cs="Arial" w:eastAsia="Arial" w:hAnsi="Arial"/>
          <w:sz w:val="18"/>
          <w:szCs w:val="18"/>
          <w:i w:val="1"/>
          <w:iCs w:val="1"/>
          <w:color w:val="auto"/>
        </w:rPr>
        <w:t>Submission to Jurisdiction</w:t>
      </w:r>
      <w:r>
        <w:rPr>
          <w:rFonts w:ascii="Arial" w:cs="Arial" w:eastAsia="Arial" w:hAnsi="Arial"/>
          <w:sz w:val="18"/>
          <w:szCs w:val="18"/>
          <w:color w:val="auto"/>
        </w:rPr>
        <w:t>. Each of the parties hereto hereby submits to the exclusive jurisdiction of the U.S. federal and New York state</w:t>
      </w:r>
      <w:r>
        <w:rPr>
          <w:rFonts w:ascii="Arial" w:cs="Arial" w:eastAsia="Arial" w:hAnsi="Arial"/>
          <w:sz w:val="18"/>
          <w:szCs w:val="18"/>
          <w:i w:val="1"/>
          <w:iCs w:val="1"/>
          <w:color w:val="auto"/>
        </w:rPr>
        <w:t xml:space="preserve"> </w:t>
      </w:r>
      <w:r>
        <w:rPr>
          <w:rFonts w:ascii="Arial" w:cs="Arial" w:eastAsia="Arial" w:hAnsi="Arial"/>
          <w:sz w:val="18"/>
          <w:szCs w:val="18"/>
          <w:color w:val="auto"/>
        </w:rPr>
        <w:t>courts in the Borough of Manhattan in The City of New York in any suit or proceeding arising out of or relating to this Agreement or the transactions contemplated hereby. Each of the parties hereto waives any objection which it may now or hereafter have to the laying of venue of any such suit or proceeding in such courts. Each of the parties hereto agrees that final judgment in any such suit, action or proceeding brought in such court shall be conclusive and binding upon such party and may be enforced in any court to the jurisdiction of which such party is subject by a suit upon such judgment.</w:t>
      </w:r>
    </w:p>
    <w:p>
      <w:pPr>
        <w:spacing w:after="0" w:line="192" w:lineRule="exact"/>
        <w:rPr>
          <w:rFonts w:ascii="Arial" w:cs="Arial" w:eastAsia="Arial" w:hAnsi="Arial"/>
          <w:sz w:val="18"/>
          <w:szCs w:val="18"/>
          <w:color w:val="auto"/>
        </w:rPr>
      </w:pPr>
    </w:p>
    <w:p>
      <w:pPr>
        <w:ind w:left="-436" w:right="220" w:firstLine="436"/>
        <w:spacing w:after="0" w:line="277" w:lineRule="auto"/>
        <w:tabs>
          <w:tab w:leader="none" w:pos="249" w:val="left"/>
        </w:tabs>
        <w:numPr>
          <w:ilvl w:val="0"/>
          <w:numId w:val="44"/>
        </w:numPr>
        <w:rPr>
          <w:rFonts w:ascii="Arial" w:cs="Arial" w:eastAsia="Arial" w:hAnsi="Arial"/>
          <w:sz w:val="18"/>
          <w:szCs w:val="18"/>
          <w:color w:val="auto"/>
        </w:rPr>
      </w:pPr>
      <w:r>
        <w:rPr>
          <w:rFonts w:ascii="Arial" w:cs="Arial" w:eastAsia="Arial" w:hAnsi="Arial"/>
          <w:sz w:val="18"/>
          <w:szCs w:val="18"/>
          <w:i w:val="1"/>
          <w:iCs w:val="1"/>
          <w:color w:val="auto"/>
        </w:rPr>
        <w:t>Waiver of Jury Trial</w:t>
      </w:r>
      <w:r>
        <w:rPr>
          <w:rFonts w:ascii="Arial" w:cs="Arial" w:eastAsia="Arial" w:hAnsi="Arial"/>
          <w:sz w:val="18"/>
          <w:szCs w:val="18"/>
          <w:color w:val="auto"/>
        </w:rPr>
        <w:t>. Each of the parties hereto hereby waives any right to trial by jury in any suit or proceeding arising out of or relating to</w:t>
      </w:r>
      <w:r>
        <w:rPr>
          <w:rFonts w:ascii="Arial" w:cs="Arial" w:eastAsia="Arial" w:hAnsi="Arial"/>
          <w:sz w:val="18"/>
          <w:szCs w:val="18"/>
          <w:i w:val="1"/>
          <w:iCs w:val="1"/>
          <w:color w:val="auto"/>
        </w:rPr>
        <w:t xml:space="preserve"> </w:t>
      </w:r>
      <w:r>
        <w:rPr>
          <w:rFonts w:ascii="Arial" w:cs="Arial" w:eastAsia="Arial" w:hAnsi="Arial"/>
          <w:sz w:val="18"/>
          <w:szCs w:val="18"/>
          <w:color w:val="auto"/>
        </w:rPr>
        <w:t>this Agreement.</w:t>
      </w:r>
    </w:p>
    <w:p>
      <w:pPr>
        <w:spacing w:after="0" w:line="170" w:lineRule="exact"/>
        <w:rPr>
          <w:rFonts w:ascii="Arial" w:cs="Arial" w:eastAsia="Arial" w:hAnsi="Arial"/>
          <w:sz w:val="18"/>
          <w:szCs w:val="18"/>
          <w:color w:val="auto"/>
        </w:rPr>
      </w:pPr>
    </w:p>
    <w:p>
      <w:pPr>
        <w:ind w:left="224" w:hanging="224"/>
        <w:spacing w:after="0"/>
        <w:tabs>
          <w:tab w:leader="none" w:pos="224" w:val="left"/>
        </w:tabs>
        <w:numPr>
          <w:ilvl w:val="0"/>
          <w:numId w:val="44"/>
        </w:numPr>
        <w:rPr>
          <w:rFonts w:ascii="Arial" w:cs="Arial" w:eastAsia="Arial" w:hAnsi="Arial"/>
          <w:sz w:val="18"/>
          <w:szCs w:val="18"/>
          <w:color w:val="auto"/>
        </w:rPr>
      </w:pPr>
      <w:r>
        <w:rPr>
          <w:rFonts w:ascii="Arial" w:cs="Arial" w:eastAsia="Arial" w:hAnsi="Arial"/>
          <w:sz w:val="18"/>
          <w:szCs w:val="18"/>
          <w:i w:val="1"/>
          <w:iCs w:val="1"/>
          <w:color w:val="auto"/>
        </w:rPr>
        <w:t>Recognition of the U.S. Special Resolution Regimes</w:t>
      </w:r>
      <w:r>
        <w:rPr>
          <w:rFonts w:ascii="Arial" w:cs="Arial" w:eastAsia="Arial" w:hAnsi="Arial"/>
          <w:sz w:val="18"/>
          <w:szCs w:val="18"/>
          <w:color w:val="auto"/>
        </w:rPr>
        <w:t>.</w:t>
      </w:r>
    </w:p>
    <w:p>
      <w:pPr>
        <w:spacing w:after="0" w:line="117" w:lineRule="exact"/>
        <w:rPr>
          <w:rFonts w:ascii="Arial" w:cs="Arial" w:eastAsia="Arial" w:hAnsi="Arial"/>
          <w:sz w:val="18"/>
          <w:szCs w:val="18"/>
          <w:color w:val="auto"/>
        </w:rPr>
      </w:pPr>
    </w:p>
    <w:p>
      <w:pPr>
        <w:ind w:left="4" w:right="20" w:firstLine="419"/>
        <w:spacing w:after="0" w:line="259" w:lineRule="auto"/>
        <w:tabs>
          <w:tab w:leader="none" w:pos="641" w:val="left"/>
        </w:tabs>
        <w:numPr>
          <w:ilvl w:val="1"/>
          <w:numId w:val="44"/>
        </w:numPr>
        <w:rPr>
          <w:rFonts w:ascii="Arial" w:cs="Arial" w:eastAsia="Arial" w:hAnsi="Arial"/>
          <w:sz w:val="18"/>
          <w:szCs w:val="18"/>
          <w:color w:val="auto"/>
        </w:rPr>
      </w:pPr>
      <w:r>
        <w:rPr>
          <w:rFonts w:ascii="Arial" w:cs="Arial" w:eastAsia="Arial" w:hAnsi="Arial"/>
          <w:sz w:val="18"/>
          <w:szCs w:val="18"/>
          <w:color w:val="auto"/>
        </w:rPr>
        <w:t>In the event that any Underwriter that is a Covered Entity becomes subject to a proceeding under a U.S. Special Resolution Regime, the transfer from such Underwriter of this Agreement, and any interest and obligation in or under this Agreement, will be effective to the same extent as the transfer would be effective under the U.S. Special Resolution Regime if this Agreement, and any such interest and obligation, were governed by the laws of the United States or a state of the United States.</w:t>
      </w:r>
    </w:p>
    <w:p>
      <w:pPr>
        <w:spacing w:after="0" w:line="78" w:lineRule="exact"/>
        <w:rPr>
          <w:rFonts w:ascii="Arial" w:cs="Arial" w:eastAsia="Arial" w:hAnsi="Arial"/>
          <w:sz w:val="18"/>
          <w:szCs w:val="18"/>
          <w:color w:val="auto"/>
        </w:rPr>
      </w:pPr>
    </w:p>
    <w:p>
      <w:pPr>
        <w:ind w:left="4" w:firstLine="419"/>
        <w:spacing w:after="0" w:line="259" w:lineRule="auto"/>
        <w:tabs>
          <w:tab w:leader="none" w:pos="691" w:val="left"/>
        </w:tabs>
        <w:numPr>
          <w:ilvl w:val="1"/>
          <w:numId w:val="44"/>
        </w:numPr>
        <w:rPr>
          <w:rFonts w:ascii="Arial" w:cs="Arial" w:eastAsia="Arial" w:hAnsi="Arial"/>
          <w:sz w:val="18"/>
          <w:szCs w:val="18"/>
          <w:color w:val="auto"/>
        </w:rPr>
      </w:pPr>
      <w:r>
        <w:rPr>
          <w:rFonts w:ascii="Arial" w:cs="Arial" w:eastAsia="Arial" w:hAnsi="Arial"/>
          <w:sz w:val="18"/>
          <w:szCs w:val="18"/>
          <w:color w:val="auto"/>
        </w:rPr>
        <w:t>In the event that any Underwriter that is a Covered Entity or a BHC Act Affiliate of such Underwriter becomes subject to a proceeding under a U.S. Special Resolution Regime, Default Rights under this Agreement that may be exercised against such Underwriter are permitted to be exercised to no greater extent than such Default Rights could be exercised under the U.S. Special Resolution Regime if this Agreement were governed by the laws of the United States or a state of the United States.</w:t>
      </w:r>
    </w:p>
    <w:p>
      <w:pPr>
        <w:spacing w:after="0" w:line="79" w:lineRule="exact"/>
        <w:rPr>
          <w:sz w:val="20"/>
          <w:szCs w:val="20"/>
          <w:color w:val="auto"/>
        </w:rPr>
      </w:pPr>
    </w:p>
    <w:p>
      <w:pPr>
        <w:ind w:left="544"/>
        <w:spacing w:after="0"/>
        <w:rPr>
          <w:sz w:val="20"/>
          <w:szCs w:val="20"/>
          <w:color w:val="auto"/>
        </w:rPr>
      </w:pPr>
      <w:r>
        <w:rPr>
          <w:rFonts w:ascii="Arial" w:cs="Arial" w:eastAsia="Arial" w:hAnsi="Arial"/>
          <w:sz w:val="18"/>
          <w:szCs w:val="18"/>
          <w:color w:val="auto"/>
        </w:rPr>
        <w:t>As used in this Section 16(f):</w:t>
      </w:r>
    </w:p>
    <w:p>
      <w:pPr>
        <w:spacing w:after="0" w:line="117" w:lineRule="exact"/>
        <w:rPr>
          <w:sz w:val="20"/>
          <w:szCs w:val="20"/>
          <w:color w:val="auto"/>
        </w:rPr>
      </w:pPr>
    </w:p>
    <w:p>
      <w:pPr>
        <w:ind w:left="544"/>
        <w:spacing w:after="0"/>
        <w:rPr>
          <w:sz w:val="20"/>
          <w:szCs w:val="20"/>
          <w:color w:val="auto"/>
        </w:rPr>
      </w:pPr>
      <w:r>
        <w:rPr>
          <w:rFonts w:ascii="Arial" w:cs="Arial" w:eastAsia="Arial" w:hAnsi="Arial"/>
          <w:sz w:val="16"/>
          <w:szCs w:val="16"/>
          <w:color w:val="auto"/>
        </w:rPr>
        <w:t>“BHC Act Affiliate” has the meaning assigned to the term “affiliate” in, and shall be interpreted in accordance with, 12 U.S.C. § 1841(k).</w:t>
      </w:r>
    </w:p>
    <w:p>
      <w:pPr>
        <w:spacing w:after="0" w:line="140" w:lineRule="exact"/>
        <w:rPr>
          <w:sz w:val="20"/>
          <w:szCs w:val="20"/>
          <w:color w:val="auto"/>
        </w:rPr>
      </w:pPr>
    </w:p>
    <w:p>
      <w:pPr>
        <w:ind w:left="544"/>
        <w:spacing w:after="0"/>
        <w:rPr>
          <w:sz w:val="20"/>
          <w:szCs w:val="20"/>
          <w:color w:val="auto"/>
        </w:rPr>
      </w:pPr>
      <w:r>
        <w:rPr>
          <w:rFonts w:ascii="Arial" w:cs="Arial" w:eastAsia="Arial" w:hAnsi="Arial"/>
          <w:sz w:val="18"/>
          <w:szCs w:val="18"/>
          <w:color w:val="auto"/>
        </w:rPr>
        <w:t>“Covered Entity” means any of the following:</w:t>
      </w:r>
    </w:p>
    <w:p>
      <w:pPr>
        <w:spacing w:after="0" w:line="117" w:lineRule="exact"/>
        <w:rPr>
          <w:sz w:val="20"/>
          <w:szCs w:val="20"/>
          <w:color w:val="auto"/>
        </w:rPr>
      </w:pPr>
    </w:p>
    <w:p>
      <w:pPr>
        <w:ind w:left="1204" w:hanging="212"/>
        <w:spacing w:after="0"/>
        <w:tabs>
          <w:tab w:leader="none" w:pos="1204"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“covered entity” as that term is defined in, and interpreted in accordance with, 12 C.F.R. § 252.82(b);</w:t>
      </w:r>
    </w:p>
    <w:p>
      <w:pPr>
        <w:spacing w:after="0" w:line="117" w:lineRule="exact"/>
        <w:rPr>
          <w:rFonts w:ascii="Arial" w:cs="Arial" w:eastAsia="Arial" w:hAnsi="Arial"/>
          <w:sz w:val="18"/>
          <w:szCs w:val="18"/>
          <w:color w:val="auto"/>
        </w:rPr>
      </w:pPr>
    </w:p>
    <w:p>
      <w:pPr>
        <w:jc w:val="center"/>
        <w:ind w:left="4984" w:right="1880" w:hanging="3992"/>
        <w:spacing w:after="0" w:line="449" w:lineRule="auto"/>
        <w:tabs>
          <w:tab w:leader="none" w:pos="1262" w:val="left"/>
        </w:tabs>
        <w:numPr>
          <w:ilvl w:val="0"/>
          <w:numId w:val="45"/>
        </w:numPr>
        <w:rPr>
          <w:rFonts w:ascii="Arial" w:cs="Arial" w:eastAsia="Arial" w:hAnsi="Arial"/>
          <w:sz w:val="18"/>
          <w:szCs w:val="18"/>
          <w:color w:val="auto"/>
        </w:rPr>
      </w:pPr>
      <w:r>
        <w:rPr>
          <w:rFonts w:ascii="Arial" w:cs="Arial" w:eastAsia="Arial" w:hAnsi="Arial"/>
          <w:sz w:val="18"/>
          <w:szCs w:val="18"/>
          <w:color w:val="auto"/>
        </w:rPr>
        <w:t>a “covered bank” as that term is defined in, and interpreted in accordance with, 12 C.F.R. § 47.3(b); or 27</w:t>
      </w:r>
    </w:p>
    <w:p>
      <w:pPr>
        <w:sectPr>
          <w:pgSz w:w="11900" w:h="16838" w:orient="portrait"/>
          <w:cols w:equalWidth="0" w:num="1">
            <w:col w:w="10504"/>
          </w:cols>
          <w:pgMar w:left="876" w:top="274" w:right="519" w:bottom="1440" w:gutter="0" w:footer="0" w:header="0"/>
        </w:sectPr>
      </w:pPr>
    </w:p>
    <w:bookmarkStart w:id="31" w:name="page32"/>
    <w:bookmarkEnd w:id="31"/>
    <w:p>
      <w:pPr>
        <w:ind w:left="132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(iii) a “covered FSI” as that term is defined in, and interpreted in accordance with, 12 C.F.R. § 382.2(b).</w:t>
      </w:r>
    </w:p>
    <w:p>
      <w:pPr>
        <w:spacing w:after="0" w:line="117" w:lineRule="exact"/>
        <w:rPr>
          <w:sz w:val="20"/>
          <w:szCs w:val="20"/>
          <w:color w:val="auto"/>
        </w:rPr>
      </w:pPr>
    </w:p>
    <w:p>
      <w:pPr>
        <w:ind w:left="880" w:right="20"/>
        <w:spacing w:after="0" w:line="277" w:lineRule="auto"/>
        <w:rPr>
          <w:sz w:val="20"/>
          <w:szCs w:val="20"/>
          <w:color w:val="auto"/>
        </w:rPr>
      </w:pPr>
      <w:r>
        <w:rPr>
          <w:rFonts w:ascii="Arial" w:cs="Arial" w:eastAsia="Arial" w:hAnsi="Arial"/>
          <w:sz w:val="18"/>
          <w:szCs w:val="18"/>
          <w:color w:val="auto"/>
        </w:rPr>
        <w:t>“Default Right” has the meaning assigned to that term in, and shall be interpreted in accordance with, 12 C.F.R. §§ 252.81, 47.2 or 382.1, as applicable.</w:t>
      </w:r>
    </w:p>
    <w:p>
      <w:pPr>
        <w:spacing w:after="0" w:line="62" w:lineRule="exact"/>
        <w:rPr>
          <w:sz w:val="20"/>
          <w:szCs w:val="20"/>
          <w:color w:val="auto"/>
        </w:rPr>
      </w:pPr>
    </w:p>
    <w:p>
      <w:pPr>
        <w:ind w:left="880"/>
        <w:spacing w:after="0"/>
        <w:rPr>
          <w:sz w:val="20"/>
          <w:szCs w:val="20"/>
          <w:color w:val="auto"/>
        </w:rPr>
      </w:pPr>
      <w:r>
        <w:rPr>
          <w:rFonts w:ascii="Arial" w:cs="Arial" w:eastAsia="Arial" w:hAnsi="Arial"/>
          <w:sz w:val="16"/>
          <w:szCs w:val="16"/>
          <w:color w:val="auto"/>
        </w:rPr>
        <w:t>“U.S. Special Resolution Regime” means each of (i) the Federal Deposit Insurance Act and the regulations promulgated thereunder and</w:t>
      </w:r>
    </w:p>
    <w:p>
      <w:pPr>
        <w:spacing w:after="0" w:line="46" w:lineRule="exact"/>
        <w:rPr>
          <w:sz w:val="20"/>
          <w:szCs w:val="20"/>
          <w:color w:val="auto"/>
        </w:rPr>
      </w:pPr>
    </w:p>
    <w:p>
      <w:pPr>
        <w:ind w:left="1160" w:hanging="273"/>
        <w:spacing w:after="0"/>
        <w:tabs>
          <w:tab w:leader="none" w:pos="1160" w:val="left"/>
        </w:tabs>
        <w:numPr>
          <w:ilvl w:val="1"/>
          <w:numId w:val="46"/>
        </w:numPr>
        <w:rPr>
          <w:rFonts w:ascii="Arial" w:cs="Arial" w:eastAsia="Arial" w:hAnsi="Arial"/>
          <w:sz w:val="18"/>
          <w:szCs w:val="18"/>
          <w:color w:val="auto"/>
        </w:rPr>
      </w:pPr>
      <w:r>
        <w:rPr>
          <w:rFonts w:ascii="Arial" w:cs="Arial" w:eastAsia="Arial" w:hAnsi="Arial"/>
          <w:sz w:val="18"/>
          <w:szCs w:val="18"/>
          <w:color w:val="auto"/>
        </w:rPr>
        <w:t>Title II of the Dodd-Frank Wall Street Reform and Consumer Protection Act and the regulations promulgated thereunder.</w:t>
      </w:r>
    </w:p>
    <w:p>
      <w:pPr>
        <w:spacing w:after="0" w:line="210" w:lineRule="exact"/>
        <w:rPr>
          <w:rFonts w:ascii="Arial" w:cs="Arial" w:eastAsia="Arial" w:hAnsi="Arial"/>
          <w:sz w:val="18"/>
          <w:szCs w:val="18"/>
          <w:color w:val="auto"/>
        </w:rPr>
      </w:pPr>
    </w:p>
    <w:p>
      <w:pPr>
        <w:ind w:left="-100" w:firstLine="436"/>
        <w:spacing w:after="0" w:line="259" w:lineRule="auto"/>
        <w:tabs>
          <w:tab w:leader="none" w:pos="59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 xml:space="preserve">Counterparts. </w:t>
      </w:r>
      <w:r>
        <w:rPr>
          <w:rFonts w:ascii="Arial" w:cs="Arial" w:eastAsia="Arial" w:hAnsi="Arial"/>
          <w:sz w:val="18"/>
          <w:szCs w:val="18"/>
          <w:color w:val="auto"/>
        </w:rPr>
        <w:t>This Agreement may be signed in counterparts (which may include counterparts delivered by facsimile, in portable document</w:t>
      </w:r>
      <w:r>
        <w:rPr>
          <w:rFonts w:ascii="Arial" w:cs="Arial" w:eastAsia="Arial" w:hAnsi="Arial"/>
          <w:sz w:val="18"/>
          <w:szCs w:val="18"/>
          <w:i w:val="1"/>
          <w:iCs w:val="1"/>
          <w:color w:val="auto"/>
        </w:rPr>
        <w:t xml:space="preserve"> </w:t>
      </w:r>
      <w:r>
        <w:rPr>
          <w:rFonts w:ascii="Arial" w:cs="Arial" w:eastAsia="Arial" w:hAnsi="Arial"/>
          <w:sz w:val="18"/>
          <w:szCs w:val="18"/>
          <w:color w:val="auto"/>
        </w:rPr>
        <w:t>format, or .pdf, electronic mail (including any electronic signature covered by the U.S. federal ESIGN Act of 2000, Uniform Electronic Transactions Act, the Electronic Signatures and Records Act or other applicable law) or any standard form of telecommunication), each of which shall be an original and all of which together shall constitute one and the same instrument.</w:t>
      </w:r>
    </w:p>
    <w:p>
      <w:pPr>
        <w:spacing w:after="0" w:line="186" w:lineRule="exact"/>
        <w:rPr>
          <w:rFonts w:ascii="Arial" w:cs="Arial" w:eastAsia="Arial" w:hAnsi="Arial"/>
          <w:sz w:val="18"/>
          <w:szCs w:val="18"/>
          <w:color w:val="auto"/>
        </w:rPr>
      </w:pPr>
    </w:p>
    <w:p>
      <w:pPr>
        <w:ind w:left="-100" w:right="660" w:firstLine="436"/>
        <w:spacing w:after="0" w:line="277" w:lineRule="auto"/>
        <w:tabs>
          <w:tab w:leader="none" w:pos="59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 xml:space="preserve">Amendments or Waivers. </w:t>
      </w:r>
      <w:r>
        <w:rPr>
          <w:rFonts w:ascii="Arial" w:cs="Arial" w:eastAsia="Arial" w:hAnsi="Arial"/>
          <w:sz w:val="18"/>
          <w:szCs w:val="18"/>
          <w:color w:val="auto"/>
        </w:rPr>
        <w:t>No amendment or waiver of any provision of this Agreement, nor any consent or approval to any departure</w:t>
      </w:r>
      <w:r>
        <w:rPr>
          <w:rFonts w:ascii="Arial" w:cs="Arial" w:eastAsia="Arial" w:hAnsi="Arial"/>
          <w:sz w:val="18"/>
          <w:szCs w:val="18"/>
          <w:i w:val="1"/>
          <w:iCs w:val="1"/>
          <w:color w:val="auto"/>
        </w:rPr>
        <w:t xml:space="preserve"> </w:t>
      </w:r>
      <w:r>
        <w:rPr>
          <w:rFonts w:ascii="Arial" w:cs="Arial" w:eastAsia="Arial" w:hAnsi="Arial"/>
          <w:sz w:val="18"/>
          <w:szCs w:val="18"/>
          <w:color w:val="auto"/>
        </w:rPr>
        <w:t>therefrom, shall in any event be effective unless the same shall be in writing and signed by the parties hereto.</w:t>
      </w:r>
    </w:p>
    <w:p>
      <w:pPr>
        <w:spacing w:after="0" w:line="170" w:lineRule="exact"/>
        <w:rPr>
          <w:rFonts w:ascii="Arial" w:cs="Arial" w:eastAsia="Arial" w:hAnsi="Arial"/>
          <w:sz w:val="18"/>
          <w:szCs w:val="18"/>
          <w:color w:val="auto"/>
        </w:rPr>
      </w:pPr>
    </w:p>
    <w:p>
      <w:pPr>
        <w:ind w:left="-100" w:right="180" w:firstLine="436"/>
        <w:spacing w:after="0" w:line="277" w:lineRule="auto"/>
        <w:tabs>
          <w:tab w:leader="none" w:pos="555" w:val="left"/>
        </w:tabs>
        <w:numPr>
          <w:ilvl w:val="0"/>
          <w:numId w:val="47"/>
        </w:numPr>
        <w:rPr>
          <w:rFonts w:ascii="Arial" w:cs="Arial" w:eastAsia="Arial" w:hAnsi="Arial"/>
          <w:sz w:val="18"/>
          <w:szCs w:val="18"/>
          <w:color w:val="auto"/>
        </w:rPr>
      </w:pPr>
      <w:r>
        <w:rPr>
          <w:rFonts w:ascii="Arial" w:cs="Arial" w:eastAsia="Arial" w:hAnsi="Arial"/>
          <w:sz w:val="18"/>
          <w:szCs w:val="18"/>
          <w:i w:val="1"/>
          <w:iCs w:val="1"/>
          <w:color w:val="auto"/>
        </w:rPr>
        <w:t xml:space="preserve">Headings. </w:t>
      </w:r>
      <w:r>
        <w:rPr>
          <w:rFonts w:ascii="Arial" w:cs="Arial" w:eastAsia="Arial" w:hAnsi="Arial"/>
          <w:sz w:val="18"/>
          <w:szCs w:val="18"/>
          <w:color w:val="auto"/>
        </w:rPr>
        <w:t>The headings herein are included for convenience of reference only and are not intended to be part of, or to affect the meaning or</w:t>
      </w:r>
      <w:r>
        <w:rPr>
          <w:rFonts w:ascii="Arial" w:cs="Arial" w:eastAsia="Arial" w:hAnsi="Arial"/>
          <w:sz w:val="18"/>
          <w:szCs w:val="18"/>
          <w:i w:val="1"/>
          <w:iCs w:val="1"/>
          <w:color w:val="auto"/>
        </w:rPr>
        <w:t xml:space="preserve"> </w:t>
      </w:r>
      <w:r>
        <w:rPr>
          <w:rFonts w:ascii="Arial" w:cs="Arial" w:eastAsia="Arial" w:hAnsi="Arial"/>
          <w:sz w:val="18"/>
          <w:szCs w:val="18"/>
          <w:color w:val="auto"/>
        </w:rPr>
        <w:t>interpretation of, this Agreement.</w:t>
      </w:r>
    </w:p>
    <w:p>
      <w:pPr>
        <w:spacing w:after="0" w:line="10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28</w:t>
      </w:r>
    </w:p>
    <w:p>
      <w:pPr>
        <w:sectPr>
          <w:pgSz w:w="11900" w:h="16838" w:orient="portrait"/>
          <w:cols w:equalWidth="0" w:num="1">
            <w:col w:w="10800"/>
          </w:cols>
          <w:pgMar w:left="540" w:top="274" w:right="559" w:bottom="1440" w:gutter="0" w:footer="0" w:header="0"/>
        </w:sectPr>
      </w:pPr>
    </w:p>
    <w:bookmarkStart w:id="32" w:name="page33"/>
    <w:bookmarkEnd w:id="32"/>
    <w:p>
      <w:pPr>
        <w:ind w:right="30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the foregoing is in accordance with your understanding, please indicate your acceptance of this Agreement by signing in the space provided below.</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 /s/ Mark Casper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   Name: Mark Casper</w:t>
      </w:r>
    </w:p>
    <w:p>
      <w:pPr>
        <w:spacing w:after="0" w:line="23" w:lineRule="exact"/>
        <w:rPr>
          <w:sz w:val="20"/>
          <w:szCs w:val="20"/>
          <w:color w:val="auto"/>
        </w:rPr>
      </w:pPr>
    </w:p>
    <w:p>
      <w:pPr>
        <w:ind w:left="6940"/>
        <w:spacing w:after="0"/>
        <w:rPr>
          <w:sz w:val="20"/>
          <w:szCs w:val="20"/>
          <w:color w:val="auto"/>
        </w:rPr>
      </w:pPr>
      <w:r>
        <w:rPr>
          <w:rFonts w:ascii="Arial" w:cs="Arial" w:eastAsia="Arial" w:hAnsi="Arial"/>
          <w:sz w:val="16"/>
          <w:szCs w:val="16"/>
          <w:color w:val="auto"/>
        </w:rPr>
        <w:t>Title: Executive Vice President and Chief Legal Officer</w:t>
      </w:r>
    </w:p>
    <w:p>
      <w:pPr>
        <w:spacing w:after="0" w:line="234" w:lineRule="exact"/>
        <w:rPr>
          <w:sz w:val="20"/>
          <w:szCs w:val="20"/>
          <w:color w:val="auto"/>
        </w:rPr>
      </w:pPr>
    </w:p>
    <w:p>
      <w:pPr>
        <w:jc w:val="center"/>
        <w:ind w:right="-5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Underwriting Agreement</w:t>
      </w:r>
      <w:r>
        <w:rPr>
          <w:rFonts w:ascii="Arial" w:cs="Arial" w:eastAsia="Arial" w:hAnsi="Arial"/>
          <w:sz w:val="18"/>
          <w:szCs w:val="18"/>
          <w:color w:val="auto"/>
        </w:rPr>
        <w:t>]</w:t>
      </w:r>
    </w:p>
    <w:p>
      <w:pPr>
        <w:sectPr>
          <w:pgSz w:w="11900" w:h="16838" w:orient="portrait"/>
          <w:cols w:equalWidth="0" w:num="1">
            <w:col w:w="10960"/>
          </w:cols>
          <w:pgMar w:left="440" w:top="274" w:right="499" w:bottom="1440" w:gutter="0" w:footer="0" w:header="0"/>
        </w:sectPr>
      </w:pPr>
    </w:p>
    <w:bookmarkStart w:id="33" w:name="page34"/>
    <w:bookmarkEnd w:id="33"/>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Accepted: As of the date first written above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J.P. MORGAN SECURITIES LLC</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WELLS FARGO SECURITIES, LLC</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For themselves and on behalf of the</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several Underwriters listed</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in Schedule 1 hereto.</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By: J.P. MORGAN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Som Bhattacharyya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Som Bhattacharyya</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  Executive Director</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By: BOFA SECURITIES, INC.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Laurie Campbell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Laurie Campbell</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  Managing Director</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By: WELLS FARGO SECURITIES, LLC</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Carolyn Hurley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Name: Carolyn Hurley</w:t>
      </w:r>
    </w:p>
    <w:p>
      <w:pPr>
        <w:spacing w:after="0" w:line="9" w:lineRule="exact"/>
        <w:rPr>
          <w:sz w:val="20"/>
          <w:szCs w:val="20"/>
          <w:color w:val="auto"/>
        </w:rPr>
      </w:pPr>
    </w:p>
    <w:p>
      <w:pPr>
        <w:ind w:left="360"/>
        <w:spacing w:after="0"/>
        <w:rPr>
          <w:sz w:val="20"/>
          <w:szCs w:val="20"/>
          <w:color w:val="auto"/>
        </w:rPr>
      </w:pPr>
      <w:r>
        <w:rPr>
          <w:rFonts w:ascii="Arial" w:cs="Arial" w:eastAsia="Arial" w:hAnsi="Arial"/>
          <w:sz w:val="18"/>
          <w:szCs w:val="18"/>
          <w:color w:val="auto"/>
        </w:rPr>
        <w:t>Title:  Managing Director</w:t>
      </w:r>
    </w:p>
    <w:p>
      <w:pPr>
        <w:spacing w:after="0" w:line="143" w:lineRule="exact"/>
        <w:rPr>
          <w:sz w:val="20"/>
          <w:szCs w:val="20"/>
          <w:color w:val="auto"/>
        </w:rPr>
      </w:pPr>
    </w:p>
    <w:p>
      <w:pPr>
        <w:jc w:val="right"/>
        <w:ind w:right="2879"/>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 to Underwriting Agreement</w:t>
      </w:r>
      <w:r>
        <w:rPr>
          <w:rFonts w:ascii="Arial" w:cs="Arial" w:eastAsia="Arial" w:hAnsi="Arial"/>
          <w:sz w:val="18"/>
          <w:szCs w:val="18"/>
          <w:color w:val="auto"/>
        </w:rPr>
        <w:t>]</w:t>
      </w:r>
    </w:p>
    <w:p>
      <w:pPr>
        <w:sectPr>
          <w:pgSz w:w="11900" w:h="16838" w:orient="portrait"/>
          <w:cols w:equalWidth="0" w:num="1">
            <w:col w:w="10019"/>
          </w:cols>
          <w:pgMar w:left="440" w:top="274" w:right="1440" w:bottom="1440" w:gutter="0" w:footer="0" w:header="0"/>
        </w:sectPr>
      </w:pPr>
    </w:p>
    <w:bookmarkStart w:id="34" w:name="page35"/>
    <w:bookmarkEnd w:id="34"/>
    <w:tbl>
      <w:tblPr>
        <w:tblLayout w:type="fixed"/>
        <w:tblInd w:w="0" w:type="dxa"/>
        <w:tblCellMar>
          <w:top w:w="0" w:type="dxa"/>
          <w:left w:w="0" w:type="dxa"/>
          <w:bottom w:w="0" w:type="dxa"/>
          <w:right w:w="0" w:type="dxa"/>
        </w:tblCellMar>
      </w:tblPr>
      <w:tr>
        <w:trPr>
          <w:trHeight w:val="230"/>
        </w:trPr>
        <w:tc>
          <w:tcPr>
            <w:tcW w:w="720" w:type="dxa"/>
            <w:vAlign w:val="bottom"/>
          </w:tcPr>
          <w:p>
            <w:pPr>
              <w:spacing w:after="0"/>
              <w:rPr>
                <w:sz w:val="20"/>
                <w:szCs w:val="20"/>
                <w:color w:val="auto"/>
              </w:rPr>
            </w:pPr>
          </w:p>
        </w:tc>
        <w:tc>
          <w:tcPr>
            <w:tcW w:w="796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060" w:type="dxa"/>
            <w:vAlign w:val="bottom"/>
            <w:gridSpan w:val="2"/>
          </w:tcPr>
          <w:p>
            <w:pPr>
              <w:ind w:left="260"/>
              <w:spacing w:after="0"/>
              <w:rPr>
                <w:sz w:val="20"/>
                <w:szCs w:val="20"/>
                <w:color w:val="auto"/>
              </w:rPr>
            </w:pPr>
            <w:r>
              <w:rPr>
                <w:rFonts w:ascii="Arial" w:cs="Arial" w:eastAsia="Arial" w:hAnsi="Arial"/>
                <w:sz w:val="18"/>
                <w:szCs w:val="18"/>
                <w:color w:val="auto"/>
                <w:w w:val="86"/>
              </w:rPr>
              <w:t>Schedule 1</w:t>
            </w:r>
          </w:p>
        </w:tc>
        <w:tc>
          <w:tcPr>
            <w:tcW w:w="0" w:type="dxa"/>
            <w:vAlign w:val="bottom"/>
          </w:tcPr>
          <w:p>
            <w:pPr>
              <w:spacing w:after="0"/>
              <w:rPr>
                <w:sz w:val="1"/>
                <w:szCs w:val="1"/>
                <w:color w:val="auto"/>
              </w:rPr>
            </w:pPr>
          </w:p>
        </w:tc>
      </w:tr>
      <w:tr>
        <w:trPr>
          <w:trHeight w:val="373"/>
        </w:trPr>
        <w:tc>
          <w:tcPr>
            <w:tcW w:w="720" w:type="dxa"/>
            <w:vAlign w:val="bottom"/>
          </w:tcPr>
          <w:p>
            <w:pPr>
              <w:spacing w:after="0"/>
              <w:rPr>
                <w:sz w:val="24"/>
                <w:szCs w:val="24"/>
                <w:color w:val="auto"/>
              </w:rPr>
            </w:pPr>
          </w:p>
        </w:tc>
        <w:tc>
          <w:tcPr>
            <w:tcW w:w="7960" w:type="dxa"/>
            <w:vAlign w:val="bottom"/>
          </w:tcPr>
          <w:p>
            <w:pPr>
              <w:spacing w:after="0"/>
              <w:rPr>
                <w:sz w:val="24"/>
                <w:szCs w:val="24"/>
                <w:color w:val="auto"/>
              </w:rPr>
            </w:pPr>
          </w:p>
        </w:tc>
        <w:tc>
          <w:tcPr>
            <w:tcW w:w="1280" w:type="dxa"/>
            <w:vAlign w:val="bottom"/>
            <w:gridSpan w:val="2"/>
          </w:tcPr>
          <w:p>
            <w:pPr>
              <w:jc w:val="center"/>
              <w:ind w:right="280"/>
              <w:spacing w:after="0"/>
              <w:rPr>
                <w:sz w:val="20"/>
                <w:szCs w:val="20"/>
                <w:color w:val="auto"/>
              </w:rPr>
            </w:pPr>
            <w:r>
              <w:rPr>
                <w:rFonts w:ascii="Arial" w:cs="Arial" w:eastAsia="Arial" w:hAnsi="Arial"/>
                <w:sz w:val="14"/>
                <w:szCs w:val="14"/>
                <w:color w:val="auto"/>
                <w:w w:val="96"/>
              </w:rPr>
              <w:t>Principal</w:t>
            </w:r>
          </w:p>
        </w:tc>
        <w:tc>
          <w:tcPr>
            <w:tcW w:w="1060" w:type="dxa"/>
            <w:vAlign w:val="bottom"/>
            <w:gridSpan w:val="2"/>
          </w:tcPr>
          <w:p>
            <w:pPr>
              <w:jc w:val="center"/>
              <w:ind w:right="60"/>
              <w:spacing w:after="0"/>
              <w:rPr>
                <w:sz w:val="20"/>
                <w:szCs w:val="20"/>
                <w:color w:val="auto"/>
              </w:rPr>
            </w:pPr>
            <w:r>
              <w:rPr>
                <w:rFonts w:ascii="Arial" w:cs="Arial" w:eastAsia="Arial" w:hAnsi="Arial"/>
                <w:sz w:val="14"/>
                <w:szCs w:val="14"/>
                <w:color w:val="auto"/>
                <w:w w:val="96"/>
              </w:rPr>
              <w:t>Principal</w:t>
            </w:r>
          </w:p>
        </w:tc>
        <w:tc>
          <w:tcPr>
            <w:tcW w:w="0" w:type="dxa"/>
            <w:vAlign w:val="bottom"/>
          </w:tcPr>
          <w:p>
            <w:pPr>
              <w:spacing w:after="0"/>
              <w:rPr>
                <w:sz w:val="1"/>
                <w:szCs w:val="1"/>
                <w:color w:val="auto"/>
              </w:rPr>
            </w:pPr>
          </w:p>
        </w:tc>
      </w:tr>
      <w:tr>
        <w:trPr>
          <w:trHeight w:val="148"/>
        </w:trPr>
        <w:tc>
          <w:tcPr>
            <w:tcW w:w="720" w:type="dxa"/>
            <w:vAlign w:val="bottom"/>
            <w:vMerge w:val="restart"/>
          </w:tcPr>
          <w:p>
            <w:pPr>
              <w:spacing w:after="0"/>
              <w:rPr>
                <w:sz w:val="20"/>
                <w:szCs w:val="20"/>
                <w:color w:val="auto"/>
              </w:rPr>
            </w:pPr>
            <w:r>
              <w:rPr>
                <w:rFonts w:ascii="Arial" w:cs="Arial" w:eastAsia="Arial" w:hAnsi="Arial"/>
                <w:sz w:val="14"/>
                <w:szCs w:val="14"/>
                <w:color w:val="auto"/>
                <w:w w:val="96"/>
              </w:rPr>
              <w:t>Underwriter</w:t>
            </w:r>
          </w:p>
        </w:tc>
        <w:tc>
          <w:tcPr>
            <w:tcW w:w="7960" w:type="dxa"/>
            <w:vAlign w:val="bottom"/>
            <w:vMerge w:val="restart"/>
          </w:tcPr>
          <w:p>
            <w:pPr>
              <w:spacing w:after="0"/>
              <w:rPr>
                <w:sz w:val="12"/>
                <w:szCs w:val="12"/>
                <w:color w:val="auto"/>
              </w:rPr>
            </w:pPr>
          </w:p>
        </w:tc>
        <w:tc>
          <w:tcPr>
            <w:tcW w:w="1280" w:type="dxa"/>
            <w:vAlign w:val="bottom"/>
            <w:gridSpan w:val="2"/>
          </w:tcPr>
          <w:p>
            <w:pPr>
              <w:jc w:val="center"/>
              <w:ind w:right="260"/>
              <w:spacing w:after="0" w:line="149" w:lineRule="exact"/>
              <w:rPr>
                <w:sz w:val="20"/>
                <w:szCs w:val="20"/>
                <w:color w:val="auto"/>
              </w:rPr>
            </w:pPr>
            <w:r>
              <w:rPr>
                <w:rFonts w:ascii="Arial" w:cs="Arial" w:eastAsia="Arial" w:hAnsi="Arial"/>
                <w:sz w:val="14"/>
                <w:szCs w:val="14"/>
                <w:color w:val="auto"/>
                <w:w w:val="94"/>
              </w:rPr>
              <w:t>Amount of the</w:t>
            </w:r>
          </w:p>
        </w:tc>
        <w:tc>
          <w:tcPr>
            <w:tcW w:w="1060" w:type="dxa"/>
            <w:vAlign w:val="bottom"/>
            <w:gridSpan w:val="2"/>
          </w:tcPr>
          <w:p>
            <w:pPr>
              <w:jc w:val="center"/>
              <w:ind w:right="60"/>
              <w:spacing w:after="0" w:line="149" w:lineRule="exact"/>
              <w:rPr>
                <w:sz w:val="20"/>
                <w:szCs w:val="20"/>
                <w:color w:val="auto"/>
              </w:rPr>
            </w:pPr>
            <w:r>
              <w:rPr>
                <w:rFonts w:ascii="Arial" w:cs="Arial" w:eastAsia="Arial" w:hAnsi="Arial"/>
                <w:sz w:val="14"/>
                <w:szCs w:val="14"/>
                <w:color w:val="auto"/>
              </w:rPr>
              <w:t>Amount of</w:t>
            </w:r>
          </w:p>
        </w:tc>
        <w:tc>
          <w:tcPr>
            <w:tcW w:w="0" w:type="dxa"/>
            <w:vAlign w:val="bottom"/>
          </w:tcPr>
          <w:p>
            <w:pPr>
              <w:spacing w:after="0"/>
              <w:rPr>
                <w:sz w:val="1"/>
                <w:szCs w:val="1"/>
                <w:color w:val="auto"/>
              </w:rPr>
            </w:pPr>
          </w:p>
        </w:tc>
      </w:tr>
      <w:tr>
        <w:trPr>
          <w:trHeight w:val="174"/>
        </w:trPr>
        <w:tc>
          <w:tcPr>
            <w:tcW w:w="720" w:type="dxa"/>
            <w:vAlign w:val="bottom"/>
            <w:tcBorders>
              <w:bottom w:val="single" w:sz="8" w:color="auto"/>
            </w:tcBorders>
            <w:vMerge w:val="continue"/>
          </w:tcPr>
          <w:p>
            <w:pPr>
              <w:spacing w:after="0"/>
              <w:rPr>
                <w:sz w:val="15"/>
                <w:szCs w:val="15"/>
                <w:color w:val="auto"/>
              </w:rPr>
            </w:pPr>
          </w:p>
        </w:tc>
        <w:tc>
          <w:tcPr>
            <w:tcW w:w="7960" w:type="dxa"/>
            <w:vAlign w:val="bottom"/>
            <w:vMerge w:val="continue"/>
          </w:tcPr>
          <w:p>
            <w:pPr>
              <w:spacing w:after="0"/>
              <w:rPr>
                <w:sz w:val="15"/>
                <w:szCs w:val="15"/>
                <w:color w:val="auto"/>
              </w:rPr>
            </w:pPr>
          </w:p>
        </w:tc>
        <w:tc>
          <w:tcPr>
            <w:tcW w:w="1280" w:type="dxa"/>
            <w:vAlign w:val="bottom"/>
            <w:gridSpan w:val="2"/>
          </w:tcPr>
          <w:p>
            <w:pPr>
              <w:jc w:val="center"/>
              <w:ind w:right="260"/>
              <w:spacing w:after="0" w:line="154" w:lineRule="exact"/>
              <w:rPr>
                <w:sz w:val="20"/>
                <w:szCs w:val="20"/>
                <w:color w:val="auto"/>
              </w:rPr>
            </w:pPr>
            <w:r>
              <w:rPr>
                <w:rFonts w:ascii="Arial" w:cs="Arial" w:eastAsia="Arial" w:hAnsi="Arial"/>
                <w:sz w:val="14"/>
                <w:szCs w:val="14"/>
                <w:color w:val="auto"/>
                <w:w w:val="92"/>
              </w:rPr>
              <w:t>2029 Notes</w:t>
            </w:r>
          </w:p>
        </w:tc>
        <w:tc>
          <w:tcPr>
            <w:tcW w:w="1060" w:type="dxa"/>
            <w:vAlign w:val="bottom"/>
            <w:gridSpan w:val="2"/>
          </w:tcPr>
          <w:p>
            <w:pPr>
              <w:jc w:val="center"/>
              <w:ind w:right="60"/>
              <w:spacing w:after="0" w:line="154" w:lineRule="exact"/>
              <w:rPr>
                <w:sz w:val="20"/>
                <w:szCs w:val="20"/>
                <w:color w:val="auto"/>
              </w:rPr>
            </w:pPr>
            <w:r>
              <w:rPr>
                <w:rFonts w:ascii="Arial" w:cs="Arial" w:eastAsia="Arial" w:hAnsi="Arial"/>
                <w:sz w:val="14"/>
                <w:szCs w:val="14"/>
                <w:color w:val="auto"/>
                <w:w w:val="92"/>
              </w:rPr>
              <w:t>the 2033 Notes</w:t>
            </w:r>
          </w:p>
        </w:tc>
        <w:tc>
          <w:tcPr>
            <w:tcW w:w="0" w:type="dxa"/>
            <w:vAlign w:val="bottom"/>
          </w:tcPr>
          <w:p>
            <w:pPr>
              <w:spacing w:after="0"/>
              <w:rPr>
                <w:sz w:val="1"/>
                <w:szCs w:val="1"/>
                <w:color w:val="auto"/>
              </w:rPr>
            </w:pPr>
          </w:p>
        </w:tc>
      </w:tr>
      <w:tr>
        <w:trPr>
          <w:trHeight w:val="203"/>
        </w:trPr>
        <w:tc>
          <w:tcPr>
            <w:tcW w:w="8680" w:type="dxa"/>
            <w:vAlign w:val="bottom"/>
            <w:tcBorders>
              <w:top w:val="single" w:sz="8" w:color="CCEEFF"/>
            </w:tcBorders>
            <w:gridSpan w:val="2"/>
            <w:shd w:val="clear" w:color="auto" w:fill="CCEEFF"/>
          </w:tcPr>
          <w:p>
            <w:pPr>
              <w:spacing w:after="0" w:line="203" w:lineRule="exact"/>
              <w:rPr>
                <w:sz w:val="20"/>
                <w:szCs w:val="20"/>
                <w:color w:val="auto"/>
              </w:rPr>
            </w:pPr>
            <w:r>
              <w:rPr>
                <w:rFonts w:ascii="Arial" w:cs="Arial" w:eastAsia="Arial" w:hAnsi="Arial"/>
                <w:sz w:val="18"/>
                <w:szCs w:val="18"/>
                <w:color w:val="auto"/>
              </w:rPr>
              <w:t>J.P. Morgan Securities LLC</w:t>
            </w:r>
          </w:p>
        </w:tc>
        <w:tc>
          <w:tcPr>
            <w:tcW w:w="1000" w:type="dxa"/>
            <w:vAlign w:val="bottom"/>
            <w:tcBorders>
              <w:top w:val="single" w:sz="8" w:color="auto"/>
            </w:tcBorders>
            <w:shd w:val="clear" w:color="auto" w:fill="CCEEFF"/>
          </w:tcPr>
          <w:p>
            <w:pPr>
              <w:jc w:val="center"/>
              <w:spacing w:after="0" w:line="203" w:lineRule="exact"/>
              <w:rPr>
                <w:sz w:val="20"/>
                <w:szCs w:val="20"/>
                <w:color w:val="auto"/>
              </w:rPr>
            </w:pPr>
            <w:r>
              <w:rPr>
                <w:rFonts w:ascii="Arial" w:cs="Arial" w:eastAsia="Arial" w:hAnsi="Arial"/>
                <w:sz w:val="18"/>
                <w:szCs w:val="18"/>
                <w:color w:val="auto"/>
                <w:w w:val="88"/>
              </w:rPr>
              <w:t>$112,500,000</w:t>
            </w:r>
          </w:p>
        </w:tc>
        <w:tc>
          <w:tcPr>
            <w:tcW w:w="280" w:type="dxa"/>
            <w:vAlign w:val="bottom"/>
            <w:tcBorders>
              <w:top w:val="single" w:sz="8" w:color="CCEEFF"/>
            </w:tcBorders>
            <w:shd w:val="clear" w:color="auto" w:fill="CCEEFF"/>
          </w:tcPr>
          <w:p>
            <w:pPr>
              <w:spacing w:after="0"/>
              <w:rPr>
                <w:sz w:val="17"/>
                <w:szCs w:val="17"/>
                <w:color w:val="auto"/>
              </w:rPr>
            </w:pPr>
          </w:p>
        </w:tc>
        <w:tc>
          <w:tcPr>
            <w:tcW w:w="1000" w:type="dxa"/>
            <w:vAlign w:val="bottom"/>
            <w:tcBorders>
              <w:top w:val="single" w:sz="8" w:color="auto"/>
            </w:tcBorders>
            <w:shd w:val="clear" w:color="auto" w:fill="CCEEFF"/>
          </w:tcPr>
          <w:p>
            <w:pPr>
              <w:jc w:val="right"/>
              <w:spacing w:after="0" w:line="203" w:lineRule="exact"/>
              <w:rPr>
                <w:sz w:val="20"/>
                <w:szCs w:val="20"/>
                <w:color w:val="auto"/>
              </w:rPr>
            </w:pPr>
            <w:r>
              <w:rPr>
                <w:rFonts w:ascii="Arial" w:cs="Arial" w:eastAsia="Arial" w:hAnsi="Arial"/>
                <w:sz w:val="18"/>
                <w:szCs w:val="18"/>
                <w:color w:val="auto"/>
                <w:w w:val="88"/>
              </w:rPr>
              <w:t>$112,500,000</w:t>
            </w:r>
          </w:p>
        </w:tc>
        <w:tc>
          <w:tcPr>
            <w:tcW w:w="6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BofA Securities,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75,000,000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75,000,000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Wells Fargo Securities, LLC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75,000,000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75,000,000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Citigroup Global Markets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Goldman Sachs &amp; Co. LLC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HSBC Securities (USA)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MUFG Securities Americas Inc.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SMBC Nikko Securities America,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Barclays Capital Inc.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25,000,000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25,000,000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Academy Securities,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17,500,000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17,500,000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BNP Paribas Securities Corp.</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12,500,000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Mizuho Securities USA LLC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12,500,000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Morgan Stanley &amp; Co. LLC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12,500,000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U.S. Bancorp Investments,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12,500,000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12,500,000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PNC Capital Markets LLC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Scotia Capital (USA)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TD Securities (USA) LLC</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rPr>
              <w:t>5,000,000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16"/>
        </w:trPr>
        <w:tc>
          <w:tcPr>
            <w:tcW w:w="8680" w:type="dxa"/>
            <w:vAlign w:val="bottom"/>
            <w:gridSpan w:val="2"/>
          </w:tcPr>
          <w:p>
            <w:pPr>
              <w:spacing w:after="0"/>
              <w:rPr>
                <w:sz w:val="20"/>
                <w:szCs w:val="20"/>
                <w:color w:val="auto"/>
              </w:rPr>
            </w:pPr>
            <w:r>
              <w:rPr>
                <w:rFonts w:ascii="Arial" w:cs="Arial" w:eastAsia="Arial" w:hAnsi="Arial"/>
                <w:sz w:val="18"/>
                <w:szCs w:val="18"/>
                <w:color w:val="auto"/>
              </w:rPr>
              <w:t>Truist Securities, Inc.</w:t>
            </w:r>
          </w:p>
        </w:tc>
        <w:tc>
          <w:tcPr>
            <w:tcW w:w="1280" w:type="dxa"/>
            <w:vAlign w:val="bottom"/>
            <w:gridSpan w:val="2"/>
          </w:tcPr>
          <w:p>
            <w:pPr>
              <w:jc w:val="right"/>
              <w:ind w:right="280"/>
              <w:spacing w:after="0"/>
              <w:rPr>
                <w:sz w:val="20"/>
                <w:szCs w:val="20"/>
                <w:color w:val="auto"/>
              </w:rPr>
            </w:pPr>
            <w:r>
              <w:rPr>
                <w:rFonts w:ascii="Arial" w:cs="Arial" w:eastAsia="Arial" w:hAnsi="Arial"/>
                <w:sz w:val="18"/>
                <w:szCs w:val="18"/>
                <w:color w:val="auto"/>
              </w:rPr>
              <w:t>5,000,000</w:t>
            </w:r>
          </w:p>
        </w:tc>
        <w:tc>
          <w:tcPr>
            <w:tcW w:w="1060" w:type="dxa"/>
            <w:vAlign w:val="bottom"/>
            <w:gridSpan w:val="2"/>
          </w:tcPr>
          <w:p>
            <w:pPr>
              <w:jc w:val="right"/>
              <w:ind w:right="60"/>
              <w:spacing w:after="0"/>
              <w:rPr>
                <w:sz w:val="20"/>
                <w:szCs w:val="20"/>
                <w:color w:val="auto"/>
              </w:rPr>
            </w:pPr>
            <w:r>
              <w:rPr>
                <w:rFonts w:ascii="Arial" w:cs="Arial" w:eastAsia="Arial" w:hAnsi="Arial"/>
                <w:sz w:val="18"/>
                <w:szCs w:val="18"/>
                <w:color w:val="auto"/>
              </w:rPr>
              <w:t>5,000,000</w:t>
            </w:r>
          </w:p>
        </w:tc>
        <w:tc>
          <w:tcPr>
            <w:tcW w:w="0" w:type="dxa"/>
            <w:vAlign w:val="bottom"/>
          </w:tcPr>
          <w:p>
            <w:pPr>
              <w:spacing w:after="0"/>
              <w:rPr>
                <w:sz w:val="1"/>
                <w:szCs w:val="1"/>
                <w:color w:val="auto"/>
              </w:rPr>
            </w:pPr>
          </w:p>
        </w:tc>
      </w:tr>
      <w:tr>
        <w:trPr>
          <w:trHeight w:val="27"/>
        </w:trPr>
        <w:tc>
          <w:tcPr>
            <w:tcW w:w="720" w:type="dxa"/>
            <w:vAlign w:val="bottom"/>
          </w:tcPr>
          <w:p>
            <w:pPr>
              <w:spacing w:after="0"/>
              <w:rPr>
                <w:sz w:val="2"/>
                <w:szCs w:val="2"/>
                <w:color w:val="auto"/>
              </w:rPr>
            </w:pPr>
          </w:p>
        </w:tc>
        <w:tc>
          <w:tcPr>
            <w:tcW w:w="7960" w:type="dxa"/>
            <w:vAlign w:val="bottom"/>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280" w:type="dxa"/>
            <w:vAlign w:val="bottom"/>
          </w:tcPr>
          <w:p>
            <w:pPr>
              <w:spacing w:after="0"/>
              <w:rPr>
                <w:sz w:val="2"/>
                <w:szCs w:val="2"/>
                <w:color w:val="auto"/>
              </w:rPr>
            </w:pPr>
          </w:p>
        </w:tc>
        <w:tc>
          <w:tcPr>
            <w:tcW w:w="100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868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Total</w:t>
            </w:r>
          </w:p>
        </w:tc>
        <w:tc>
          <w:tcPr>
            <w:tcW w:w="1280" w:type="dxa"/>
            <w:vAlign w:val="bottom"/>
            <w:gridSpan w:val="2"/>
            <w:shd w:val="clear" w:color="auto" w:fill="CCEEFF"/>
          </w:tcPr>
          <w:p>
            <w:pPr>
              <w:jc w:val="right"/>
              <w:ind w:right="280"/>
              <w:spacing w:after="0"/>
              <w:rPr>
                <w:sz w:val="20"/>
                <w:szCs w:val="20"/>
                <w:color w:val="auto"/>
              </w:rPr>
            </w:pPr>
            <w:r>
              <w:rPr>
                <w:rFonts w:ascii="Arial" w:cs="Arial" w:eastAsia="Arial" w:hAnsi="Arial"/>
                <w:sz w:val="18"/>
                <w:szCs w:val="18"/>
                <w:color w:val="auto"/>
                <w:w w:val="88"/>
              </w:rPr>
              <w:t>$500,000,000</w:t>
            </w:r>
          </w:p>
        </w:tc>
        <w:tc>
          <w:tcPr>
            <w:tcW w:w="1060" w:type="dxa"/>
            <w:vAlign w:val="bottom"/>
            <w:gridSpan w:val="2"/>
            <w:shd w:val="clear" w:color="auto" w:fill="CCEEFF"/>
          </w:tcPr>
          <w:p>
            <w:pPr>
              <w:jc w:val="right"/>
              <w:ind w:right="60"/>
              <w:spacing w:after="0"/>
              <w:rPr>
                <w:sz w:val="20"/>
                <w:szCs w:val="20"/>
                <w:color w:val="auto"/>
              </w:rPr>
            </w:pPr>
            <w:r>
              <w:rPr>
                <w:rFonts w:ascii="Arial" w:cs="Arial" w:eastAsia="Arial" w:hAnsi="Arial"/>
                <w:sz w:val="18"/>
                <w:szCs w:val="18"/>
                <w:color w:val="auto"/>
                <w:w w:val="88"/>
              </w:rPr>
              <w:t>$500,000,000</w:t>
            </w:r>
          </w:p>
        </w:tc>
        <w:tc>
          <w:tcPr>
            <w:tcW w:w="0" w:type="dxa"/>
            <w:vAlign w:val="bottom"/>
          </w:tcPr>
          <w:p>
            <w:pPr>
              <w:spacing w:after="0"/>
              <w:rPr>
                <w:sz w:val="1"/>
                <w:szCs w:val="1"/>
                <w:color w:val="auto"/>
              </w:rPr>
            </w:pPr>
          </w:p>
        </w:tc>
      </w:tr>
    </w:tbl>
    <w:p>
      <w:pPr>
        <w:spacing w:after="0" w:line="13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20"/>
        <w:spacing w:after="0"/>
        <w:rPr>
          <w:sz w:val="20"/>
          <w:szCs w:val="20"/>
          <w:color w:val="auto"/>
        </w:rPr>
      </w:pPr>
      <w:r>
        <w:rPr>
          <w:rFonts w:ascii="Arial" w:cs="Arial" w:eastAsia="Arial" w:hAnsi="Arial"/>
          <w:sz w:val="18"/>
          <w:szCs w:val="18"/>
          <w:color w:val="auto"/>
        </w:rPr>
        <w:t>Sch 1-1</w:t>
      </w:r>
    </w:p>
    <w:p>
      <w:pPr>
        <w:sectPr>
          <w:pgSz w:w="11900" w:h="16838" w:orient="portrait"/>
          <w:cols w:equalWidth="0" w:num="1">
            <w:col w:w="11020"/>
          </w:cols>
          <w:pgMar w:left="440" w:top="274" w:right="439" w:bottom="1440" w:gutter="0" w:footer="0" w:header="0"/>
        </w:sectPr>
      </w:pPr>
    </w:p>
    <w:bookmarkStart w:id="35" w:name="page36"/>
    <w:bookmarkEnd w:id="35"/>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Schedule 2</w:t>
      </w:r>
    </w:p>
    <w:p>
      <w:pPr>
        <w:spacing w:after="0" w:line="225" w:lineRule="exact"/>
        <w:rPr>
          <w:sz w:val="20"/>
          <w:szCs w:val="20"/>
          <w:color w:val="auto"/>
        </w:rPr>
      </w:pPr>
    </w:p>
    <w:p>
      <w:pPr>
        <w:jc w:val="center"/>
        <w:ind w:right="436"/>
        <w:spacing w:after="0"/>
        <w:rPr>
          <w:sz w:val="20"/>
          <w:szCs w:val="20"/>
          <w:color w:val="auto"/>
        </w:rPr>
      </w:pPr>
      <w:r>
        <w:rPr>
          <w:rFonts w:ascii="Arial" w:cs="Arial" w:eastAsia="Arial" w:hAnsi="Arial"/>
          <w:sz w:val="18"/>
          <w:szCs w:val="18"/>
          <w:color w:val="auto"/>
        </w:rPr>
        <w:t>Significant Subsidiaries</w:t>
      </w:r>
    </w:p>
    <w:p>
      <w:pPr>
        <w:spacing w:after="0" w:line="225" w:lineRule="exact"/>
        <w:rPr>
          <w:sz w:val="20"/>
          <w:szCs w:val="20"/>
          <w:color w:val="auto"/>
        </w:rPr>
      </w:pPr>
    </w:p>
    <w:p>
      <w:pPr>
        <w:ind w:left="184" w:hanging="184"/>
        <w:spacing w:after="0"/>
        <w:tabs>
          <w:tab w:leader="none" w:pos="184" w:val="left"/>
        </w:tabs>
        <w:numPr>
          <w:ilvl w:val="0"/>
          <w:numId w:val="48"/>
        </w:numPr>
        <w:rPr>
          <w:rFonts w:ascii="Arial" w:cs="Arial" w:eastAsia="Arial" w:hAnsi="Arial"/>
          <w:sz w:val="18"/>
          <w:szCs w:val="18"/>
          <w:color w:val="auto"/>
        </w:rPr>
      </w:pPr>
      <w:r>
        <w:rPr>
          <w:rFonts w:ascii="Arial" w:cs="Arial" w:eastAsia="Arial" w:hAnsi="Arial"/>
          <w:sz w:val="18"/>
          <w:szCs w:val="18"/>
          <w:color w:val="auto"/>
        </w:rPr>
        <w:t>Marvell Semiconductor, Inc.</w:t>
      </w:r>
    </w:p>
    <w:p>
      <w:pPr>
        <w:spacing w:after="0" w:line="23" w:lineRule="exact"/>
        <w:rPr>
          <w:rFonts w:ascii="Arial" w:cs="Arial" w:eastAsia="Arial" w:hAnsi="Arial"/>
          <w:sz w:val="18"/>
          <w:szCs w:val="18"/>
          <w:color w:val="auto"/>
        </w:rPr>
      </w:pPr>
    </w:p>
    <w:p>
      <w:pPr>
        <w:ind w:left="184" w:hanging="184"/>
        <w:spacing w:after="0"/>
        <w:tabs>
          <w:tab w:leader="none" w:pos="184" w:val="left"/>
        </w:tabs>
        <w:numPr>
          <w:ilvl w:val="0"/>
          <w:numId w:val="48"/>
        </w:numPr>
        <w:rPr>
          <w:rFonts w:ascii="Arial" w:cs="Arial" w:eastAsia="Arial" w:hAnsi="Arial"/>
          <w:sz w:val="18"/>
          <w:szCs w:val="18"/>
          <w:color w:val="auto"/>
        </w:rPr>
      </w:pPr>
      <w:r>
        <w:rPr>
          <w:rFonts w:ascii="Arial" w:cs="Arial" w:eastAsia="Arial" w:hAnsi="Arial"/>
          <w:sz w:val="18"/>
          <w:szCs w:val="18"/>
          <w:color w:val="auto"/>
        </w:rPr>
        <w:t>Marvell Asia PTE, Ltd.</w:t>
      </w:r>
    </w:p>
    <w:p>
      <w:pPr>
        <w:spacing w:after="0" w:line="143" w:lineRule="exact"/>
        <w:rPr>
          <w:sz w:val="20"/>
          <w:szCs w:val="20"/>
          <w:color w:val="auto"/>
        </w:rPr>
      </w:pPr>
    </w:p>
    <w:p>
      <w:pPr>
        <w:jc w:val="center"/>
        <w:ind w:right="436"/>
        <w:spacing w:after="0"/>
        <w:rPr>
          <w:sz w:val="20"/>
          <w:szCs w:val="20"/>
          <w:color w:val="auto"/>
        </w:rPr>
      </w:pPr>
      <w:r>
        <w:rPr>
          <w:rFonts w:ascii="Arial" w:cs="Arial" w:eastAsia="Arial" w:hAnsi="Arial"/>
          <w:sz w:val="18"/>
          <w:szCs w:val="18"/>
          <w:color w:val="auto"/>
        </w:rPr>
        <w:t>Sch 2-1</w:t>
      </w:r>
    </w:p>
    <w:p>
      <w:pPr>
        <w:sectPr>
          <w:pgSz w:w="11900" w:h="16838" w:orient="portrait"/>
          <w:cols w:equalWidth="0" w:num="1">
            <w:col w:w="10584"/>
          </w:cols>
          <w:pgMar w:left="876" w:top="274" w:right="439" w:bottom="1440" w:gutter="0" w:footer="0" w:header="0"/>
        </w:sectPr>
      </w:pPr>
    </w:p>
    <w:bookmarkStart w:id="36" w:name="page37"/>
    <w:bookmarkEnd w:id="36"/>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A</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Time of Sale Information</w:t>
      </w:r>
    </w:p>
    <w:p>
      <w:pPr>
        <w:spacing w:after="0" w:line="135" w:lineRule="exact"/>
        <w:rPr>
          <w:sz w:val="20"/>
          <w:szCs w:val="20"/>
          <w:color w:val="auto"/>
        </w:rPr>
      </w:pPr>
    </w:p>
    <w:p>
      <w:pPr>
        <w:ind w:left="960" w:hanging="532"/>
        <w:spacing w:after="0"/>
        <w:tabs>
          <w:tab w:leader="none" w:pos="960" w:val="left"/>
        </w:tabs>
        <w:numPr>
          <w:ilvl w:val="0"/>
          <w:numId w:val="49"/>
        </w:numPr>
        <w:rPr>
          <w:rFonts w:ascii="Arial" w:cs="Arial" w:eastAsia="Arial" w:hAnsi="Arial"/>
          <w:sz w:val="18"/>
          <w:szCs w:val="18"/>
          <w:color w:val="auto"/>
        </w:rPr>
      </w:pPr>
      <w:r>
        <w:rPr>
          <w:rFonts w:ascii="Arial" w:cs="Arial" w:eastAsia="Arial" w:hAnsi="Arial"/>
          <w:sz w:val="18"/>
          <w:szCs w:val="18"/>
          <w:color w:val="auto"/>
        </w:rPr>
        <w:t>Pricing Term Sheet, dated September 11, 2023, substantially in the form of Annex B.</w:t>
      </w:r>
    </w:p>
    <w:p>
      <w:pPr>
        <w:sectPr>
          <w:pgSz w:w="11900" w:h="16838" w:orient="portrait"/>
          <w:cols w:equalWidth="0" w:num="1">
            <w:col w:w="11020"/>
          </w:cols>
          <w:pgMar w:left="440" w:top="274" w:right="439" w:bottom="1440" w:gutter="0" w:footer="0" w:header="0"/>
        </w:sectPr>
      </w:pPr>
    </w:p>
    <w:bookmarkStart w:id="37" w:name="page38"/>
    <w:bookmarkEnd w:id="37"/>
    <w:p>
      <w:pPr>
        <w:jc w:val="right"/>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Annex B</w:t>
      </w:r>
    </w:p>
    <w:p>
      <w:pPr>
        <w:spacing w:after="0" w:line="221"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Filed Pursuant to Rule 433</w:t>
      </w:r>
    </w:p>
    <w:p>
      <w:pPr>
        <w:spacing w:after="0" w:line="27"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Registration No. 333-259141</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Issuer Free Writing Prospectus dated September 11, 2023</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Relating to Preliminary Prospectus Supplement dated September 11, 2023</w:t>
      </w:r>
    </w:p>
    <w:p>
      <w:pPr>
        <w:spacing w:after="0" w:line="200" w:lineRule="exact"/>
        <w:rPr>
          <w:sz w:val="20"/>
          <w:szCs w:val="20"/>
          <w:color w:val="auto"/>
        </w:rPr>
      </w:pPr>
    </w:p>
    <w:p>
      <w:pPr>
        <w:spacing w:after="0" w:line="22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MARVELL TECHNOLOGY, INC.</w:t>
      </w:r>
    </w:p>
    <w:p>
      <w:pPr>
        <w:spacing w:after="0" w:line="225"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$500,000,000 5.750% Senior Notes due 2029</w:t>
      </w:r>
    </w:p>
    <w:p>
      <w:pPr>
        <w:spacing w:after="0" w:line="27" w:lineRule="exact"/>
        <w:rPr>
          <w:sz w:val="20"/>
          <w:szCs w:val="20"/>
          <w:color w:val="auto"/>
        </w:rPr>
      </w:pPr>
    </w:p>
    <w:p>
      <w:pPr>
        <w:ind w:left="3820"/>
        <w:spacing w:after="0"/>
        <w:rPr>
          <w:sz w:val="20"/>
          <w:szCs w:val="20"/>
          <w:color w:val="auto"/>
        </w:rPr>
      </w:pPr>
      <w:r>
        <w:rPr>
          <w:rFonts w:ascii="Arial" w:cs="Arial" w:eastAsia="Arial" w:hAnsi="Arial"/>
          <w:sz w:val="18"/>
          <w:szCs w:val="18"/>
          <w:b w:val="1"/>
          <w:bCs w:val="1"/>
          <w:color w:val="auto"/>
        </w:rPr>
        <w:t>$500,000,000 5.950% Senior Notes due 2033</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Pricing Term Sheet</w:t>
      </w:r>
    </w:p>
    <w:p>
      <w:pPr>
        <w:spacing w:after="0" w:line="225" w:lineRule="exact"/>
        <w:rPr>
          <w:sz w:val="20"/>
          <w:szCs w:val="20"/>
          <w:color w:val="auto"/>
        </w:rPr>
      </w:pPr>
    </w:p>
    <w:p>
      <w:pPr>
        <w:ind w:right="300"/>
        <w:spacing w:after="0" w:line="296" w:lineRule="auto"/>
        <w:rPr>
          <w:sz w:val="20"/>
          <w:szCs w:val="20"/>
          <w:color w:val="auto"/>
        </w:rPr>
      </w:pPr>
      <w:r>
        <w:rPr>
          <w:rFonts w:ascii="Arial" w:cs="Arial" w:eastAsia="Arial" w:hAnsi="Arial"/>
          <w:sz w:val="16"/>
          <w:szCs w:val="16"/>
          <w:color w:val="auto"/>
        </w:rPr>
        <w:t>This pricing term sheet is qualified in its entirety by reference to the preliminary prospectus supplement dated September 11, 2023 (the “Preliminary Prospectus Supplement”), the accompanying prospectus dated August 27, 2021 and the documents incorporated and deemed to be incorporated by reference therein. The information in this pricing term sheet supplements the Preliminary Prospectus Supplement and updates and supersedes the information in the Preliminary Prospectus Supplement to the extent it is inconsistent with the information in the Preliminary Prospectus Supplement. Terms used and not defined herein have the meanings assigned in the Preliminary Prospectus Supplement.</w:t>
      </w:r>
    </w:p>
    <w:p>
      <w:pPr>
        <w:sectPr>
          <w:pgSz w:w="11900" w:h="16838" w:orient="portrait"/>
          <w:cols w:equalWidth="0" w:num="1">
            <w:col w:w="11020"/>
          </w:cols>
          <w:pgMar w:left="440" w:top="274" w:right="439" w:bottom="1440" w:gutter="0" w:footer="0" w:header="0"/>
        </w:sectPr>
      </w:pPr>
    </w:p>
    <w:p>
      <w:pPr>
        <w:spacing w:after="0" w:line="188" w:lineRule="exact"/>
        <w:rPr>
          <w:sz w:val="20"/>
          <w:szCs w:val="20"/>
          <w:color w:val="auto"/>
        </w:rPr>
      </w:pPr>
    </w:p>
    <w:p>
      <w:pPr>
        <w:spacing w:after="0"/>
        <w:rPr>
          <w:sz w:val="20"/>
          <w:szCs w:val="20"/>
          <w:color w:val="auto"/>
        </w:rPr>
      </w:pPr>
      <w:r>
        <w:rPr>
          <w:rFonts w:ascii="Arial" w:cs="Arial" w:eastAsia="Arial" w:hAnsi="Arial"/>
          <w:sz w:val="15"/>
          <w:szCs w:val="15"/>
          <w:color w:val="auto"/>
        </w:rPr>
        <w:t>Issuer:</w:t>
      </w:r>
    </w:p>
    <w:p>
      <w:pPr>
        <w:spacing w:after="0" w:line="20" w:lineRule="exact"/>
        <w:rPr>
          <w:sz w:val="20"/>
          <w:szCs w:val="20"/>
          <w:color w:val="auto"/>
        </w:rPr>
      </w:pPr>
      <w:r>
        <w:rPr>
          <w:sz w:val="20"/>
          <w:szCs w:val="20"/>
          <w:color w:val="auto"/>
        </w:rPr>
        <w:br w:type="column"/>
      </w:r>
    </w:p>
    <w:p>
      <w:pPr>
        <w:spacing w:after="0" w:line="168" w:lineRule="exact"/>
        <w:rPr>
          <w:sz w:val="20"/>
          <w:szCs w:val="20"/>
          <w:color w:val="auto"/>
        </w:rPr>
      </w:pPr>
    </w:p>
    <w:p>
      <w:pPr>
        <w:spacing w:after="0"/>
        <w:rPr>
          <w:sz w:val="20"/>
          <w:szCs w:val="20"/>
          <w:color w:val="auto"/>
        </w:rPr>
      </w:pPr>
      <w:r>
        <w:rPr>
          <w:rFonts w:ascii="Arial" w:cs="Arial" w:eastAsia="Arial" w:hAnsi="Arial"/>
          <w:sz w:val="16"/>
          <w:szCs w:val="16"/>
          <w:color w:val="auto"/>
        </w:rPr>
        <w:t>Marvell Technology, Inc.</w:t>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6"/>
          <w:szCs w:val="16"/>
          <w:color w:val="auto"/>
        </w:rPr>
        <w:t>Anticipated Ratings (Moody’s / S&amp;P / Fitch)*:</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[Reserved]</w:t>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7"/>
          <w:szCs w:val="17"/>
          <w:color w:val="auto"/>
        </w:rPr>
        <w:t>Distribution: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SEC-Registered</w:t>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5"/>
          <w:szCs w:val="15"/>
          <w:color w:val="auto"/>
        </w:rPr>
        <w:t>Trade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September 11, 2023</w:t>
      </w:r>
    </w:p>
    <w:p>
      <w:pPr>
        <w:spacing w:after="0" w:line="152"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6"/>
          <w:szCs w:val="16"/>
          <w:color w:val="auto"/>
        </w:rPr>
        <w:t>Settlement Date**: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September 18, 2023 (T+5)</w:t>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7"/>
          <w:szCs w:val="17"/>
          <w:color w:val="auto"/>
        </w:rPr>
        <w:t>Denominations/Multiple:</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$2,000 x $1,000</w:t>
      </w:r>
    </w:p>
    <w:p>
      <w:pPr>
        <w:spacing w:after="0" w:line="211"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line="249" w:lineRule="exact"/>
        <w:rPr>
          <w:sz w:val="20"/>
          <w:szCs w:val="20"/>
          <w:color w:val="auto"/>
        </w:rPr>
      </w:pPr>
    </w:p>
    <w:p>
      <w:pPr>
        <w:jc w:val="center"/>
        <w:ind w:right="20"/>
        <w:spacing w:after="0"/>
        <w:rPr>
          <w:sz w:val="20"/>
          <w:szCs w:val="20"/>
          <w:color w:val="auto"/>
        </w:rPr>
      </w:pPr>
      <w:r>
        <w:rPr>
          <w:rFonts w:ascii="Arial" w:cs="Arial" w:eastAsia="Arial" w:hAnsi="Arial"/>
          <w:sz w:val="16"/>
          <w:szCs w:val="16"/>
          <w:b w:val="1"/>
          <w:bCs w:val="1"/>
          <w:color w:val="auto"/>
        </w:rPr>
        <w:t>$500,000,000 5.750% Senior Notes Due 2029</w:t>
      </w:r>
    </w:p>
    <w:p>
      <w:pPr>
        <w:sectPr>
          <w:pgSz w:w="11900" w:h="16838" w:orient="portrait"/>
          <w:cols w:equalWidth="0" w:num="1">
            <w:col w:w="11020"/>
          </w:cols>
          <w:pgMar w:left="440" w:top="274" w:right="439" w:bottom="1440" w:gutter="0" w:footer="0" w:header="0"/>
          <w:type w:val="continuous"/>
        </w:sectPr>
      </w:pPr>
    </w:p>
    <w:p>
      <w:pPr>
        <w:spacing w:after="0" w:line="279" w:lineRule="exact"/>
        <w:rPr>
          <w:sz w:val="20"/>
          <w:szCs w:val="20"/>
          <w:color w:val="auto"/>
        </w:rPr>
      </w:pPr>
    </w:p>
    <w:p>
      <w:pPr>
        <w:spacing w:after="0"/>
        <w:rPr>
          <w:sz w:val="20"/>
          <w:szCs w:val="20"/>
          <w:color w:val="auto"/>
        </w:rPr>
      </w:pPr>
      <w:r>
        <w:rPr>
          <w:rFonts w:ascii="Arial" w:cs="Arial" w:eastAsia="Arial" w:hAnsi="Arial"/>
          <w:sz w:val="18"/>
          <w:szCs w:val="18"/>
          <w:color w:val="auto"/>
        </w:rPr>
        <w:t>Security Description: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Principal Amount: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Gross Proceeds: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Maturity Date: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Benchmark Treasury:</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Benchmark Treasury Price and Yield:</w:t>
      </w:r>
    </w:p>
    <w:p>
      <w:pPr>
        <w:spacing w:after="0" w:line="140" w:lineRule="exact"/>
        <w:rPr>
          <w:sz w:val="20"/>
          <w:szCs w:val="20"/>
          <w:color w:val="auto"/>
        </w:rPr>
      </w:pPr>
    </w:p>
    <w:p>
      <w:pPr>
        <w:spacing w:after="0"/>
        <w:rPr>
          <w:sz w:val="20"/>
          <w:szCs w:val="20"/>
          <w:color w:val="auto"/>
        </w:rPr>
      </w:pPr>
      <w:r>
        <w:rPr>
          <w:rFonts w:ascii="Arial" w:cs="Arial" w:eastAsia="Arial" w:hAnsi="Arial"/>
          <w:sz w:val="17"/>
          <w:szCs w:val="17"/>
          <w:color w:val="auto"/>
        </w:rPr>
        <w:t> Spread to Benchmark Treasury:</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  Yield to Maturity:</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   Price to Public:</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    Coupon:</w:t>
      </w:r>
    </w:p>
    <w:p>
      <w:pPr>
        <w:spacing w:after="0" w:line="20" w:lineRule="exact"/>
        <w:rPr>
          <w:sz w:val="20"/>
          <w:szCs w:val="20"/>
          <w:color w:val="auto"/>
        </w:rPr>
      </w:pPr>
      <w:r>
        <w:rPr>
          <w:sz w:val="20"/>
          <w:szCs w:val="20"/>
          <w:color w:val="auto"/>
        </w:rPr>
        <w:br w:type="column"/>
      </w:r>
    </w:p>
    <w:p>
      <w:pPr>
        <w:spacing w:after="0" w:line="259" w:lineRule="exact"/>
        <w:rPr>
          <w:sz w:val="20"/>
          <w:szCs w:val="20"/>
          <w:color w:val="auto"/>
        </w:rPr>
      </w:pPr>
    </w:p>
    <w:p>
      <w:pPr>
        <w:spacing w:after="0"/>
        <w:rPr>
          <w:sz w:val="20"/>
          <w:szCs w:val="20"/>
          <w:color w:val="auto"/>
        </w:rPr>
      </w:pPr>
      <w:r>
        <w:rPr>
          <w:rFonts w:ascii="Arial" w:cs="Arial" w:eastAsia="Arial" w:hAnsi="Arial"/>
          <w:sz w:val="16"/>
          <w:szCs w:val="16"/>
          <w:color w:val="auto"/>
        </w:rPr>
        <w:t>5.750% Senior Notes due 2029 (the “2029 Notes”)</w:t>
      </w:r>
    </w:p>
    <w:p>
      <w:pPr>
        <w:spacing w:after="0" w:line="140" w:lineRule="exact"/>
        <w:rPr>
          <w:sz w:val="20"/>
          <w:szCs w:val="20"/>
          <w:color w:val="auto"/>
        </w:rPr>
      </w:pPr>
    </w:p>
    <w:p>
      <w:pPr>
        <w:spacing w:after="0"/>
        <w:rPr>
          <w:sz w:val="20"/>
          <w:szCs w:val="20"/>
          <w:color w:val="auto"/>
        </w:rPr>
      </w:pPr>
      <w:r>
        <w:rPr>
          <w:rFonts w:ascii="Arial" w:cs="Arial" w:eastAsia="Arial" w:hAnsi="Arial"/>
          <w:sz w:val="18"/>
          <w:szCs w:val="18"/>
          <w:color w:val="auto"/>
        </w:rPr>
        <w:t>$500,000,000</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$498,540,000</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February 15, 2029</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4.375% due August 31, 2028</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99-26</w:t>
      </w:r>
      <w:r>
        <w:rPr>
          <w:rFonts w:ascii="Arial" w:cs="Arial" w:eastAsia="Arial" w:hAnsi="Arial"/>
          <w:sz w:val="14"/>
          <w:szCs w:val="14"/>
          <w:color w:val="auto"/>
        </w:rPr>
        <w:t>1</w:t>
      </w:r>
      <w:r>
        <w:rPr>
          <w:rFonts w:ascii="Arial" w:cs="Arial" w:eastAsia="Arial" w:hAnsi="Arial"/>
          <w:sz w:val="18"/>
          <w:szCs w:val="18"/>
          <w:color w:val="auto"/>
        </w:rPr>
        <w:t>⁄</w:t>
      </w:r>
      <w:r>
        <w:rPr>
          <w:rFonts w:ascii="Arial" w:cs="Arial" w:eastAsia="Arial" w:hAnsi="Arial"/>
          <w:sz w:val="14"/>
          <w:szCs w:val="14"/>
          <w:color w:val="auto"/>
        </w:rPr>
        <w:t>4</w:t>
      </w:r>
      <w:r>
        <w:rPr>
          <w:rFonts w:ascii="Arial" w:cs="Arial" w:eastAsia="Arial" w:hAnsi="Arial"/>
          <w:sz w:val="18"/>
          <w:szCs w:val="18"/>
          <w:color w:val="auto"/>
        </w:rPr>
        <w:t>; 4.415%</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1.400%</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5.815%</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99.708% of principal amount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5.750%</w:t>
      </w:r>
    </w:p>
    <w:p>
      <w:pPr>
        <w:sectPr>
          <w:pgSz w:w="11900" w:h="16838" w:orient="portrait"/>
          <w:cols w:equalWidth="0" w:num="2">
            <w:col w:w="3520" w:space="720"/>
            <w:col w:w="6780"/>
          </w:cols>
          <w:pgMar w:left="440" w:top="274" w:right="439" w:bottom="1440" w:gutter="0" w:footer="0" w:header="0"/>
          <w:type w:val="continuous"/>
        </w:sectPr>
      </w:pPr>
    </w:p>
    <w:bookmarkStart w:id="38" w:name="page39"/>
    <w:bookmarkEnd w:id="38"/>
    <w:p>
      <w:pPr>
        <w:spacing w:after="0"/>
        <w:rPr>
          <w:sz w:val="20"/>
          <w:szCs w:val="20"/>
          <w:color w:val="auto"/>
        </w:rPr>
      </w:pPr>
      <w:r>
        <w:rPr>
          <w:rFonts w:ascii="Arial" w:cs="Arial" w:eastAsia="Arial" w:hAnsi="Arial"/>
          <w:sz w:val="18"/>
          <w:szCs w:val="18"/>
          <w:color w:val="auto"/>
        </w:rPr>
        <w:t>Interest Payment Dates: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Optional Redemption: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spacing w:after="0"/>
        <w:rPr>
          <w:sz w:val="20"/>
          <w:szCs w:val="20"/>
          <w:color w:val="auto"/>
        </w:rPr>
      </w:pPr>
      <w:r>
        <w:rPr>
          <w:rFonts w:ascii="Arial" w:cs="Arial" w:eastAsia="Arial" w:hAnsi="Arial"/>
          <w:sz w:val="18"/>
          <w:szCs w:val="18"/>
          <w:color w:val="auto"/>
        </w:rPr>
        <w:t>CUSIP / ISIN:</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18"/>
          <w:szCs w:val="18"/>
          <w:color w:val="auto"/>
        </w:rPr>
        <w:t>Security Description:</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Principal Amount:</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Gross Proceeds:</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Maturity Date:</w:t>
      </w:r>
    </w:p>
    <w:p>
      <w:pPr>
        <w:spacing w:after="0" w:line="117" w:lineRule="exact"/>
        <w:rPr>
          <w:sz w:val="20"/>
          <w:szCs w:val="20"/>
          <w:color w:val="auto"/>
        </w:rPr>
      </w:pPr>
    </w:p>
    <w:p>
      <w:pPr>
        <w:spacing w:after="0"/>
        <w:rPr>
          <w:sz w:val="20"/>
          <w:szCs w:val="20"/>
          <w:color w:val="auto"/>
        </w:rPr>
      </w:pPr>
      <w:r>
        <w:rPr>
          <w:rFonts w:ascii="Arial" w:cs="Arial" w:eastAsia="Arial" w:hAnsi="Arial"/>
          <w:sz w:val="18"/>
          <w:szCs w:val="18"/>
          <w:color w:val="auto"/>
        </w:rPr>
        <w:t>Benchmark Treasury:</w:t>
      </w:r>
    </w:p>
    <w:p>
      <w:pPr>
        <w:spacing w:after="0" w:line="117" w:lineRule="exact"/>
        <w:rPr>
          <w:sz w:val="20"/>
          <w:szCs w:val="20"/>
          <w:color w:val="auto"/>
        </w:rPr>
      </w:pPr>
    </w:p>
    <w:p>
      <w:pPr>
        <w:spacing w:after="0"/>
        <w:rPr>
          <w:sz w:val="20"/>
          <w:szCs w:val="20"/>
          <w:color w:val="auto"/>
        </w:rPr>
      </w:pPr>
      <w:r>
        <w:rPr>
          <w:rFonts w:ascii="Arial" w:cs="Arial" w:eastAsia="Arial" w:hAnsi="Arial"/>
          <w:sz w:val="16"/>
          <w:szCs w:val="16"/>
          <w:color w:val="auto"/>
        </w:rPr>
        <w:t>Benchmark Treasury Price and Yield:</w:t>
      </w:r>
    </w:p>
    <w:p>
      <w:pPr>
        <w:spacing w:after="0" w:line="140" w:lineRule="exact"/>
        <w:rPr>
          <w:sz w:val="20"/>
          <w:szCs w:val="20"/>
          <w:color w:val="auto"/>
        </w:rPr>
      </w:pPr>
    </w:p>
    <w:p>
      <w:pPr>
        <w:spacing w:after="0"/>
        <w:rPr>
          <w:sz w:val="20"/>
          <w:szCs w:val="20"/>
          <w:color w:val="auto"/>
        </w:rPr>
      </w:pPr>
      <w:r>
        <w:rPr>
          <w:rFonts w:ascii="Arial" w:cs="Arial" w:eastAsia="Arial" w:hAnsi="Arial"/>
          <w:sz w:val="17"/>
          <w:szCs w:val="17"/>
          <w:color w:val="auto"/>
        </w:rPr>
        <w:t> Spread to Benchmark Treasury:</w:t>
      </w:r>
    </w:p>
    <w:p>
      <w:pPr>
        <w:spacing w:after="0" w:line="129" w:lineRule="exact"/>
        <w:rPr>
          <w:sz w:val="20"/>
          <w:szCs w:val="20"/>
          <w:color w:val="auto"/>
        </w:rPr>
      </w:pPr>
    </w:p>
    <w:p>
      <w:pPr>
        <w:spacing w:after="0"/>
        <w:rPr>
          <w:sz w:val="20"/>
          <w:szCs w:val="20"/>
          <w:color w:val="auto"/>
        </w:rPr>
      </w:pPr>
      <w:r>
        <w:rPr>
          <w:rFonts w:ascii="Arial" w:cs="Arial" w:eastAsia="Arial" w:hAnsi="Arial"/>
          <w:sz w:val="18"/>
          <w:szCs w:val="18"/>
          <w:color w:val="auto"/>
        </w:rPr>
        <w:t>  Yield to Maturity:</w:t>
      </w:r>
    </w:p>
    <w:p>
      <w:pPr>
        <w:spacing w:after="0" w:line="20" w:lineRule="exact"/>
        <w:rPr>
          <w:sz w:val="20"/>
          <w:szCs w:val="20"/>
          <w:color w:val="auto"/>
        </w:rPr>
      </w:pPr>
      <w:r>
        <w:rPr>
          <w:sz w:val="20"/>
          <w:szCs w:val="20"/>
          <w:color w:val="auto"/>
        </w:rPr>
        <w:br w:type="column"/>
      </w:r>
    </w:p>
    <w:p>
      <w:pPr>
        <w:ind w:left="400"/>
        <w:spacing w:after="0"/>
        <w:rPr>
          <w:sz w:val="20"/>
          <w:szCs w:val="20"/>
          <w:color w:val="auto"/>
        </w:rPr>
      </w:pPr>
      <w:r>
        <w:rPr>
          <w:rFonts w:ascii="Arial" w:cs="Arial" w:eastAsia="Arial" w:hAnsi="Arial"/>
          <w:sz w:val="18"/>
          <w:szCs w:val="18"/>
          <w:color w:val="auto"/>
        </w:rPr>
        <w:t>February 15 and August 15, commencing February 15,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-2496185</wp:posOffset>
            </wp:positionH>
            <wp:positionV relativeFrom="paragraph">
              <wp:posOffset>-215900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97" w:lineRule="exact"/>
        <w:rPr>
          <w:sz w:val="20"/>
          <w:szCs w:val="20"/>
          <w:color w:val="auto"/>
        </w:rPr>
      </w:pPr>
    </w:p>
    <w:p>
      <w:pPr>
        <w:ind w:left="400" w:right="20"/>
        <w:spacing w:after="0" w:line="279" w:lineRule="auto"/>
        <w:rPr>
          <w:sz w:val="20"/>
          <w:szCs w:val="20"/>
          <w:color w:val="auto"/>
        </w:rPr>
      </w:pPr>
      <w:r>
        <w:rPr>
          <w:rFonts w:ascii="Arial" w:cs="Arial" w:eastAsia="Arial" w:hAnsi="Arial"/>
          <w:sz w:val="17"/>
          <w:szCs w:val="17"/>
          <w:color w:val="auto"/>
        </w:rPr>
        <w:t>Prior to January 15, 2029, (one month prior to the maturity date for the 2029 Notes) (the “2029 Par Call Date”), the Issuer may redeem the 2029 Notes at its option, in whole or in part, at any time and from time to time, at a redemption price (expressed as a percentage of principal amount and rounded to three decimal places) equal to the greater of:</w:t>
      </w:r>
    </w:p>
    <w:p>
      <w:pPr>
        <w:spacing w:after="0" w:line="77" w:lineRule="exact"/>
        <w:rPr>
          <w:sz w:val="20"/>
          <w:szCs w:val="20"/>
          <w:color w:val="auto"/>
        </w:rPr>
      </w:pPr>
    </w:p>
    <w:p>
      <w:pPr>
        <w:ind w:left="760"/>
        <w:spacing w:after="0" w:line="257"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2029 Notes matured on the 2029 Par Call Date) on a semi-annual basis (assuming a 360-day year consisting of twelve 30-day months) at the Treasury Rate plus 25 basis points less (b) interest accrued to the date of redemption, and</w:t>
      </w:r>
    </w:p>
    <w:p>
      <w:pPr>
        <w:spacing w:after="0" w:line="93" w:lineRule="exact"/>
        <w:rPr>
          <w:sz w:val="20"/>
          <w:szCs w:val="20"/>
          <w:color w:val="auto"/>
        </w:rPr>
      </w:pPr>
    </w:p>
    <w:p>
      <w:pPr>
        <w:ind w:left="400" w:right="1140" w:firstLine="354"/>
        <w:spacing w:after="0" w:line="440" w:lineRule="auto"/>
        <w:tabs>
          <w:tab w:leader="none" w:pos="1015" w:val="left"/>
        </w:tabs>
        <w:numPr>
          <w:ilvl w:val="0"/>
          <w:numId w:val="50"/>
        </w:numPr>
        <w:rPr>
          <w:rFonts w:ascii="Arial" w:cs="Arial" w:eastAsia="Arial" w:hAnsi="Arial"/>
          <w:sz w:val="16"/>
          <w:szCs w:val="16"/>
          <w:color w:val="auto"/>
        </w:rPr>
      </w:pPr>
      <w:r>
        <w:rPr>
          <w:rFonts w:ascii="Arial" w:cs="Arial" w:eastAsia="Arial" w:hAnsi="Arial"/>
          <w:sz w:val="16"/>
          <w:szCs w:val="16"/>
          <w:color w:val="auto"/>
        </w:rPr>
        <w:t>100% of the principal amount of the 2029 Notes to be redeemed, plus, in either case, accrued and unpaid interest thereon to the redemption date.</w:t>
      </w:r>
    </w:p>
    <w:p>
      <w:pPr>
        <w:ind w:left="400" w:right="40"/>
        <w:spacing w:after="0" w:line="259" w:lineRule="auto"/>
        <w:rPr>
          <w:sz w:val="20"/>
          <w:szCs w:val="20"/>
          <w:color w:val="auto"/>
        </w:rPr>
      </w:pPr>
      <w:r>
        <w:rPr>
          <w:rFonts w:ascii="Arial" w:cs="Arial" w:eastAsia="Arial" w:hAnsi="Arial"/>
          <w:sz w:val="18"/>
          <w:szCs w:val="18"/>
          <w:color w:val="auto"/>
        </w:rPr>
        <w:t>On or after the 2029 Par Call Date, the Issuer may redeem the 2029 Notes, in whole or in part, at any time and from time to time, at a redemption price equal to 100% of the principal amount of the 2029 Notes being redeemed plus accrued and unpaid interest thereon to the redemption date.</w:t>
      </w:r>
    </w:p>
    <w:p>
      <w:pPr>
        <w:spacing w:after="0" w:line="92"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573874 AP9 / US573874AP91</w:t>
      </w:r>
    </w:p>
    <w:p>
      <w:pPr>
        <w:spacing w:after="0" w:line="221"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$500,000,000 5.950% Senior Notes Due 2033</w:t>
      </w:r>
    </w:p>
    <w:p>
      <w:pPr>
        <w:spacing w:after="0" w:line="256"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5.950% Senior Notes due 2033 (the “2033 Notes”)</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$500,000,000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$496,740,000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September 15, 2033</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3.875% due August 15, 2033</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96-22; 4.288%</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1.750%</w:t>
      </w:r>
    </w:p>
    <w:p>
      <w:pPr>
        <w:spacing w:after="0" w:line="117" w:lineRule="exact"/>
        <w:rPr>
          <w:sz w:val="20"/>
          <w:szCs w:val="20"/>
          <w:color w:val="auto"/>
        </w:rPr>
      </w:pPr>
    </w:p>
    <w:p>
      <w:pPr>
        <w:ind w:left="400"/>
        <w:spacing w:after="0"/>
        <w:rPr>
          <w:sz w:val="20"/>
          <w:szCs w:val="20"/>
          <w:color w:val="auto"/>
        </w:rPr>
      </w:pPr>
      <w:r>
        <w:rPr>
          <w:rFonts w:ascii="Arial" w:cs="Arial" w:eastAsia="Arial" w:hAnsi="Arial"/>
          <w:sz w:val="18"/>
          <w:szCs w:val="18"/>
          <w:color w:val="auto"/>
        </w:rPr>
        <w:t>6.038%</w:t>
      </w:r>
    </w:p>
    <w:p>
      <w:pPr>
        <w:sectPr>
          <w:pgSz w:w="11900" w:h="16838" w:orient="portrait"/>
          <w:cols w:equalWidth="0" w:num="2">
            <w:col w:w="3080" w:space="720"/>
            <w:col w:w="7220"/>
          </w:cols>
          <w:pgMar w:left="440" w:top="274" w:right="439" w:bottom="1440" w:gutter="0" w:footer="0" w:header="0"/>
        </w:sectPr>
      </w:pPr>
    </w:p>
    <w:bookmarkStart w:id="39" w:name="page40"/>
    <w:bookmarkEnd w:id="39"/>
    <w:p>
      <w:pPr>
        <w:spacing w:after="0"/>
        <w:rPr>
          <w:sz w:val="20"/>
          <w:szCs w:val="20"/>
          <w:color w:val="auto"/>
        </w:rPr>
      </w:pPr>
      <w:r>
        <w:rPr>
          <w:rFonts w:ascii="Arial" w:cs="Arial" w:eastAsia="Arial" w:hAnsi="Arial"/>
          <w:sz w:val="16"/>
          <w:szCs w:val="16"/>
          <w:color w:val="auto"/>
        </w:rPr>
        <w:t>   Price to Public:</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6"/>
          <w:szCs w:val="16"/>
          <w:color w:val="auto"/>
        </w:rPr>
        <w:t>99.348% of principal amount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-2750185</wp:posOffset>
            </wp:positionH>
            <wp:positionV relativeFrom="paragraph">
              <wp:posOffset>-201295</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sectPr>
      </w:pPr>
    </w:p>
    <w:p>
      <w:pPr>
        <w:spacing w:after="0"/>
        <w:rPr>
          <w:sz w:val="20"/>
          <w:szCs w:val="20"/>
          <w:color w:val="auto"/>
        </w:rPr>
      </w:pPr>
      <w:r>
        <w:rPr>
          <w:rFonts w:ascii="Arial" w:cs="Arial" w:eastAsia="Arial" w:hAnsi="Arial"/>
          <w:sz w:val="17"/>
          <w:szCs w:val="17"/>
          <w:color w:val="auto"/>
        </w:rPr>
        <w:t>    Coupon:</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5"/>
          <w:szCs w:val="15"/>
          <w:color w:val="auto"/>
        </w:rPr>
        <w:t>5.950%</w:t>
      </w:r>
    </w:p>
    <w:p>
      <w:pPr>
        <w:spacing w:after="0" w:line="151"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6"/>
          <w:szCs w:val="16"/>
          <w:color w:val="auto"/>
        </w:rPr>
        <w:t>Interest Payment Dates:</w:t>
      </w:r>
    </w:p>
    <w:p>
      <w:pPr>
        <w:spacing w:after="0" w:line="20" w:lineRule="exact"/>
        <w:rPr>
          <w:sz w:val="20"/>
          <w:szCs w:val="20"/>
          <w:color w:val="auto"/>
        </w:rPr>
      </w:pPr>
      <w:r>
        <w:rPr>
          <w:sz w:val="20"/>
          <w:szCs w:val="20"/>
          <w:color w:val="auto"/>
        </w:rPr>
        <w:br w:type="column"/>
      </w:r>
    </w:p>
    <w:p>
      <w:pPr>
        <w:jc w:val="center"/>
        <w:ind w:right="2580"/>
        <w:spacing w:after="0"/>
        <w:rPr>
          <w:sz w:val="20"/>
          <w:szCs w:val="20"/>
          <w:color w:val="auto"/>
        </w:rPr>
      </w:pPr>
      <w:r>
        <w:rPr>
          <w:rFonts w:ascii="Arial" w:cs="Arial" w:eastAsia="Arial" w:hAnsi="Arial"/>
          <w:sz w:val="16"/>
          <w:szCs w:val="16"/>
          <w:color w:val="auto"/>
        </w:rPr>
        <w:t>March 15 and September 15, commencing March 15, 2024</w:t>
      </w:r>
    </w:p>
    <w:p>
      <w:pPr>
        <w:spacing w:after="0" w:line="140"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rPr>
          <w:sz w:val="20"/>
          <w:szCs w:val="20"/>
          <w:color w:val="auto"/>
        </w:rPr>
      </w:pPr>
      <w:r>
        <w:rPr>
          <w:rFonts w:ascii="Arial" w:cs="Arial" w:eastAsia="Arial" w:hAnsi="Arial"/>
          <w:sz w:val="16"/>
          <w:szCs w:val="16"/>
          <w:color w:val="auto"/>
        </w:rPr>
        <w:t>Optional Redemption:</w:t>
      </w:r>
    </w:p>
    <w:p>
      <w:pPr>
        <w:spacing w:after="0" w:line="20" w:lineRule="exact"/>
        <w:rPr>
          <w:sz w:val="20"/>
          <w:szCs w:val="20"/>
          <w:color w:val="auto"/>
        </w:rPr>
      </w:pPr>
      <w:r>
        <w:rPr>
          <w:sz w:val="20"/>
          <w:szCs w:val="20"/>
          <w:color w:val="auto"/>
        </w:rPr>
        <w:br w:type="column"/>
      </w:r>
    </w:p>
    <w:p>
      <w:pPr>
        <w:ind w:right="20"/>
        <w:spacing w:after="0" w:line="279" w:lineRule="auto"/>
        <w:rPr>
          <w:sz w:val="20"/>
          <w:szCs w:val="20"/>
          <w:color w:val="auto"/>
        </w:rPr>
      </w:pPr>
      <w:r>
        <w:rPr>
          <w:rFonts w:ascii="Arial" w:cs="Arial" w:eastAsia="Arial" w:hAnsi="Arial"/>
          <w:sz w:val="17"/>
          <w:szCs w:val="17"/>
          <w:color w:val="auto"/>
        </w:rPr>
        <w:t>Prior to June 15, 2033 (three months prior to the maturity date for the 2033 Notes) (the “2033 Par Call Date”), the Issuer may redeem the 2033 Notes at its option, in whole or in part, at any time and from time to time, at a redemption price (expressed as a percentage of principal amount and rounded to three decimal places) equal to the greater of:</w:t>
      </w:r>
    </w:p>
    <w:p>
      <w:pPr>
        <w:spacing w:after="0" w:line="77"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ind w:left="4560"/>
        <w:spacing w:after="0" w:line="257"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2033 Notes matured on the 2033 Par Call Date) on a semi-annual basis (assuming a 360-day year consisting of twelve 30-day months) at the Treasury Rate plus 30 basis points less (b) interest accrued to the date of redemption, and</w:t>
      </w:r>
    </w:p>
    <w:p>
      <w:pPr>
        <w:spacing w:after="0" w:line="93" w:lineRule="exact"/>
        <w:rPr>
          <w:sz w:val="20"/>
          <w:szCs w:val="20"/>
          <w:color w:val="auto"/>
        </w:rPr>
      </w:pPr>
    </w:p>
    <w:p>
      <w:pPr>
        <w:ind w:left="4560"/>
        <w:spacing w:after="0"/>
        <w:rPr>
          <w:sz w:val="20"/>
          <w:szCs w:val="20"/>
          <w:color w:val="auto"/>
        </w:rPr>
      </w:pPr>
      <w:r>
        <w:rPr>
          <w:rFonts w:ascii="Arial" w:cs="Arial" w:eastAsia="Arial" w:hAnsi="Arial"/>
          <w:sz w:val="18"/>
          <w:szCs w:val="18"/>
          <w:color w:val="auto"/>
        </w:rPr>
        <w:t>(2) 100% of the principal amount of the 2033 Notes to be redeemed,</w:t>
      </w:r>
    </w:p>
    <w:p>
      <w:pPr>
        <w:spacing w:after="0" w:line="131" w:lineRule="exact"/>
        <w:rPr>
          <w:sz w:val="20"/>
          <w:szCs w:val="20"/>
          <w:color w:val="auto"/>
        </w:rPr>
      </w:pPr>
    </w:p>
    <w:p>
      <w:pPr>
        <w:ind w:left="4200"/>
        <w:spacing w:after="0"/>
        <w:rPr>
          <w:sz w:val="20"/>
          <w:szCs w:val="20"/>
          <w:color w:val="auto"/>
        </w:rPr>
      </w:pPr>
      <w:r>
        <w:rPr>
          <w:rFonts w:ascii="Arial" w:cs="Arial" w:eastAsia="Arial" w:hAnsi="Arial"/>
          <w:sz w:val="18"/>
          <w:szCs w:val="18"/>
          <w:color w:val="auto"/>
        </w:rPr>
        <w:t>plus, in either case, accrued and unpaid interest thereon to the redemption date.</w:t>
      </w:r>
    </w:p>
    <w:p>
      <w:pPr>
        <w:spacing w:after="0" w:line="131" w:lineRule="exact"/>
        <w:rPr>
          <w:sz w:val="20"/>
          <w:szCs w:val="20"/>
          <w:color w:val="auto"/>
        </w:rPr>
      </w:pPr>
    </w:p>
    <w:p>
      <w:pPr>
        <w:ind w:left="4200" w:right="40"/>
        <w:spacing w:after="0" w:line="259" w:lineRule="auto"/>
        <w:rPr>
          <w:sz w:val="20"/>
          <w:szCs w:val="20"/>
          <w:color w:val="auto"/>
        </w:rPr>
      </w:pPr>
      <w:r>
        <w:rPr>
          <w:rFonts w:ascii="Arial" w:cs="Arial" w:eastAsia="Arial" w:hAnsi="Arial"/>
          <w:sz w:val="18"/>
          <w:szCs w:val="18"/>
          <w:color w:val="auto"/>
        </w:rPr>
        <w:t>On or after the 2033 Par Call Date, the Issuer may redeem the 2033 Notes, in whole or in part, at any time and from time to time, at a redemption price equal to 100% of the principal amount of the 2033 Notes being redeemed plus accrued and unpaid interest thereon to the redemption date.</w:t>
      </w:r>
    </w:p>
    <w:p>
      <w:pPr>
        <w:sectPr>
          <w:pgSz w:w="11900" w:h="16838" w:orient="portrait"/>
          <w:cols w:equalWidth="0" w:num="1">
            <w:col w:w="11020"/>
          </w:cols>
          <w:pgMar w:left="440" w:top="274" w:right="439" w:bottom="1440" w:gutter="0" w:footer="0" w:header="0"/>
          <w:type w:val="continuous"/>
        </w:sectPr>
      </w:pPr>
    </w:p>
    <w:p>
      <w:pPr>
        <w:spacing w:after="0" w:line="92" w:lineRule="exact"/>
        <w:rPr>
          <w:sz w:val="20"/>
          <w:szCs w:val="20"/>
          <w:color w:val="auto"/>
        </w:rPr>
      </w:pPr>
    </w:p>
    <w:p>
      <w:pPr>
        <w:spacing w:after="0"/>
        <w:rPr>
          <w:sz w:val="20"/>
          <w:szCs w:val="20"/>
          <w:color w:val="auto"/>
        </w:rPr>
      </w:pPr>
      <w:r>
        <w:rPr>
          <w:rFonts w:ascii="Arial" w:cs="Arial" w:eastAsia="Arial" w:hAnsi="Arial"/>
          <w:sz w:val="17"/>
          <w:szCs w:val="17"/>
          <w:color w:val="auto"/>
        </w:rPr>
        <w:t>CUSIP / ISIN:</w:t>
      </w:r>
    </w:p>
    <w:p>
      <w:pPr>
        <w:spacing w:after="0" w:line="20" w:lineRule="exact"/>
        <w:rPr>
          <w:sz w:val="20"/>
          <w:szCs w:val="20"/>
          <w:color w:val="auto"/>
        </w:rPr>
      </w:pPr>
      <w:r>
        <w:rPr>
          <w:sz w:val="20"/>
          <w:szCs w:val="20"/>
          <w:color w:val="auto"/>
        </w:rPr>
        <w:br w:type="column"/>
      </w:r>
    </w:p>
    <w:p>
      <w:pPr>
        <w:spacing w:after="0" w:line="72" w:lineRule="exact"/>
        <w:rPr>
          <w:sz w:val="20"/>
          <w:szCs w:val="20"/>
          <w:color w:val="auto"/>
        </w:rPr>
      </w:pPr>
    </w:p>
    <w:p>
      <w:pPr>
        <w:spacing w:after="0"/>
        <w:rPr>
          <w:sz w:val="20"/>
          <w:szCs w:val="20"/>
          <w:color w:val="auto"/>
        </w:rPr>
      </w:pPr>
      <w:r>
        <w:rPr>
          <w:rFonts w:ascii="Arial" w:cs="Arial" w:eastAsia="Arial" w:hAnsi="Arial"/>
          <w:sz w:val="16"/>
          <w:szCs w:val="16"/>
          <w:color w:val="auto"/>
        </w:rPr>
        <w:t>573874 AQ7 / US573874AQ74</w:t>
      </w:r>
    </w:p>
    <w:p>
      <w:pPr>
        <w:spacing w:after="0" w:line="211" w:lineRule="exact"/>
        <w:rPr>
          <w:sz w:val="20"/>
          <w:szCs w:val="20"/>
          <w:color w:val="auto"/>
        </w:rPr>
      </w:pPr>
    </w:p>
    <w:p>
      <w:pPr>
        <w:sectPr>
          <w:pgSz w:w="11900" w:h="16838" w:orient="portrait"/>
          <w:cols w:equalWidth="0" w:num="2">
            <w:col w:w="3480" w:space="720"/>
            <w:col w:w="6820"/>
          </w:cols>
          <w:pgMar w:left="440" w:top="274" w:right="439" w:bottom="1440" w:gutter="0" w:footer="0" w:header="0"/>
          <w:type w:val="continuous"/>
        </w:sectPr>
      </w:pPr>
    </w:p>
    <w:p>
      <w:pPr>
        <w:spacing w:after="0" w:line="3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p>
    <w:p>
      <w:pPr>
        <w:sectPr>
          <w:pgSz w:w="11900" w:h="16838" w:orient="portrait"/>
          <w:cols w:equalWidth="0" w:num="1">
            <w:col w:w="11020"/>
          </w:cols>
          <w:pgMar w:left="440" w:top="274" w:right="439" w:bottom="1440" w:gutter="0" w:footer="0" w:header="0"/>
          <w:type w:val="continuous"/>
        </w:sectPr>
      </w:pPr>
    </w:p>
    <w:p>
      <w:pPr>
        <w:spacing w:after="0" w:line="252" w:lineRule="exact"/>
        <w:rPr>
          <w:sz w:val="20"/>
          <w:szCs w:val="20"/>
          <w:color w:val="auto"/>
        </w:rPr>
      </w:pPr>
    </w:p>
    <w:p>
      <w:pPr>
        <w:spacing w:after="0"/>
        <w:rPr>
          <w:sz w:val="20"/>
          <w:szCs w:val="20"/>
          <w:color w:val="auto"/>
        </w:rPr>
      </w:pPr>
      <w:r>
        <w:rPr>
          <w:rFonts w:ascii="Arial" w:cs="Arial" w:eastAsia="Arial" w:hAnsi="Arial"/>
          <w:sz w:val="16"/>
          <w:szCs w:val="16"/>
          <w:color w:val="auto"/>
        </w:rPr>
        <w:t>Joint Book-running Managers:</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Arial" w:cs="Arial" w:eastAsia="Arial" w:hAnsi="Arial"/>
          <w:sz w:val="17"/>
          <w:szCs w:val="17"/>
          <w:color w:val="auto"/>
        </w:rPr>
        <w:t>J.P. Morgan Securities LLC</w:t>
      </w:r>
    </w:p>
    <w:p>
      <w:pPr>
        <w:spacing w:after="0" w:line="35" w:lineRule="exact"/>
        <w:rPr>
          <w:sz w:val="20"/>
          <w:szCs w:val="20"/>
          <w:color w:val="auto"/>
        </w:rPr>
      </w:pPr>
    </w:p>
    <w:p>
      <w:pPr>
        <w:spacing w:after="0"/>
        <w:rPr>
          <w:sz w:val="20"/>
          <w:szCs w:val="20"/>
          <w:color w:val="auto"/>
        </w:rPr>
      </w:pPr>
      <w:r>
        <w:rPr>
          <w:rFonts w:ascii="Arial" w:cs="Arial" w:eastAsia="Arial" w:hAnsi="Arial"/>
          <w:sz w:val="18"/>
          <w:szCs w:val="18"/>
          <w:color w:val="auto"/>
        </w:rPr>
        <w:t>BofA Securities, Inc.</w:t>
      </w:r>
    </w:p>
    <w:p>
      <w:pPr>
        <w:spacing w:after="0" w:line="9" w:lineRule="exact"/>
        <w:rPr>
          <w:sz w:val="20"/>
          <w:szCs w:val="20"/>
          <w:color w:val="auto"/>
        </w:rPr>
      </w:pPr>
    </w:p>
    <w:p>
      <w:pPr>
        <w:spacing w:after="0"/>
        <w:rPr>
          <w:sz w:val="20"/>
          <w:szCs w:val="20"/>
          <w:color w:val="auto"/>
        </w:rPr>
      </w:pPr>
      <w:r>
        <w:rPr>
          <w:rFonts w:ascii="Arial" w:cs="Arial" w:eastAsia="Arial" w:hAnsi="Arial"/>
          <w:sz w:val="17"/>
          <w:szCs w:val="17"/>
          <w:color w:val="auto"/>
        </w:rPr>
        <w:t>Wells Fargo Securities, LLC</w:t>
      </w:r>
    </w:p>
    <w:p>
      <w:pPr>
        <w:spacing w:after="0" w:line="21" w:lineRule="exact"/>
        <w:rPr>
          <w:sz w:val="20"/>
          <w:szCs w:val="20"/>
          <w:color w:val="auto"/>
        </w:rPr>
      </w:pPr>
    </w:p>
    <w:p>
      <w:pPr>
        <w:spacing w:after="0"/>
        <w:rPr>
          <w:sz w:val="20"/>
          <w:szCs w:val="20"/>
          <w:color w:val="auto"/>
        </w:rPr>
      </w:pPr>
      <w:r>
        <w:rPr>
          <w:rFonts w:ascii="Arial" w:cs="Arial" w:eastAsia="Arial" w:hAnsi="Arial"/>
          <w:sz w:val="16"/>
          <w:szCs w:val="16"/>
          <w:color w:val="auto"/>
        </w:rPr>
        <w:t>Citigroup Global Markets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Goldman Sachs &amp; Co. LLC</w:t>
      </w:r>
    </w:p>
    <w:p>
      <w:pPr>
        <w:sectPr>
          <w:pgSz w:w="11900" w:h="16838" w:orient="portrait"/>
          <w:cols w:equalWidth="0" w:num="2">
            <w:col w:w="3480" w:space="720"/>
            <w:col w:w="6820"/>
          </w:cols>
          <w:pgMar w:left="440" w:top="274" w:right="439" w:bottom="1440" w:gutter="0" w:footer="0" w:header="0"/>
          <w:type w:val="continuous"/>
        </w:sectPr>
      </w:pPr>
    </w:p>
    <w:bookmarkStart w:id="40" w:name="page41"/>
    <w:bookmarkEnd w:id="40"/>
    <w:p>
      <w:pPr>
        <w:ind w:left="4204"/>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HSBC Securities (USA) Inc.</w:t>
      </w:r>
    </w:p>
    <w:p>
      <w:pPr>
        <w:spacing w:after="0" w:line="23" w:lineRule="exact"/>
        <w:rPr>
          <w:sz w:val="20"/>
          <w:szCs w:val="20"/>
          <w:color w:val="auto"/>
        </w:rPr>
      </w:pPr>
    </w:p>
    <w:p>
      <w:pPr>
        <w:ind w:left="4204"/>
        <w:spacing w:after="0"/>
        <w:rPr>
          <w:sz w:val="20"/>
          <w:szCs w:val="20"/>
          <w:color w:val="auto"/>
        </w:rPr>
      </w:pPr>
      <w:r>
        <w:rPr>
          <w:rFonts w:ascii="Arial" w:cs="Arial" w:eastAsia="Arial" w:hAnsi="Arial"/>
          <w:sz w:val="18"/>
          <w:szCs w:val="18"/>
          <w:color w:val="auto"/>
        </w:rPr>
        <w:t>MUFG Securities Americas Inc.</w:t>
      </w:r>
    </w:p>
    <w:p>
      <w:pPr>
        <w:spacing w:after="0" w:line="9" w:lineRule="exact"/>
        <w:rPr>
          <w:sz w:val="20"/>
          <w:szCs w:val="20"/>
          <w:color w:val="auto"/>
        </w:rPr>
      </w:pPr>
    </w:p>
    <w:p>
      <w:pPr>
        <w:ind w:left="4204"/>
        <w:spacing w:after="0"/>
        <w:rPr>
          <w:sz w:val="20"/>
          <w:szCs w:val="20"/>
          <w:color w:val="auto"/>
        </w:rPr>
      </w:pPr>
      <w:r>
        <w:rPr>
          <w:rFonts w:ascii="Arial" w:cs="Arial" w:eastAsia="Arial" w:hAnsi="Arial"/>
          <w:sz w:val="16"/>
          <w:szCs w:val="16"/>
          <w:color w:val="auto"/>
        </w:rPr>
        <w:t>SMBC Nikko Securities America, Inc.</w:t>
      </w:r>
    </w:p>
    <w:p>
      <w:pPr>
        <w:spacing w:after="0" w:line="32" w:lineRule="exact"/>
        <w:rPr>
          <w:sz w:val="20"/>
          <w:szCs w:val="20"/>
          <w:color w:val="auto"/>
        </w:rPr>
      </w:pPr>
    </w:p>
    <w:p>
      <w:pPr>
        <w:ind w:left="4204"/>
        <w:spacing w:after="0"/>
        <w:rPr>
          <w:sz w:val="20"/>
          <w:szCs w:val="20"/>
          <w:color w:val="auto"/>
        </w:rPr>
      </w:pPr>
      <w:r>
        <w:rPr>
          <w:rFonts w:ascii="Arial" w:cs="Arial" w:eastAsia="Arial" w:hAnsi="Arial"/>
          <w:sz w:val="18"/>
          <w:szCs w:val="18"/>
          <w:color w:val="auto"/>
        </w:rPr>
        <w:t>Barclays Capital Inc.</w:t>
      </w:r>
    </w:p>
    <w:p>
      <w:pPr>
        <w:sectPr>
          <w:pgSz w:w="11900" w:h="16838" w:orient="portrait"/>
          <w:cols w:equalWidth="0" w:num="1">
            <w:col w:w="10984"/>
          </w:cols>
          <w:pgMar w:left="436" w:top="274" w:right="479" w:bottom="1440" w:gutter="0" w:footer="0" w:header="0"/>
        </w:sectPr>
      </w:pPr>
    </w:p>
    <w:p>
      <w:pPr>
        <w:spacing w:after="0" w:line="116" w:lineRule="exact"/>
        <w:rPr>
          <w:sz w:val="20"/>
          <w:szCs w:val="20"/>
          <w:color w:val="auto"/>
        </w:rPr>
      </w:pPr>
    </w:p>
    <w:p>
      <w:pPr>
        <w:ind w:left="4"/>
        <w:spacing w:after="0"/>
        <w:rPr>
          <w:sz w:val="20"/>
          <w:szCs w:val="20"/>
          <w:color w:val="auto"/>
        </w:rPr>
      </w:pPr>
      <w:r>
        <w:rPr>
          <w:rFonts w:ascii="Arial" w:cs="Arial" w:eastAsia="Arial" w:hAnsi="Arial"/>
          <w:sz w:val="15"/>
          <w:szCs w:val="15"/>
          <w:color w:val="auto"/>
        </w:rPr>
        <w:t>Co-managers:</w:t>
      </w:r>
    </w:p>
    <w:p>
      <w:pPr>
        <w:spacing w:after="0" w:line="20" w:lineRule="exact"/>
        <w:rPr>
          <w:sz w:val="20"/>
          <w:szCs w:val="20"/>
          <w:color w:val="auto"/>
        </w:rPr>
      </w:pPr>
      <w:r>
        <w:rPr>
          <w:sz w:val="20"/>
          <w:szCs w:val="20"/>
          <w:color w:val="auto"/>
        </w:rPr>
        <w:br w:type="column"/>
      </w:r>
    </w:p>
    <w:p>
      <w:pPr>
        <w:spacing w:after="0" w:line="96" w:lineRule="exact"/>
        <w:rPr>
          <w:sz w:val="20"/>
          <w:szCs w:val="20"/>
          <w:color w:val="auto"/>
        </w:rPr>
      </w:pPr>
    </w:p>
    <w:p>
      <w:pPr>
        <w:spacing w:after="0"/>
        <w:rPr>
          <w:sz w:val="20"/>
          <w:szCs w:val="20"/>
          <w:color w:val="auto"/>
        </w:rPr>
      </w:pPr>
      <w:r>
        <w:rPr>
          <w:rFonts w:ascii="Arial" w:cs="Arial" w:eastAsia="Arial" w:hAnsi="Arial"/>
          <w:sz w:val="18"/>
          <w:szCs w:val="18"/>
          <w:color w:val="auto"/>
        </w:rPr>
        <w:t>Academy Securities, Inc.</w:t>
      </w:r>
    </w:p>
    <w:p>
      <w:pPr>
        <w:spacing w:after="0" w:line="23" w:lineRule="exact"/>
        <w:rPr>
          <w:sz w:val="20"/>
          <w:szCs w:val="20"/>
          <w:color w:val="auto"/>
        </w:rPr>
      </w:pPr>
    </w:p>
    <w:p>
      <w:pPr>
        <w:spacing w:after="0"/>
        <w:rPr>
          <w:sz w:val="20"/>
          <w:szCs w:val="20"/>
          <w:color w:val="auto"/>
        </w:rPr>
      </w:pPr>
      <w:r>
        <w:rPr>
          <w:rFonts w:ascii="Arial" w:cs="Arial" w:eastAsia="Arial" w:hAnsi="Arial"/>
          <w:sz w:val="17"/>
          <w:szCs w:val="17"/>
          <w:color w:val="auto"/>
        </w:rPr>
        <w:t>BNP Paribas Securities Corp.</w:t>
      </w:r>
    </w:p>
    <w:p>
      <w:pPr>
        <w:spacing w:after="0" w:line="21" w:lineRule="exact"/>
        <w:rPr>
          <w:sz w:val="20"/>
          <w:szCs w:val="20"/>
          <w:color w:val="auto"/>
        </w:rPr>
      </w:pPr>
    </w:p>
    <w:p>
      <w:pPr>
        <w:spacing w:after="0"/>
        <w:rPr>
          <w:sz w:val="20"/>
          <w:szCs w:val="20"/>
          <w:color w:val="auto"/>
        </w:rPr>
      </w:pPr>
      <w:r>
        <w:rPr>
          <w:rFonts w:ascii="Arial" w:cs="Arial" w:eastAsia="Arial" w:hAnsi="Arial"/>
          <w:sz w:val="18"/>
          <w:szCs w:val="18"/>
          <w:color w:val="auto"/>
        </w:rPr>
        <w:t>Mizuho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Morgan Stanley &amp; Co. LLC</w:t>
      </w:r>
    </w:p>
    <w:p>
      <w:pPr>
        <w:spacing w:after="0" w:line="9" w:lineRule="exact"/>
        <w:rPr>
          <w:sz w:val="20"/>
          <w:szCs w:val="20"/>
          <w:color w:val="auto"/>
        </w:rPr>
      </w:pPr>
    </w:p>
    <w:p>
      <w:pPr>
        <w:spacing w:after="0"/>
        <w:rPr>
          <w:sz w:val="20"/>
          <w:szCs w:val="20"/>
          <w:color w:val="auto"/>
        </w:rPr>
      </w:pPr>
      <w:r>
        <w:rPr>
          <w:rFonts w:ascii="Arial" w:cs="Arial" w:eastAsia="Arial" w:hAnsi="Arial"/>
          <w:sz w:val="16"/>
          <w:szCs w:val="16"/>
          <w:color w:val="auto"/>
        </w:rPr>
        <w:t>U.S. Bancorp Investments, Inc.</w:t>
      </w:r>
    </w:p>
    <w:p>
      <w:pPr>
        <w:spacing w:after="0" w:line="32" w:lineRule="exact"/>
        <w:rPr>
          <w:sz w:val="20"/>
          <w:szCs w:val="20"/>
          <w:color w:val="auto"/>
        </w:rPr>
      </w:pPr>
    </w:p>
    <w:p>
      <w:pPr>
        <w:spacing w:after="0"/>
        <w:rPr>
          <w:sz w:val="20"/>
          <w:szCs w:val="20"/>
          <w:color w:val="auto"/>
        </w:rPr>
      </w:pPr>
      <w:r>
        <w:rPr>
          <w:rFonts w:ascii="Arial" w:cs="Arial" w:eastAsia="Arial" w:hAnsi="Arial"/>
          <w:sz w:val="18"/>
          <w:szCs w:val="18"/>
          <w:color w:val="auto"/>
        </w:rPr>
        <w:t>PNC Capital Markets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Scotia Capital (USA) Inc.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TD Securities (USA) LLC</w:t>
      </w:r>
    </w:p>
    <w:p>
      <w:pPr>
        <w:spacing w:after="0" w:line="9" w:lineRule="exact"/>
        <w:rPr>
          <w:sz w:val="20"/>
          <w:szCs w:val="20"/>
          <w:color w:val="auto"/>
        </w:rPr>
      </w:pPr>
    </w:p>
    <w:p>
      <w:pPr>
        <w:spacing w:after="0"/>
        <w:rPr>
          <w:sz w:val="20"/>
          <w:szCs w:val="20"/>
          <w:color w:val="auto"/>
        </w:rPr>
      </w:pPr>
      <w:r>
        <w:rPr>
          <w:rFonts w:ascii="Arial" w:cs="Arial" w:eastAsia="Arial" w:hAnsi="Arial"/>
          <w:sz w:val="18"/>
          <w:szCs w:val="18"/>
          <w:color w:val="auto"/>
        </w:rPr>
        <w:t>Truist Securities,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90805</wp:posOffset>
            </wp:positionH>
            <wp:positionV relativeFrom="paragraph">
              <wp:posOffset>237490</wp:posOffset>
            </wp:positionV>
            <wp:extent cx="1474470" cy="825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3484" w:space="720"/>
            <w:col w:w="6780"/>
          </w:cols>
          <w:pgMar w:left="436" w:top="274" w:right="479" w:bottom="1440" w:gutter="0" w:footer="0" w:header="0"/>
          <w:type w:val="continuous"/>
        </w:sectPr>
      </w:pPr>
    </w:p>
    <w:p>
      <w:pPr>
        <w:spacing w:after="0" w:line="200" w:lineRule="exact"/>
        <w:rPr>
          <w:sz w:val="20"/>
          <w:szCs w:val="20"/>
          <w:color w:val="auto"/>
        </w:rPr>
      </w:pPr>
    </w:p>
    <w:p>
      <w:pPr>
        <w:spacing w:after="0" w:line="256" w:lineRule="exact"/>
        <w:rPr>
          <w:sz w:val="20"/>
          <w:szCs w:val="20"/>
          <w:color w:val="auto"/>
        </w:rPr>
      </w:pPr>
    </w:p>
    <w:p>
      <w:pPr>
        <w:ind w:left="424" w:hanging="424"/>
        <w:spacing w:after="0"/>
        <w:tabs>
          <w:tab w:leader="none" w:pos="424" w:val="left"/>
        </w:tabs>
        <w:numPr>
          <w:ilvl w:val="0"/>
          <w:numId w:val="51"/>
        </w:numPr>
        <w:rPr>
          <w:rFonts w:ascii="Arial" w:cs="Arial" w:eastAsia="Arial" w:hAnsi="Arial"/>
          <w:sz w:val="18"/>
          <w:szCs w:val="18"/>
          <w:color w:val="auto"/>
        </w:rPr>
      </w:pPr>
      <w:r>
        <w:rPr>
          <w:rFonts w:ascii="Arial" w:cs="Arial" w:eastAsia="Arial" w:hAnsi="Arial"/>
          <w:sz w:val="18"/>
          <w:szCs w:val="18"/>
          <w:color w:val="auto"/>
        </w:rPr>
        <w:t>A securities rating is not a recommendation to buy, sell or hold securities and may be subject to revision or withdrawal at any time.</w:t>
      </w:r>
    </w:p>
    <w:p>
      <w:pPr>
        <w:spacing w:after="0" w:line="131" w:lineRule="exact"/>
        <w:rPr>
          <w:sz w:val="20"/>
          <w:szCs w:val="20"/>
          <w:color w:val="auto"/>
        </w:rPr>
      </w:pPr>
    </w:p>
    <w:p>
      <w:pPr>
        <w:ind w:left="424" w:hanging="424"/>
        <w:spacing w:after="0" w:line="272" w:lineRule="auto"/>
        <w:tabs>
          <w:tab w:leader="none" w:pos="424" w:val="left"/>
        </w:tabs>
        <w:numPr>
          <w:ilvl w:val="0"/>
          <w:numId w:val="52"/>
        </w:numPr>
        <w:rPr>
          <w:rFonts w:ascii="Arial" w:cs="Arial" w:eastAsia="Arial" w:hAnsi="Arial"/>
          <w:sz w:val="17"/>
          <w:szCs w:val="17"/>
          <w:color w:val="auto"/>
        </w:rPr>
      </w:pPr>
      <w:r>
        <w:rPr>
          <w:rFonts w:ascii="Arial" w:cs="Arial" w:eastAsia="Arial" w:hAnsi="Arial"/>
          <w:sz w:val="17"/>
          <w:szCs w:val="17"/>
          <w:color w:val="auto"/>
        </w:rPr>
        <w:t>It is expected that delivery of the 2029 Notes and the 2033 Notes (together, the “Notes”) will be made against payment for the Notes on or about September 18, 2023, which will be the fifth business day following the date hereof (this settlement cycle being referred to as T+5). Under Rule 15c6-1 of the Securities Exchange Act of 1934, as amended, trades in the secondary market generally are required to settle in two business days, unless the parties to a trade expressly agree otherwise. Accordingly, purchasers who wish to trade Notes prior to the second business day before the settlement date will be required, by virtue of the fact that the Notes initially will settle in T+5, to specify alternative settlement arrangements to prevent a failed settlement. Purchasers of the Notes who wish to trade the Notes prior to the second business day preceding the expected settlement date should consult their own advisors in this regard.</w:t>
      </w:r>
    </w:p>
    <w:p>
      <w:pPr>
        <w:spacing w:after="0" w:line="173" w:lineRule="exact"/>
        <w:rPr>
          <w:sz w:val="20"/>
          <w:szCs w:val="20"/>
          <w:color w:val="auto"/>
        </w:rPr>
      </w:pPr>
    </w:p>
    <w:p>
      <w:pPr>
        <w:ind w:left="4"/>
        <w:spacing w:after="0" w:line="255" w:lineRule="auto"/>
        <w:rPr>
          <w:sz w:val="20"/>
          <w:szCs w:val="20"/>
          <w:color w:val="auto"/>
        </w:rPr>
      </w:pPr>
      <w:r>
        <w:rPr>
          <w:rFonts w:ascii="Arial" w:cs="Arial" w:eastAsia="Arial" w:hAnsi="Arial"/>
          <w:sz w:val="18"/>
          <w:szCs w:val="18"/>
          <w:b w:val="1"/>
          <w:bCs w:val="1"/>
          <w:color w:val="auto"/>
        </w:rPr>
        <w:t>The Issuer has filed a registration statement (including a prospectus) and a preliminary prospectus supplement with the SEC for the offering to which this communication relates. Before you invest, you should read the prospectus in that registration statement, the preliminary prospectus supplement and other documents the Issuer has filed with the SEC for more complete information about the Issuer and this offering. You may get these documents for free by visiting EDGAR on the SEC website at www.sec.gov. Alternatively, the Issuer, any underwriter or any dealer participating in the offering will arrange to send you the prospectus and the preliminary prospectus supplement if you request them by calling J.P. Morgan Securities LLC at 1-212-834-4533 (collect), BofA Securities, Inc. at 1-800-294-1322 or Wells Fargo Securities, LLC at 1-800-645-3751.</w:t>
      </w:r>
    </w:p>
    <w:p>
      <w:pPr>
        <w:spacing w:after="0" w:line="189" w:lineRule="exact"/>
        <w:rPr>
          <w:sz w:val="20"/>
          <w:szCs w:val="20"/>
          <w:color w:val="auto"/>
        </w:rPr>
      </w:pPr>
    </w:p>
    <w:p>
      <w:pPr>
        <w:ind w:left="4" w:right="220"/>
        <w:spacing w:after="0" w:line="282" w:lineRule="auto"/>
        <w:rPr>
          <w:sz w:val="20"/>
          <w:szCs w:val="20"/>
          <w:color w:val="auto"/>
        </w:rPr>
      </w:pPr>
      <w:r>
        <w:rPr>
          <w:rFonts w:ascii="Arial" w:cs="Arial" w:eastAsia="Arial" w:hAnsi="Arial"/>
          <w:sz w:val="18"/>
          <w:szCs w:val="18"/>
          <w:b w:val="1"/>
          <w:bCs w:val="1"/>
          <w:color w:val="auto"/>
        </w:rPr>
        <w:t>This communication does not constitute an offer to sell or the solicitation of an offer to buy any securities in any jurisdiction to any person to whom it is unlawful to make such offer or solicitation in such jurisdiction.</w:t>
      </w:r>
    </w:p>
    <w:p>
      <w:pPr>
        <w:spacing w:after="0" w:line="162" w:lineRule="exact"/>
        <w:rPr>
          <w:sz w:val="20"/>
          <w:szCs w:val="20"/>
          <w:color w:val="auto"/>
        </w:rPr>
      </w:pPr>
    </w:p>
    <w:p>
      <w:pPr>
        <w:ind w:left="4" w:right="180"/>
        <w:spacing w:after="0" w:line="347" w:lineRule="auto"/>
        <w:rPr>
          <w:sz w:val="20"/>
          <w:szCs w:val="20"/>
          <w:color w:val="auto"/>
        </w:rPr>
      </w:pPr>
      <w:r>
        <w:rPr>
          <w:rFonts w:ascii="Arial" w:cs="Arial" w:eastAsia="Arial" w:hAnsi="Arial"/>
          <w:sz w:val="16"/>
          <w:szCs w:val="16"/>
          <w:b w:val="1"/>
          <w:bCs w:val="1"/>
          <w:color w:val="auto"/>
        </w:rPr>
        <w:t>Any disclaimer or other notice that may appear below is not applicable to this communication and should be disregarded. Such disclaimer or notice was automatically generated as a result of this communication being sent by Bloomberg or another email system.</w:t>
      </w:r>
    </w:p>
    <w:p>
      <w:pPr>
        <w:sectPr>
          <w:pgSz w:w="11900" w:h="16838" w:orient="portrait"/>
          <w:cols w:equalWidth="0" w:num="1">
            <w:col w:w="10984"/>
          </w:cols>
          <w:pgMar w:left="436" w:top="274" w:right="479" w:bottom="1440" w:gutter="0" w:footer="0" w:header="0"/>
          <w:type w:val="continuous"/>
        </w:sectPr>
      </w:pPr>
    </w:p>
    <w:bookmarkStart w:id="41" w:name="page42"/>
    <w:bookmarkEnd w:id="41"/>
    <w:p>
      <w:pPr>
        <w:jc w:val="right"/>
        <w:spacing w:after="0"/>
        <w:rPr>
          <w:sz w:val="20"/>
          <w:szCs w:val="20"/>
          <w:color w:val="auto"/>
        </w:rPr>
      </w:pPr>
      <w:r>
        <w:rPr>
          <w:rFonts w:ascii="Arial" w:cs="Arial" w:eastAsia="Arial" w:hAnsi="Arial"/>
          <w:sz w:val="18"/>
          <w:szCs w:val="18"/>
          <w:b w:val="1"/>
          <w:bCs w:val="1"/>
          <w:color w:val="auto"/>
        </w:rPr>
        <w:t>Exhibit 4.1</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as Issuer</w:t>
      </w:r>
      <w:r>
        <w:rPr>
          <w:rFonts w:ascii="Arial" w:cs="Arial" w:eastAsia="Arial" w:hAnsi="Arial"/>
          <w:sz w:val="18"/>
          <w:szCs w:val="18"/>
          <w:color w:val="auto"/>
        </w:rPr>
        <w:t>,</w:t>
      </w:r>
    </w:p>
    <w:p>
      <w:pPr>
        <w:spacing w:after="0" w:line="211"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and</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6"/>
          <w:szCs w:val="16"/>
          <w:b w:val="1"/>
          <w:bCs w:val="1"/>
          <w:color w:val="auto"/>
        </w:rPr>
        <w:t>U.S. Bank Trust Company, National Association,</w:t>
      </w:r>
    </w:p>
    <w:p>
      <w:pPr>
        <w:spacing w:after="0" w:line="50"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as Trustee</w:t>
      </w:r>
    </w:p>
    <w:p>
      <w:pPr>
        <w:spacing w:after="0" w:line="20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5.750% Senior Notes due 2029</w:t>
      </w:r>
    </w:p>
    <w:p>
      <w:pPr>
        <w:spacing w:after="0" w:line="27" w:lineRule="exact"/>
        <w:rPr>
          <w:sz w:val="20"/>
          <w:szCs w:val="20"/>
          <w:color w:val="auto"/>
        </w:rPr>
      </w:pPr>
    </w:p>
    <w:p>
      <w:pPr>
        <w:ind w:left="3340"/>
        <w:spacing w:after="0"/>
        <w:rPr>
          <w:sz w:val="20"/>
          <w:szCs w:val="20"/>
          <w:color w:val="auto"/>
        </w:rPr>
      </w:pPr>
      <w:r>
        <w:rPr>
          <w:rFonts w:ascii="Arial" w:cs="Arial" w:eastAsia="Arial" w:hAnsi="Arial"/>
          <w:sz w:val="18"/>
          <w:szCs w:val="18"/>
          <w:b w:val="1"/>
          <w:bCs w:val="1"/>
          <w:color w:val="auto"/>
        </w:rPr>
        <w:t>5.950% Senior Notes due 2033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228600</wp:posOffset>
            </wp:positionV>
            <wp:extent cx="1474470" cy="825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THIRD SUPPLEMENTAL INDENTURE</w:t>
      </w:r>
    </w:p>
    <w:p>
      <w:pPr>
        <w:spacing w:after="0" w:line="229"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i w:val="1"/>
          <w:iCs w:val="1"/>
          <w:color w:val="auto"/>
        </w:rPr>
        <w:t>Dated as of September 18, 2023</w:t>
      </w:r>
    </w:p>
    <w:p>
      <w:pPr>
        <w:spacing w:after="0" w:line="225" w:lineRule="exact"/>
        <w:rPr>
          <w:sz w:val="20"/>
          <w:szCs w:val="20"/>
          <w:color w:val="auto"/>
        </w:rPr>
      </w:pPr>
    </w:p>
    <w:p>
      <w:pPr>
        <w:jc w:val="center"/>
        <w:ind w:right="1000"/>
        <w:spacing w:after="0"/>
        <w:rPr>
          <w:sz w:val="20"/>
          <w:szCs w:val="20"/>
          <w:color w:val="auto"/>
        </w:rPr>
      </w:pPr>
      <w:r>
        <w:rPr>
          <w:rFonts w:ascii="Arial" w:cs="Arial" w:eastAsia="Arial" w:hAnsi="Arial"/>
          <w:sz w:val="18"/>
          <w:szCs w:val="18"/>
          <w:color w:val="auto"/>
        </w:rPr>
        <w:t>to the</w:t>
      </w:r>
    </w:p>
    <w:p>
      <w:pPr>
        <w:spacing w:after="0" w:line="221" w:lineRule="exact"/>
        <w:rPr>
          <w:sz w:val="20"/>
          <w:szCs w:val="20"/>
          <w:color w:val="auto"/>
        </w:rPr>
      </w:pPr>
    </w:p>
    <w:p>
      <w:pPr>
        <w:jc w:val="center"/>
        <w:ind w:right="1000"/>
        <w:spacing w:after="0"/>
        <w:rPr>
          <w:sz w:val="20"/>
          <w:szCs w:val="20"/>
          <w:color w:val="auto"/>
        </w:rPr>
      </w:pPr>
      <w:r>
        <w:rPr>
          <w:rFonts w:ascii="Arial" w:cs="Arial" w:eastAsia="Arial" w:hAnsi="Arial"/>
          <w:sz w:val="18"/>
          <w:szCs w:val="18"/>
          <w:b w:val="1"/>
          <w:bCs w:val="1"/>
          <w:color w:val="auto"/>
        </w:rPr>
        <w:t>INDENTURE</w:t>
      </w:r>
    </w:p>
    <w:p>
      <w:pPr>
        <w:spacing w:after="0" w:line="229" w:lineRule="exact"/>
        <w:rPr>
          <w:sz w:val="20"/>
          <w:szCs w:val="20"/>
          <w:color w:val="auto"/>
        </w:rPr>
      </w:pPr>
    </w:p>
    <w:p>
      <w:pPr>
        <w:ind w:left="3540"/>
        <w:spacing w:after="0"/>
        <w:rPr>
          <w:sz w:val="20"/>
          <w:szCs w:val="20"/>
          <w:color w:val="auto"/>
        </w:rPr>
      </w:pPr>
      <w:r>
        <w:rPr>
          <w:rFonts w:ascii="Arial" w:cs="Arial" w:eastAsia="Arial" w:hAnsi="Arial"/>
          <w:sz w:val="18"/>
          <w:szCs w:val="18"/>
          <w:b w:val="1"/>
          <w:bCs w:val="1"/>
          <w:i w:val="1"/>
          <w:iCs w:val="1"/>
          <w:color w:val="auto"/>
        </w:rPr>
        <w:t>Dated as of April 12,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246380</wp:posOffset>
            </wp:positionV>
            <wp:extent cx="1474470" cy="825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0020"/>
          </w:cols>
          <w:pgMar w:left="1440" w:top="121" w:right="439" w:bottom="1440" w:gutter="0" w:footer="0" w:header="0"/>
        </w:sectPr>
      </w:pPr>
    </w:p>
    <w:bookmarkStart w:id="42" w:name="page43"/>
    <w:bookmarkEnd w:id="42"/>
    <w:tbl>
      <w:tblPr>
        <w:tblLayout w:type="fixed"/>
        <w:tblInd w:w="0" w:type="dxa"/>
        <w:tblCellMar>
          <w:top w:w="0" w:type="dxa"/>
          <w:left w:w="0" w:type="dxa"/>
          <w:bottom w:w="0" w:type="dxa"/>
          <w:right w:w="0" w:type="dxa"/>
        </w:tblCellMar>
      </w:tblPr>
      <w:tr>
        <w:trPr>
          <w:trHeight w:val="234"/>
        </w:trPr>
        <w:tc>
          <w:tcPr>
            <w:tcW w:w="360" w:type="dxa"/>
            <w:vAlign w:val="bottom"/>
          </w:tcPr>
          <w:p>
            <w:pPr>
              <w:spacing w:after="0"/>
              <w:rPr>
                <w:sz w:val="20"/>
                <w:szCs w:val="20"/>
                <w:color w:val="auto"/>
              </w:rPr>
            </w:pPr>
          </w:p>
        </w:tc>
        <w:tc>
          <w:tcPr>
            <w:tcW w:w="178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32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220" w:type="dxa"/>
            <w:vAlign w:val="bottom"/>
            <w:gridSpan w:val="5"/>
          </w:tcPr>
          <w:p>
            <w:pPr>
              <w:ind w:left="780"/>
              <w:spacing w:after="0"/>
              <w:rPr>
                <w:sz w:val="20"/>
                <w:szCs w:val="20"/>
                <w:color w:val="auto"/>
              </w:rPr>
            </w:pPr>
            <w:r>
              <w:rPr>
                <w:rFonts w:ascii="Arial" w:cs="Arial" w:eastAsia="Arial" w:hAnsi="Arial"/>
                <w:sz w:val="18"/>
                <w:szCs w:val="18"/>
                <w:b w:val="1"/>
                <w:bCs w:val="1"/>
                <w:color w:val="auto"/>
              </w:rPr>
              <w:t>TABLE OF CONTENTS</w:t>
            </w:r>
          </w:p>
        </w:tc>
        <w:tc>
          <w:tcPr>
            <w:tcW w:w="3980" w:type="dxa"/>
            <w:vAlign w:val="bottom"/>
          </w:tcPr>
          <w:p>
            <w:pPr>
              <w:spacing w:after="0"/>
              <w:rPr>
                <w:sz w:val="20"/>
                <w:szCs w:val="20"/>
                <w:color w:val="auto"/>
              </w:rPr>
            </w:pPr>
          </w:p>
        </w:tc>
      </w:tr>
      <w:tr>
        <w:trPr>
          <w:trHeight w:val="418"/>
        </w:trPr>
        <w:tc>
          <w:tcPr>
            <w:tcW w:w="6980" w:type="dxa"/>
            <w:vAlign w:val="bottom"/>
            <w:tcBorders>
              <w:bottom w:val="single" w:sz="8" w:color="0000EE"/>
            </w:tcBorders>
            <w:gridSpan w:val="28"/>
          </w:tcPr>
          <w:p>
            <w:pPr>
              <w:spacing w:after="0"/>
              <w:rPr>
                <w:sz w:val="20"/>
                <w:szCs w:val="20"/>
                <w:color w:val="auto"/>
              </w:rPr>
            </w:pPr>
            <w:r>
              <w:rPr>
                <w:rFonts w:ascii="Arial" w:cs="Arial" w:eastAsia="Arial" w:hAnsi="Arial"/>
                <w:sz w:val="18"/>
                <w:szCs w:val="18"/>
                <w:b w:val="1"/>
                <w:bCs w:val="1"/>
                <w:color w:val="0000EE"/>
              </w:rPr>
              <w:t>ARTICLE I DEFINITIONS AND OTHER PROVISIONS OF GENERAL APPLICATION</w:t>
            </w: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1</w:t>
            </w:r>
          </w:p>
        </w:tc>
      </w:tr>
      <w:tr>
        <w:trPr>
          <w:trHeight w:val="304"/>
        </w:trPr>
        <w:tc>
          <w:tcPr>
            <w:tcW w:w="360" w:type="dxa"/>
            <w:vAlign w:val="bottom"/>
          </w:tcPr>
          <w:p>
            <w:pPr>
              <w:spacing w:after="0"/>
              <w:rPr>
                <w:sz w:val="24"/>
                <w:szCs w:val="24"/>
                <w:color w:val="auto"/>
              </w:rPr>
            </w:pPr>
          </w:p>
        </w:tc>
        <w:tc>
          <w:tcPr>
            <w:tcW w:w="6620" w:type="dxa"/>
            <w:vAlign w:val="bottom"/>
            <w:gridSpan w:val="27"/>
          </w:tcPr>
          <w:p>
            <w:pPr>
              <w:spacing w:after="0"/>
              <w:rPr>
                <w:sz w:val="20"/>
                <w:szCs w:val="20"/>
                <w:color w:val="auto"/>
              </w:rPr>
            </w:pPr>
            <w:r>
              <w:rPr>
                <w:rFonts w:ascii="Arial" w:cs="Arial" w:eastAsia="Arial" w:hAnsi="Arial"/>
                <w:sz w:val="18"/>
                <w:szCs w:val="18"/>
                <w:color w:val="0000EE"/>
              </w:rPr>
              <w:t xml:space="preserve">Section 1.01. </w:t>
            </w:r>
            <w:r>
              <w:rPr>
                <w:rFonts w:ascii="Arial" w:cs="Arial" w:eastAsia="Arial" w:hAnsi="Arial"/>
                <w:sz w:val="18"/>
                <w:szCs w:val="18"/>
                <w:i w:val="1"/>
                <w:iCs w:val="1"/>
                <w:color w:val="0000EE"/>
              </w:rPr>
              <w:t>Definitions</w:t>
            </w:r>
          </w:p>
        </w:tc>
        <w:tc>
          <w:tcPr>
            <w:tcW w:w="3980" w:type="dxa"/>
            <w:vAlign w:val="bottom"/>
          </w:tcPr>
          <w:p>
            <w:pPr>
              <w:jc w:val="right"/>
              <w:spacing w:after="0"/>
              <w:rPr>
                <w:sz w:val="20"/>
                <w:szCs w:val="20"/>
                <w:color w:val="auto"/>
              </w:rPr>
            </w:pPr>
            <w:r>
              <w:rPr>
                <w:rFonts w:ascii="Arial" w:cs="Arial" w:eastAsia="Arial" w:hAnsi="Arial"/>
                <w:sz w:val="18"/>
                <w:szCs w:val="18"/>
                <w:color w:val="auto"/>
              </w:rPr>
              <w:t>1</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6620" w:type="dxa"/>
            <w:vAlign w:val="bottom"/>
            <w:gridSpan w:val="27"/>
          </w:tcPr>
          <w:p>
            <w:pPr>
              <w:spacing w:after="0" w:line="196" w:lineRule="exact"/>
              <w:rPr>
                <w:sz w:val="20"/>
                <w:szCs w:val="20"/>
                <w:color w:val="auto"/>
              </w:rPr>
            </w:pPr>
            <w:r>
              <w:rPr>
                <w:rFonts w:ascii="Arial" w:cs="Arial" w:eastAsia="Arial" w:hAnsi="Arial"/>
                <w:sz w:val="18"/>
                <w:szCs w:val="18"/>
                <w:color w:val="0000EE"/>
              </w:rPr>
              <w:t xml:space="preserve">Section 1.02. </w:t>
            </w:r>
            <w:r>
              <w:rPr>
                <w:rFonts w:ascii="Arial" w:cs="Arial" w:eastAsia="Arial" w:hAnsi="Arial"/>
                <w:sz w:val="18"/>
                <w:szCs w:val="18"/>
                <w:i w:val="1"/>
                <w:iCs w:val="1"/>
                <w:color w:val="0000EE"/>
              </w:rPr>
              <w:t>Relationship with Base Indenture</w:t>
            </w: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6</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304"/>
        </w:trPr>
        <w:tc>
          <w:tcPr>
            <w:tcW w:w="2540" w:type="dxa"/>
            <w:vAlign w:val="bottom"/>
            <w:tcBorders>
              <w:bottom w:val="single" w:sz="8" w:color="0000EE"/>
            </w:tcBorders>
            <w:gridSpan w:val="8"/>
          </w:tcPr>
          <w:p>
            <w:pPr>
              <w:spacing w:after="0"/>
              <w:rPr>
                <w:sz w:val="20"/>
                <w:szCs w:val="20"/>
                <w:color w:val="auto"/>
              </w:rPr>
            </w:pPr>
            <w:r>
              <w:rPr>
                <w:rFonts w:ascii="Arial" w:cs="Arial" w:eastAsia="Arial" w:hAnsi="Arial"/>
                <w:sz w:val="18"/>
                <w:szCs w:val="18"/>
                <w:b w:val="1"/>
                <w:bCs w:val="1"/>
                <w:color w:val="0000EE"/>
              </w:rPr>
              <w:t>ARTICLE II FORM OF NOTES</w:t>
            </w:r>
          </w:p>
        </w:tc>
        <w:tc>
          <w:tcPr>
            <w:tcW w:w="4440" w:type="dxa"/>
            <w:vAlign w:val="bottom"/>
            <w:gridSpan w:val="20"/>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304"/>
        </w:trPr>
        <w:tc>
          <w:tcPr>
            <w:tcW w:w="360" w:type="dxa"/>
            <w:vAlign w:val="bottom"/>
          </w:tcPr>
          <w:p>
            <w:pPr>
              <w:spacing w:after="0"/>
              <w:rPr>
                <w:sz w:val="24"/>
                <w:szCs w:val="24"/>
                <w:color w:val="auto"/>
              </w:rPr>
            </w:pPr>
          </w:p>
        </w:tc>
        <w:tc>
          <w:tcPr>
            <w:tcW w:w="6620" w:type="dxa"/>
            <w:vAlign w:val="bottom"/>
            <w:gridSpan w:val="27"/>
          </w:tcPr>
          <w:p>
            <w:pPr>
              <w:spacing w:after="0"/>
              <w:rPr>
                <w:sz w:val="20"/>
                <w:szCs w:val="20"/>
                <w:color w:val="auto"/>
              </w:rPr>
            </w:pPr>
            <w:r>
              <w:rPr>
                <w:rFonts w:ascii="Arial" w:cs="Arial" w:eastAsia="Arial" w:hAnsi="Arial"/>
                <w:sz w:val="18"/>
                <w:szCs w:val="18"/>
                <w:color w:val="0000EE"/>
              </w:rPr>
              <w:t xml:space="preserve">Section 2.01. </w:t>
            </w:r>
            <w:r>
              <w:rPr>
                <w:rFonts w:ascii="Arial" w:cs="Arial" w:eastAsia="Arial" w:hAnsi="Arial"/>
                <w:sz w:val="18"/>
                <w:szCs w:val="18"/>
                <w:i w:val="1"/>
                <w:iCs w:val="1"/>
                <w:color w:val="0000EE"/>
              </w:rPr>
              <w:t>Form of Notes</w:t>
            </w:r>
          </w:p>
        </w:tc>
        <w:tc>
          <w:tcPr>
            <w:tcW w:w="3980" w:type="dxa"/>
            <w:vAlign w:val="bottom"/>
          </w:tcPr>
          <w:p>
            <w:pPr>
              <w:jc w:val="right"/>
              <w:spacing w:after="0"/>
              <w:rPr>
                <w:sz w:val="20"/>
                <w:szCs w:val="20"/>
                <w:color w:val="auto"/>
              </w:rPr>
            </w:pPr>
            <w:r>
              <w:rPr>
                <w:rFonts w:ascii="Arial" w:cs="Arial" w:eastAsia="Arial" w:hAnsi="Arial"/>
                <w:sz w:val="18"/>
                <w:szCs w:val="18"/>
                <w:color w:val="auto"/>
              </w:rPr>
              <w:t>6</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2980" w:type="dxa"/>
            <w:vAlign w:val="bottom"/>
            <w:tcBorders>
              <w:bottom w:val="single" w:sz="8" w:color="0000EE"/>
            </w:tcBorders>
            <w:gridSpan w:val="17"/>
          </w:tcPr>
          <w:p>
            <w:pPr>
              <w:spacing w:after="0" w:line="196" w:lineRule="exact"/>
              <w:rPr>
                <w:sz w:val="20"/>
                <w:szCs w:val="20"/>
                <w:color w:val="auto"/>
              </w:rPr>
            </w:pPr>
            <w:r>
              <w:rPr>
                <w:rFonts w:ascii="Arial" w:cs="Arial" w:eastAsia="Arial" w:hAnsi="Arial"/>
                <w:sz w:val="18"/>
                <w:szCs w:val="18"/>
                <w:color w:val="0000EE"/>
                <w:w w:val="89"/>
              </w:rPr>
              <w:t xml:space="preserve">Section 2.02. </w:t>
            </w:r>
            <w:r>
              <w:rPr>
                <w:rFonts w:ascii="Arial" w:cs="Arial" w:eastAsia="Arial" w:hAnsi="Arial"/>
                <w:sz w:val="18"/>
                <w:szCs w:val="18"/>
                <w:i w:val="1"/>
                <w:iCs w:val="1"/>
                <w:color w:val="0000EE"/>
                <w:w w:val="89"/>
              </w:rPr>
              <w:t>Special Transfer Provisions</w:t>
            </w:r>
          </w:p>
        </w:tc>
        <w:tc>
          <w:tcPr>
            <w:tcW w:w="3640" w:type="dxa"/>
            <w:vAlign w:val="bottom"/>
            <w:gridSpan w:val="10"/>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7</w:t>
            </w:r>
          </w:p>
        </w:tc>
      </w:tr>
      <w:tr>
        <w:trPr>
          <w:trHeight w:val="304"/>
        </w:trPr>
        <w:tc>
          <w:tcPr>
            <w:tcW w:w="2920" w:type="dxa"/>
            <w:vAlign w:val="bottom"/>
            <w:tcBorders>
              <w:bottom w:val="single" w:sz="8" w:color="0000EE"/>
            </w:tcBorders>
            <w:gridSpan w:val="15"/>
          </w:tcPr>
          <w:p>
            <w:pPr>
              <w:spacing w:after="0"/>
              <w:rPr>
                <w:sz w:val="20"/>
                <w:szCs w:val="20"/>
                <w:color w:val="auto"/>
              </w:rPr>
            </w:pPr>
            <w:r>
              <w:rPr>
                <w:rFonts w:ascii="Arial" w:cs="Arial" w:eastAsia="Arial" w:hAnsi="Arial"/>
                <w:sz w:val="18"/>
                <w:szCs w:val="18"/>
                <w:b w:val="1"/>
                <w:bCs w:val="1"/>
                <w:color w:val="0000EE"/>
              </w:rPr>
              <w:t>ARTICLE III THE INITIAL NOTES</w:t>
            </w:r>
          </w:p>
        </w:tc>
        <w:tc>
          <w:tcPr>
            <w:tcW w:w="4060" w:type="dxa"/>
            <w:vAlign w:val="bottom"/>
            <w:gridSpan w:val="13"/>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8</w:t>
            </w:r>
          </w:p>
        </w:tc>
      </w:tr>
      <w:tr>
        <w:trPr>
          <w:trHeight w:val="304"/>
        </w:trPr>
        <w:tc>
          <w:tcPr>
            <w:tcW w:w="360" w:type="dxa"/>
            <w:vAlign w:val="bottom"/>
          </w:tcPr>
          <w:p>
            <w:pPr>
              <w:spacing w:after="0"/>
              <w:rPr>
                <w:sz w:val="24"/>
                <w:szCs w:val="24"/>
                <w:color w:val="auto"/>
              </w:rPr>
            </w:pPr>
          </w:p>
        </w:tc>
        <w:tc>
          <w:tcPr>
            <w:tcW w:w="6620" w:type="dxa"/>
            <w:vAlign w:val="bottom"/>
            <w:gridSpan w:val="27"/>
          </w:tcPr>
          <w:p>
            <w:pPr>
              <w:spacing w:after="0"/>
              <w:rPr>
                <w:sz w:val="20"/>
                <w:szCs w:val="20"/>
                <w:color w:val="auto"/>
              </w:rPr>
            </w:pPr>
            <w:r>
              <w:rPr>
                <w:rFonts w:ascii="Arial" w:cs="Arial" w:eastAsia="Arial" w:hAnsi="Arial"/>
                <w:sz w:val="18"/>
                <w:szCs w:val="18"/>
                <w:color w:val="0000EE"/>
              </w:rPr>
              <w:t xml:space="preserve">Section 3.01. </w:t>
            </w:r>
            <w:r>
              <w:rPr>
                <w:rFonts w:ascii="Arial" w:cs="Arial" w:eastAsia="Arial" w:hAnsi="Arial"/>
                <w:sz w:val="18"/>
                <w:szCs w:val="18"/>
                <w:i w:val="1"/>
                <w:iCs w:val="1"/>
                <w:color w:val="0000EE"/>
              </w:rPr>
              <w:t>Amount; Series; Terms</w:t>
            </w:r>
          </w:p>
        </w:tc>
        <w:tc>
          <w:tcPr>
            <w:tcW w:w="3980" w:type="dxa"/>
            <w:vAlign w:val="bottom"/>
          </w:tcPr>
          <w:p>
            <w:pPr>
              <w:jc w:val="right"/>
              <w:spacing w:after="0"/>
              <w:rPr>
                <w:sz w:val="20"/>
                <w:szCs w:val="20"/>
                <w:color w:val="auto"/>
              </w:rPr>
            </w:pPr>
            <w:r>
              <w:rPr>
                <w:rFonts w:ascii="Arial" w:cs="Arial" w:eastAsia="Arial" w:hAnsi="Arial"/>
                <w:sz w:val="18"/>
                <w:szCs w:val="18"/>
                <w:color w:val="auto"/>
              </w:rPr>
              <w:t>8</w:t>
            </w:r>
          </w:p>
        </w:tc>
      </w:tr>
      <w:tr>
        <w:trPr>
          <w:trHeight w:val="196"/>
        </w:trPr>
        <w:tc>
          <w:tcPr>
            <w:tcW w:w="360" w:type="dxa"/>
            <w:vAlign w:val="bottom"/>
          </w:tcPr>
          <w:p>
            <w:pPr>
              <w:spacing w:after="0"/>
              <w:rPr>
                <w:sz w:val="17"/>
                <w:szCs w:val="17"/>
                <w:color w:val="auto"/>
              </w:rPr>
            </w:pPr>
          </w:p>
        </w:tc>
        <w:tc>
          <w:tcPr>
            <w:tcW w:w="2620" w:type="dxa"/>
            <w:vAlign w:val="bottom"/>
            <w:tcBorders>
              <w:top w:val="single" w:sz="8" w:color="0000EE"/>
            </w:tcBorders>
            <w:gridSpan w:val="15"/>
          </w:tcPr>
          <w:p>
            <w:pPr>
              <w:spacing w:after="0" w:line="196" w:lineRule="exact"/>
              <w:rPr>
                <w:sz w:val="20"/>
                <w:szCs w:val="20"/>
                <w:color w:val="auto"/>
              </w:rPr>
            </w:pPr>
            <w:r>
              <w:rPr>
                <w:rFonts w:ascii="Arial" w:cs="Arial" w:eastAsia="Arial" w:hAnsi="Arial"/>
                <w:sz w:val="18"/>
                <w:szCs w:val="18"/>
                <w:color w:val="0000EE"/>
              </w:rPr>
              <w:t xml:space="preserve">Section 3.02. </w:t>
            </w:r>
            <w:r>
              <w:rPr>
                <w:rFonts w:ascii="Arial" w:cs="Arial" w:eastAsia="Arial" w:hAnsi="Arial"/>
                <w:sz w:val="18"/>
                <w:szCs w:val="18"/>
                <w:i w:val="1"/>
                <w:iCs w:val="1"/>
                <w:color w:val="0000EE"/>
              </w:rPr>
              <w:t>Denominations</w:t>
            </w:r>
          </w:p>
        </w:tc>
        <w:tc>
          <w:tcPr>
            <w:tcW w:w="4000" w:type="dxa"/>
            <w:vAlign w:val="bottom"/>
            <w:gridSpan w:val="12"/>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3220" w:type="dxa"/>
            <w:vAlign w:val="bottom"/>
            <w:tcBorders>
              <w:bottom w:val="single" w:sz="8" w:color="0000EE"/>
            </w:tcBorders>
            <w:gridSpan w:val="19"/>
          </w:tcPr>
          <w:p>
            <w:pPr>
              <w:spacing w:after="0" w:line="196" w:lineRule="exact"/>
              <w:rPr>
                <w:sz w:val="20"/>
                <w:szCs w:val="20"/>
                <w:color w:val="auto"/>
              </w:rPr>
            </w:pPr>
            <w:r>
              <w:rPr>
                <w:rFonts w:ascii="Arial" w:cs="Arial" w:eastAsia="Arial" w:hAnsi="Arial"/>
                <w:sz w:val="18"/>
                <w:szCs w:val="18"/>
                <w:color w:val="0000EE"/>
                <w:w w:val="89"/>
              </w:rPr>
              <w:t xml:space="preserve">Section 3.03. </w:t>
            </w:r>
            <w:r>
              <w:rPr>
                <w:rFonts w:ascii="Arial" w:cs="Arial" w:eastAsia="Arial" w:hAnsi="Arial"/>
                <w:sz w:val="18"/>
                <w:szCs w:val="18"/>
                <w:i w:val="1"/>
                <w:iCs w:val="1"/>
                <w:color w:val="0000EE"/>
                <w:w w:val="89"/>
              </w:rPr>
              <w:t>Additional Notes; Repurchases</w:t>
            </w:r>
          </w:p>
        </w:tc>
        <w:tc>
          <w:tcPr>
            <w:tcW w:w="3400" w:type="dxa"/>
            <w:vAlign w:val="bottom"/>
            <w:gridSpan w:val="8"/>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196"/>
        </w:trPr>
        <w:tc>
          <w:tcPr>
            <w:tcW w:w="360" w:type="dxa"/>
            <w:vAlign w:val="bottom"/>
          </w:tcPr>
          <w:p>
            <w:pPr>
              <w:spacing w:after="0"/>
              <w:rPr>
                <w:sz w:val="17"/>
                <w:szCs w:val="17"/>
                <w:color w:val="auto"/>
              </w:rPr>
            </w:pPr>
          </w:p>
        </w:tc>
        <w:tc>
          <w:tcPr>
            <w:tcW w:w="6620" w:type="dxa"/>
            <w:vAlign w:val="bottom"/>
            <w:gridSpan w:val="27"/>
          </w:tcPr>
          <w:p>
            <w:pPr>
              <w:spacing w:after="0" w:line="196" w:lineRule="exact"/>
              <w:rPr>
                <w:sz w:val="20"/>
                <w:szCs w:val="20"/>
                <w:color w:val="auto"/>
              </w:rPr>
            </w:pPr>
            <w:r>
              <w:rPr>
                <w:rFonts w:ascii="Arial" w:cs="Arial" w:eastAsia="Arial" w:hAnsi="Arial"/>
                <w:sz w:val="18"/>
                <w:szCs w:val="18"/>
                <w:color w:val="0000EE"/>
              </w:rPr>
              <w:t xml:space="preserve">Section 3.04. </w:t>
            </w:r>
            <w:r>
              <w:rPr>
                <w:rFonts w:ascii="Arial" w:cs="Arial" w:eastAsia="Arial" w:hAnsi="Arial"/>
                <w:sz w:val="18"/>
                <w:szCs w:val="18"/>
                <w:i w:val="1"/>
                <w:iCs w:val="1"/>
                <w:color w:val="0000EE"/>
              </w:rPr>
              <w:t>No Sinking Fund</w:t>
            </w: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gridSpan w:val="2"/>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14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8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2940" w:type="dxa"/>
            <w:vAlign w:val="bottom"/>
            <w:tcBorders>
              <w:bottom w:val="single" w:sz="8" w:color="0000EE"/>
            </w:tcBorders>
            <w:gridSpan w:val="16"/>
          </w:tcPr>
          <w:p>
            <w:pPr>
              <w:spacing w:after="0" w:line="196" w:lineRule="exact"/>
              <w:rPr>
                <w:sz w:val="20"/>
                <w:szCs w:val="20"/>
                <w:color w:val="auto"/>
              </w:rPr>
            </w:pPr>
            <w:r>
              <w:rPr>
                <w:rFonts w:ascii="Arial" w:cs="Arial" w:eastAsia="Arial" w:hAnsi="Arial"/>
                <w:sz w:val="18"/>
                <w:szCs w:val="18"/>
                <w:color w:val="0000EE"/>
                <w:w w:val="90"/>
              </w:rPr>
              <w:t xml:space="preserve">Section 3.05. </w:t>
            </w:r>
            <w:r>
              <w:rPr>
                <w:rFonts w:ascii="Arial" w:cs="Arial" w:eastAsia="Arial" w:hAnsi="Arial"/>
                <w:sz w:val="18"/>
                <w:szCs w:val="18"/>
                <w:i w:val="1"/>
                <w:iCs w:val="1"/>
                <w:color w:val="0000EE"/>
                <w:w w:val="90"/>
              </w:rPr>
              <w:t>Satisfaction and Discharge</w:t>
            </w:r>
          </w:p>
        </w:tc>
        <w:tc>
          <w:tcPr>
            <w:tcW w:w="3680" w:type="dxa"/>
            <w:vAlign w:val="bottom"/>
            <w:gridSpan w:val="11"/>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196"/>
        </w:trPr>
        <w:tc>
          <w:tcPr>
            <w:tcW w:w="360" w:type="dxa"/>
            <w:vAlign w:val="bottom"/>
          </w:tcPr>
          <w:p>
            <w:pPr>
              <w:spacing w:after="0"/>
              <w:rPr>
                <w:sz w:val="17"/>
                <w:szCs w:val="17"/>
                <w:color w:val="auto"/>
              </w:rPr>
            </w:pPr>
          </w:p>
        </w:tc>
        <w:tc>
          <w:tcPr>
            <w:tcW w:w="2420" w:type="dxa"/>
            <w:vAlign w:val="bottom"/>
            <w:tcBorders>
              <w:bottom w:val="single" w:sz="8" w:color="0000EE"/>
            </w:tcBorders>
            <w:gridSpan w:val="11"/>
          </w:tcPr>
          <w:p>
            <w:pPr>
              <w:spacing w:after="0" w:line="196" w:lineRule="exact"/>
              <w:rPr>
                <w:sz w:val="20"/>
                <w:szCs w:val="20"/>
                <w:color w:val="auto"/>
              </w:rPr>
            </w:pPr>
            <w:r>
              <w:rPr>
                <w:rFonts w:ascii="Arial" w:cs="Arial" w:eastAsia="Arial" w:hAnsi="Arial"/>
                <w:sz w:val="18"/>
                <w:szCs w:val="18"/>
                <w:color w:val="0000EE"/>
                <w:w w:val="90"/>
              </w:rPr>
              <w:t xml:space="preserve">Section 3.06. </w:t>
            </w:r>
            <w:r>
              <w:rPr>
                <w:rFonts w:ascii="Arial" w:cs="Arial" w:eastAsia="Arial" w:hAnsi="Arial"/>
                <w:sz w:val="18"/>
                <w:szCs w:val="18"/>
                <w:i w:val="1"/>
                <w:iCs w:val="1"/>
                <w:color w:val="0000EE"/>
                <w:w w:val="90"/>
              </w:rPr>
              <w:t>Additional Amounts</w:t>
            </w:r>
          </w:p>
        </w:tc>
        <w:tc>
          <w:tcPr>
            <w:tcW w:w="4200" w:type="dxa"/>
            <w:vAlign w:val="bottom"/>
            <w:gridSpan w:val="16"/>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10</w:t>
            </w:r>
          </w:p>
        </w:tc>
      </w:tr>
      <w:tr>
        <w:trPr>
          <w:trHeight w:val="304"/>
        </w:trPr>
        <w:tc>
          <w:tcPr>
            <w:tcW w:w="6980" w:type="dxa"/>
            <w:vAlign w:val="bottom"/>
            <w:gridSpan w:val="28"/>
          </w:tcPr>
          <w:p>
            <w:pPr>
              <w:spacing w:after="0"/>
              <w:rPr>
                <w:sz w:val="20"/>
                <w:szCs w:val="20"/>
                <w:color w:val="auto"/>
              </w:rPr>
            </w:pPr>
            <w:r>
              <w:rPr>
                <w:rFonts w:ascii="Arial" w:cs="Arial" w:eastAsia="Arial" w:hAnsi="Arial"/>
                <w:sz w:val="18"/>
                <w:szCs w:val="18"/>
                <w:b w:val="1"/>
                <w:bCs w:val="1"/>
                <w:color w:val="0000EE"/>
              </w:rPr>
              <w:t>ARTICLE IV REDEMPTION OF SECURITIES</w:t>
            </w: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10</w:t>
            </w:r>
          </w:p>
        </w:tc>
      </w:tr>
      <w:tr>
        <w:trPr>
          <w:trHeight w:val="304"/>
        </w:trPr>
        <w:tc>
          <w:tcPr>
            <w:tcW w:w="360" w:type="dxa"/>
            <w:vAlign w:val="bottom"/>
            <w:tcBorders>
              <w:top w:val="single" w:sz="8" w:color="0000EE"/>
            </w:tcBorders>
          </w:tcPr>
          <w:p>
            <w:pPr>
              <w:spacing w:after="0"/>
              <w:rPr>
                <w:sz w:val="24"/>
                <w:szCs w:val="24"/>
                <w:color w:val="auto"/>
              </w:rPr>
            </w:pPr>
          </w:p>
        </w:tc>
        <w:tc>
          <w:tcPr>
            <w:tcW w:w="3400" w:type="dxa"/>
            <w:vAlign w:val="bottom"/>
            <w:tcBorders>
              <w:top w:val="single" w:sz="8" w:color="0000EE"/>
            </w:tcBorders>
            <w:gridSpan w:val="22"/>
          </w:tcPr>
          <w:p>
            <w:pPr>
              <w:spacing w:after="0"/>
              <w:rPr>
                <w:sz w:val="20"/>
                <w:szCs w:val="20"/>
                <w:color w:val="auto"/>
              </w:rPr>
            </w:pPr>
            <w:r>
              <w:rPr>
                <w:rFonts w:ascii="Arial" w:cs="Arial" w:eastAsia="Arial" w:hAnsi="Arial"/>
                <w:sz w:val="18"/>
                <w:szCs w:val="18"/>
                <w:color w:val="0000EE"/>
              </w:rPr>
              <w:t xml:space="preserve">Section 4.01. </w:t>
            </w:r>
            <w:r>
              <w:rPr>
                <w:rFonts w:ascii="Arial" w:cs="Arial" w:eastAsia="Arial" w:hAnsi="Arial"/>
                <w:sz w:val="18"/>
                <w:szCs w:val="18"/>
                <w:i w:val="1"/>
                <w:iCs w:val="1"/>
                <w:color w:val="0000EE"/>
              </w:rPr>
              <w:t>Optional Redemption</w:t>
            </w:r>
          </w:p>
        </w:tc>
        <w:tc>
          <w:tcPr>
            <w:tcW w:w="3220" w:type="dxa"/>
            <w:vAlign w:val="bottom"/>
            <w:gridSpan w:val="5"/>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color w:val="auto"/>
              </w:rPr>
              <w:t>10</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gridSpan w:val="3"/>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120" w:type="dxa"/>
            <w:vAlign w:val="bottom"/>
            <w:tcBorders>
              <w:right w:val="single" w:sz="8" w:color="0000EE"/>
            </w:tcBorders>
            <w:gridSpan w:val="2"/>
            <w:shd w:val="clear" w:color="auto" w:fill="0000EE"/>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520" w:type="dxa"/>
            <w:vAlign w:val="bottom"/>
            <w:gridSpan w:val="4"/>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100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5620" w:type="dxa"/>
            <w:vAlign w:val="bottom"/>
            <w:tcBorders>
              <w:bottom w:val="single" w:sz="8" w:color="0000EE"/>
            </w:tcBorders>
            <w:gridSpan w:val="26"/>
          </w:tcPr>
          <w:p>
            <w:pPr>
              <w:spacing w:after="0" w:line="196" w:lineRule="exact"/>
              <w:rPr>
                <w:sz w:val="20"/>
                <w:szCs w:val="20"/>
                <w:color w:val="auto"/>
              </w:rPr>
            </w:pPr>
            <w:r>
              <w:rPr>
                <w:rFonts w:ascii="Arial" w:cs="Arial" w:eastAsia="Arial" w:hAnsi="Arial"/>
                <w:sz w:val="18"/>
                <w:szCs w:val="18"/>
                <w:color w:val="0000EE"/>
                <w:w w:val="89"/>
              </w:rPr>
              <w:t xml:space="preserve">Section 4.02. </w:t>
            </w:r>
            <w:r>
              <w:rPr>
                <w:rFonts w:ascii="Arial" w:cs="Arial" w:eastAsia="Arial" w:hAnsi="Arial"/>
                <w:sz w:val="18"/>
                <w:szCs w:val="18"/>
                <w:i w:val="1"/>
                <w:iCs w:val="1"/>
                <w:color w:val="0000EE"/>
                <w:w w:val="89"/>
              </w:rPr>
              <w:t>Purchase of Notes upon a Change of Control Repurchase Event</w:t>
            </w:r>
          </w:p>
        </w:tc>
        <w:tc>
          <w:tcPr>
            <w:tcW w:w="1000" w:type="dxa"/>
            <w:vAlign w:val="bottom"/>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11</w:t>
            </w:r>
          </w:p>
        </w:tc>
      </w:tr>
      <w:tr>
        <w:trPr>
          <w:trHeight w:val="304"/>
        </w:trPr>
        <w:tc>
          <w:tcPr>
            <w:tcW w:w="3600" w:type="dxa"/>
            <w:vAlign w:val="bottom"/>
            <w:tcBorders>
              <w:bottom w:val="single" w:sz="8" w:color="0000EE"/>
            </w:tcBorders>
            <w:gridSpan w:val="21"/>
          </w:tcPr>
          <w:p>
            <w:pPr>
              <w:spacing w:after="0"/>
              <w:rPr>
                <w:sz w:val="20"/>
                <w:szCs w:val="20"/>
                <w:color w:val="auto"/>
              </w:rPr>
            </w:pPr>
            <w:r>
              <w:rPr>
                <w:rFonts w:ascii="Arial" w:cs="Arial" w:eastAsia="Arial" w:hAnsi="Arial"/>
                <w:sz w:val="18"/>
                <w:szCs w:val="18"/>
                <w:b w:val="1"/>
                <w:bCs w:val="1"/>
                <w:color w:val="0000EE"/>
              </w:rPr>
              <w:t>ARTICLE V COVENANTS AND REMEDIES</w:t>
            </w:r>
          </w:p>
        </w:tc>
        <w:tc>
          <w:tcPr>
            <w:tcW w:w="3380" w:type="dxa"/>
            <w:vAlign w:val="bottom"/>
            <w:gridSpan w:val="7"/>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13</w:t>
            </w:r>
          </w:p>
        </w:tc>
      </w:tr>
      <w:tr>
        <w:trPr>
          <w:trHeight w:val="304"/>
        </w:trPr>
        <w:tc>
          <w:tcPr>
            <w:tcW w:w="360" w:type="dxa"/>
            <w:vAlign w:val="bottom"/>
          </w:tcPr>
          <w:p>
            <w:pPr>
              <w:spacing w:after="0"/>
              <w:rPr>
                <w:sz w:val="24"/>
                <w:szCs w:val="24"/>
                <w:color w:val="auto"/>
              </w:rPr>
            </w:pPr>
          </w:p>
        </w:tc>
        <w:tc>
          <w:tcPr>
            <w:tcW w:w="2400" w:type="dxa"/>
            <w:vAlign w:val="bottom"/>
            <w:tcBorders>
              <w:bottom w:val="single" w:sz="8" w:color="0000EE"/>
            </w:tcBorders>
            <w:gridSpan w:val="10"/>
          </w:tcPr>
          <w:p>
            <w:pPr>
              <w:spacing w:after="0"/>
              <w:rPr>
                <w:sz w:val="20"/>
                <w:szCs w:val="20"/>
                <w:color w:val="auto"/>
              </w:rPr>
            </w:pPr>
            <w:r>
              <w:rPr>
                <w:rFonts w:ascii="Arial" w:cs="Arial" w:eastAsia="Arial" w:hAnsi="Arial"/>
                <w:sz w:val="18"/>
                <w:szCs w:val="18"/>
                <w:color w:val="0000EE"/>
                <w:w w:val="91"/>
              </w:rPr>
              <w:t xml:space="preserve">Section 5.01. </w:t>
            </w:r>
            <w:r>
              <w:rPr>
                <w:rFonts w:ascii="Arial" w:cs="Arial" w:eastAsia="Arial" w:hAnsi="Arial"/>
                <w:sz w:val="18"/>
                <w:szCs w:val="18"/>
                <w:i w:val="1"/>
                <w:iCs w:val="1"/>
                <w:color w:val="0000EE"/>
                <w:w w:val="91"/>
              </w:rPr>
              <w:t>Limitation on Liens</w:t>
            </w:r>
          </w:p>
        </w:tc>
        <w:tc>
          <w:tcPr>
            <w:tcW w:w="4220" w:type="dxa"/>
            <w:vAlign w:val="bottom"/>
            <w:gridSpan w:val="17"/>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color w:val="auto"/>
              </w:rPr>
              <w:t>13</w:t>
            </w:r>
          </w:p>
        </w:tc>
      </w:tr>
      <w:tr>
        <w:trPr>
          <w:trHeight w:val="196"/>
        </w:trPr>
        <w:tc>
          <w:tcPr>
            <w:tcW w:w="360" w:type="dxa"/>
            <w:vAlign w:val="bottom"/>
          </w:tcPr>
          <w:p>
            <w:pPr>
              <w:spacing w:after="0"/>
              <w:rPr>
                <w:sz w:val="17"/>
                <w:szCs w:val="17"/>
                <w:color w:val="auto"/>
              </w:rPr>
            </w:pPr>
          </w:p>
        </w:tc>
        <w:tc>
          <w:tcPr>
            <w:tcW w:w="4460" w:type="dxa"/>
            <w:vAlign w:val="bottom"/>
            <w:tcBorders>
              <w:bottom w:val="single" w:sz="8" w:color="0000EE"/>
            </w:tcBorders>
            <w:gridSpan w:val="24"/>
          </w:tcPr>
          <w:p>
            <w:pPr>
              <w:spacing w:after="0" w:line="196" w:lineRule="exact"/>
              <w:rPr>
                <w:sz w:val="20"/>
                <w:szCs w:val="20"/>
                <w:color w:val="auto"/>
              </w:rPr>
            </w:pPr>
            <w:r>
              <w:rPr>
                <w:rFonts w:ascii="Arial" w:cs="Arial" w:eastAsia="Arial" w:hAnsi="Arial"/>
                <w:sz w:val="18"/>
                <w:szCs w:val="18"/>
                <w:color w:val="0000EE"/>
                <w:w w:val="90"/>
              </w:rPr>
              <w:t xml:space="preserve">Section 5.02. </w:t>
            </w:r>
            <w:r>
              <w:rPr>
                <w:rFonts w:ascii="Arial" w:cs="Arial" w:eastAsia="Arial" w:hAnsi="Arial"/>
                <w:sz w:val="18"/>
                <w:szCs w:val="18"/>
                <w:i w:val="1"/>
                <w:iCs w:val="1"/>
                <w:color w:val="0000EE"/>
                <w:w w:val="90"/>
              </w:rPr>
              <w:t>Limitation on Sale and Leaseback Transactions</w:t>
            </w:r>
          </w:p>
        </w:tc>
        <w:tc>
          <w:tcPr>
            <w:tcW w:w="2160" w:type="dxa"/>
            <w:vAlign w:val="bottom"/>
            <w:gridSpan w:val="3"/>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15</w:t>
            </w:r>
          </w:p>
        </w:tc>
      </w:tr>
      <w:tr>
        <w:trPr>
          <w:trHeight w:val="196"/>
        </w:trPr>
        <w:tc>
          <w:tcPr>
            <w:tcW w:w="360" w:type="dxa"/>
            <w:vAlign w:val="bottom"/>
          </w:tcPr>
          <w:p>
            <w:pPr>
              <w:spacing w:after="0"/>
              <w:rPr>
                <w:sz w:val="17"/>
                <w:szCs w:val="17"/>
                <w:color w:val="auto"/>
              </w:rPr>
            </w:pPr>
          </w:p>
        </w:tc>
        <w:tc>
          <w:tcPr>
            <w:tcW w:w="2240" w:type="dxa"/>
            <w:vAlign w:val="bottom"/>
            <w:tcBorders>
              <w:bottom w:val="single" w:sz="8" w:color="0000EE"/>
            </w:tcBorders>
            <w:gridSpan w:val="9"/>
          </w:tcPr>
          <w:p>
            <w:pPr>
              <w:spacing w:after="0" w:line="196" w:lineRule="exact"/>
              <w:rPr>
                <w:sz w:val="20"/>
                <w:szCs w:val="20"/>
                <w:color w:val="auto"/>
              </w:rPr>
            </w:pPr>
            <w:r>
              <w:rPr>
                <w:rFonts w:ascii="Arial" w:cs="Arial" w:eastAsia="Arial" w:hAnsi="Arial"/>
                <w:sz w:val="18"/>
                <w:szCs w:val="18"/>
                <w:color w:val="0000EE"/>
                <w:w w:val="89"/>
              </w:rPr>
              <w:t xml:space="preserve">Section 5.03. </w:t>
            </w:r>
            <w:r>
              <w:rPr>
                <w:rFonts w:ascii="Arial" w:cs="Arial" w:eastAsia="Arial" w:hAnsi="Arial"/>
                <w:sz w:val="18"/>
                <w:szCs w:val="18"/>
                <w:i w:val="1"/>
                <w:iCs w:val="1"/>
                <w:color w:val="0000EE"/>
                <w:w w:val="89"/>
              </w:rPr>
              <w:t>Events of Default</w:t>
            </w:r>
          </w:p>
        </w:tc>
        <w:tc>
          <w:tcPr>
            <w:tcW w:w="4380" w:type="dxa"/>
            <w:vAlign w:val="bottom"/>
            <w:gridSpan w:val="18"/>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16</w:t>
            </w:r>
          </w:p>
        </w:tc>
      </w:tr>
      <w:tr>
        <w:trPr>
          <w:trHeight w:val="196"/>
        </w:trPr>
        <w:tc>
          <w:tcPr>
            <w:tcW w:w="360" w:type="dxa"/>
            <w:vAlign w:val="bottom"/>
          </w:tcPr>
          <w:p>
            <w:pPr>
              <w:spacing w:after="0"/>
              <w:rPr>
                <w:sz w:val="17"/>
                <w:szCs w:val="17"/>
                <w:color w:val="auto"/>
              </w:rPr>
            </w:pPr>
          </w:p>
        </w:tc>
        <w:tc>
          <w:tcPr>
            <w:tcW w:w="6620" w:type="dxa"/>
            <w:vAlign w:val="bottom"/>
            <w:gridSpan w:val="27"/>
          </w:tcPr>
          <w:p>
            <w:pPr>
              <w:spacing w:after="0" w:line="196" w:lineRule="exact"/>
              <w:rPr>
                <w:sz w:val="20"/>
                <w:szCs w:val="20"/>
                <w:color w:val="auto"/>
              </w:rPr>
            </w:pPr>
            <w:r>
              <w:rPr>
                <w:rFonts w:ascii="Arial" w:cs="Arial" w:eastAsia="Arial" w:hAnsi="Arial"/>
                <w:sz w:val="18"/>
                <w:szCs w:val="18"/>
                <w:color w:val="0000EE"/>
              </w:rPr>
              <w:t xml:space="preserve">Section 5.04. </w:t>
            </w:r>
            <w:r>
              <w:rPr>
                <w:rFonts w:ascii="Arial" w:cs="Arial" w:eastAsia="Arial" w:hAnsi="Arial"/>
                <w:sz w:val="18"/>
                <w:szCs w:val="18"/>
                <w:i w:val="1"/>
                <w:iCs w:val="1"/>
                <w:color w:val="0000EE"/>
              </w:rPr>
              <w:t>References in Base Indenture</w:t>
            </w: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17</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380" w:type="dxa"/>
            <w:vAlign w:val="bottom"/>
            <w:tcBorders>
              <w:right w:val="single" w:sz="8" w:color="0000EE"/>
            </w:tcBorders>
            <w:gridSpan w:val="6"/>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520" w:type="dxa"/>
            <w:vAlign w:val="bottom"/>
            <w:gridSpan w:val="4"/>
            <w:shd w:val="clear" w:color="auto" w:fill="0000EE"/>
          </w:tcPr>
          <w:p>
            <w:pPr>
              <w:spacing w:after="0" w:line="20" w:lineRule="exact"/>
              <w:rPr>
                <w:sz w:val="1"/>
                <w:szCs w:val="1"/>
                <w:color w:val="auto"/>
              </w:rPr>
            </w:pPr>
          </w:p>
        </w:tc>
        <w:tc>
          <w:tcPr>
            <w:tcW w:w="1160" w:type="dxa"/>
            <w:vAlign w:val="bottom"/>
            <w:gridSpan w:val="5"/>
          </w:tcPr>
          <w:p>
            <w:pPr>
              <w:spacing w:after="0" w:line="20" w:lineRule="exact"/>
              <w:rPr>
                <w:sz w:val="1"/>
                <w:szCs w:val="1"/>
                <w:color w:val="auto"/>
              </w:rPr>
            </w:pPr>
          </w:p>
        </w:tc>
        <w:tc>
          <w:tcPr>
            <w:tcW w:w="1160" w:type="dxa"/>
            <w:vAlign w:val="bottom"/>
            <w:gridSpan w:val="2"/>
          </w:tcPr>
          <w:p>
            <w:pPr>
              <w:spacing w:after="0" w:line="20" w:lineRule="exact"/>
              <w:rPr>
                <w:sz w:val="1"/>
                <w:szCs w:val="1"/>
                <w:color w:val="auto"/>
              </w:rPr>
            </w:pPr>
          </w:p>
        </w:tc>
        <w:tc>
          <w:tcPr>
            <w:tcW w:w="1220" w:type="dxa"/>
            <w:vAlign w:val="bottom"/>
            <w:gridSpan w:val="2"/>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304"/>
        </w:trPr>
        <w:tc>
          <w:tcPr>
            <w:tcW w:w="2380" w:type="dxa"/>
            <w:vAlign w:val="bottom"/>
            <w:tcBorders>
              <w:bottom w:val="single" w:sz="8" w:color="0000EE"/>
            </w:tcBorders>
            <w:gridSpan w:val="5"/>
          </w:tcPr>
          <w:p>
            <w:pPr>
              <w:spacing w:after="0"/>
              <w:rPr>
                <w:sz w:val="20"/>
                <w:szCs w:val="20"/>
                <w:color w:val="auto"/>
              </w:rPr>
            </w:pPr>
            <w:r>
              <w:rPr>
                <w:rFonts w:ascii="Arial" w:cs="Arial" w:eastAsia="Arial" w:hAnsi="Arial"/>
                <w:sz w:val="18"/>
                <w:szCs w:val="18"/>
                <w:b w:val="1"/>
                <w:bCs w:val="1"/>
                <w:color w:val="0000EE"/>
              </w:rPr>
              <w:t>ARTICLE VI DEFEASANCE</w:t>
            </w:r>
          </w:p>
        </w:tc>
        <w:tc>
          <w:tcPr>
            <w:tcW w:w="4600" w:type="dxa"/>
            <w:vAlign w:val="bottom"/>
            <w:gridSpan w:val="23"/>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17</w:t>
            </w:r>
          </w:p>
        </w:tc>
      </w:tr>
      <w:tr>
        <w:trPr>
          <w:trHeight w:val="304"/>
        </w:trPr>
        <w:tc>
          <w:tcPr>
            <w:tcW w:w="360" w:type="dxa"/>
            <w:vAlign w:val="bottom"/>
          </w:tcPr>
          <w:p>
            <w:pPr>
              <w:spacing w:after="0"/>
              <w:rPr>
                <w:sz w:val="24"/>
                <w:szCs w:val="24"/>
                <w:color w:val="auto"/>
              </w:rPr>
            </w:pPr>
          </w:p>
        </w:tc>
        <w:tc>
          <w:tcPr>
            <w:tcW w:w="2560" w:type="dxa"/>
            <w:vAlign w:val="bottom"/>
            <w:tcBorders>
              <w:bottom w:val="single" w:sz="8" w:color="0000EE"/>
            </w:tcBorders>
            <w:gridSpan w:val="14"/>
          </w:tcPr>
          <w:p>
            <w:pPr>
              <w:spacing w:after="0"/>
              <w:rPr>
                <w:sz w:val="20"/>
                <w:szCs w:val="20"/>
                <w:color w:val="auto"/>
              </w:rPr>
            </w:pPr>
            <w:r>
              <w:rPr>
                <w:rFonts w:ascii="Arial" w:cs="Arial" w:eastAsia="Arial" w:hAnsi="Arial"/>
                <w:sz w:val="18"/>
                <w:szCs w:val="18"/>
                <w:color w:val="0000EE"/>
                <w:w w:val="88"/>
              </w:rPr>
              <w:t xml:space="preserve">Section 6.01. </w:t>
            </w:r>
            <w:r>
              <w:rPr>
                <w:rFonts w:ascii="Arial" w:cs="Arial" w:eastAsia="Arial" w:hAnsi="Arial"/>
                <w:sz w:val="18"/>
                <w:szCs w:val="18"/>
                <w:i w:val="1"/>
                <w:iCs w:val="1"/>
                <w:color w:val="0000EE"/>
                <w:w w:val="88"/>
              </w:rPr>
              <w:t>Covenant Defeasance</w:t>
            </w:r>
          </w:p>
        </w:tc>
        <w:tc>
          <w:tcPr>
            <w:tcW w:w="4060" w:type="dxa"/>
            <w:vAlign w:val="bottom"/>
            <w:gridSpan w:val="13"/>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304"/>
        </w:trPr>
        <w:tc>
          <w:tcPr>
            <w:tcW w:w="2320" w:type="dxa"/>
            <w:vAlign w:val="bottom"/>
            <w:tcBorders>
              <w:bottom w:val="single" w:sz="8" w:color="0000EE"/>
            </w:tcBorders>
            <w:gridSpan w:val="4"/>
          </w:tcPr>
          <w:p>
            <w:pPr>
              <w:spacing w:after="0"/>
              <w:rPr>
                <w:sz w:val="20"/>
                <w:szCs w:val="20"/>
                <w:color w:val="auto"/>
              </w:rPr>
            </w:pPr>
            <w:r>
              <w:rPr>
                <w:rFonts w:ascii="Arial" w:cs="Arial" w:eastAsia="Arial" w:hAnsi="Arial"/>
                <w:sz w:val="18"/>
                <w:szCs w:val="18"/>
                <w:b w:val="1"/>
                <w:bCs w:val="1"/>
                <w:color w:val="0000EE"/>
              </w:rPr>
              <w:t>ARTICLE VII GUARANTEE</w:t>
            </w:r>
          </w:p>
        </w:tc>
        <w:tc>
          <w:tcPr>
            <w:tcW w:w="4660" w:type="dxa"/>
            <w:vAlign w:val="bottom"/>
            <w:gridSpan w:val="24"/>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17</w:t>
            </w:r>
          </w:p>
        </w:tc>
      </w:tr>
      <w:tr>
        <w:trPr>
          <w:trHeight w:val="304"/>
        </w:trPr>
        <w:tc>
          <w:tcPr>
            <w:tcW w:w="360" w:type="dxa"/>
            <w:vAlign w:val="bottom"/>
          </w:tcPr>
          <w:p>
            <w:pPr>
              <w:spacing w:after="0"/>
              <w:rPr>
                <w:sz w:val="24"/>
                <w:szCs w:val="24"/>
                <w:color w:val="auto"/>
              </w:rPr>
            </w:pPr>
          </w:p>
        </w:tc>
        <w:tc>
          <w:tcPr>
            <w:tcW w:w="1780" w:type="dxa"/>
            <w:vAlign w:val="bottom"/>
            <w:tcBorders>
              <w:bottom w:val="single" w:sz="8" w:color="0000EE"/>
            </w:tcBorders>
          </w:tcPr>
          <w:p>
            <w:pPr>
              <w:spacing w:after="0"/>
              <w:rPr>
                <w:sz w:val="20"/>
                <w:szCs w:val="20"/>
                <w:color w:val="auto"/>
              </w:rPr>
            </w:pPr>
            <w:r>
              <w:rPr>
                <w:rFonts w:ascii="Arial" w:cs="Arial" w:eastAsia="Arial" w:hAnsi="Arial"/>
                <w:sz w:val="18"/>
                <w:szCs w:val="18"/>
                <w:color w:val="0000EE"/>
                <w:w w:val="89"/>
              </w:rPr>
              <w:t xml:space="preserve">Section 7.01. </w:t>
            </w:r>
            <w:r>
              <w:rPr>
                <w:rFonts w:ascii="Arial" w:cs="Arial" w:eastAsia="Arial" w:hAnsi="Arial"/>
                <w:sz w:val="18"/>
                <w:szCs w:val="18"/>
                <w:i w:val="1"/>
                <w:iCs w:val="1"/>
                <w:color w:val="0000EE"/>
                <w:w w:val="89"/>
              </w:rPr>
              <w:t>Guarantee</w:t>
            </w:r>
          </w:p>
        </w:tc>
        <w:tc>
          <w:tcPr>
            <w:tcW w:w="4840" w:type="dxa"/>
            <w:vAlign w:val="bottom"/>
            <w:gridSpan w:val="26"/>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color w:val="auto"/>
              </w:rPr>
              <w:t>17</w:t>
            </w:r>
          </w:p>
        </w:tc>
      </w:tr>
      <w:tr>
        <w:trPr>
          <w:trHeight w:val="196"/>
        </w:trPr>
        <w:tc>
          <w:tcPr>
            <w:tcW w:w="360" w:type="dxa"/>
            <w:vAlign w:val="bottom"/>
          </w:tcPr>
          <w:p>
            <w:pPr>
              <w:spacing w:after="0"/>
              <w:rPr>
                <w:sz w:val="17"/>
                <w:szCs w:val="17"/>
                <w:color w:val="auto"/>
              </w:rPr>
            </w:pPr>
          </w:p>
        </w:tc>
        <w:tc>
          <w:tcPr>
            <w:tcW w:w="5400" w:type="dxa"/>
            <w:vAlign w:val="bottom"/>
            <w:tcBorders>
              <w:bottom w:val="single" w:sz="8" w:color="0000EE"/>
            </w:tcBorders>
            <w:gridSpan w:val="25"/>
          </w:tcPr>
          <w:p>
            <w:pPr>
              <w:spacing w:after="0" w:line="196" w:lineRule="exact"/>
              <w:rPr>
                <w:sz w:val="20"/>
                <w:szCs w:val="20"/>
                <w:color w:val="auto"/>
              </w:rPr>
            </w:pPr>
            <w:r>
              <w:rPr>
                <w:rFonts w:ascii="Arial" w:cs="Arial" w:eastAsia="Arial" w:hAnsi="Arial"/>
                <w:sz w:val="18"/>
                <w:szCs w:val="18"/>
                <w:color w:val="0000EE"/>
                <w:w w:val="92"/>
              </w:rPr>
              <w:t xml:space="preserve">Section 7.02. </w:t>
            </w:r>
            <w:r>
              <w:rPr>
                <w:rFonts w:ascii="Arial" w:cs="Arial" w:eastAsia="Arial" w:hAnsi="Arial"/>
                <w:sz w:val="18"/>
                <w:szCs w:val="18"/>
                <w:i w:val="1"/>
                <w:iCs w:val="1"/>
                <w:color w:val="0000EE"/>
                <w:w w:val="92"/>
              </w:rPr>
              <w:t>Limitation on Liability; Termination, Release and Discharge</w:t>
            </w:r>
          </w:p>
        </w:tc>
        <w:tc>
          <w:tcPr>
            <w:tcW w:w="1220" w:type="dxa"/>
            <w:vAlign w:val="bottom"/>
            <w:gridSpan w:val="2"/>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196"/>
        </w:trPr>
        <w:tc>
          <w:tcPr>
            <w:tcW w:w="360" w:type="dxa"/>
            <w:vAlign w:val="bottom"/>
          </w:tcPr>
          <w:p>
            <w:pPr>
              <w:spacing w:after="0"/>
              <w:rPr>
                <w:sz w:val="17"/>
                <w:szCs w:val="17"/>
                <w:color w:val="auto"/>
              </w:rPr>
            </w:pPr>
          </w:p>
        </w:tc>
        <w:tc>
          <w:tcPr>
            <w:tcW w:w="2540" w:type="dxa"/>
            <w:vAlign w:val="bottom"/>
            <w:tcBorders>
              <w:bottom w:val="single" w:sz="8" w:color="0000EE"/>
            </w:tcBorders>
            <w:gridSpan w:val="13"/>
          </w:tcPr>
          <w:p>
            <w:pPr>
              <w:spacing w:after="0" w:line="196" w:lineRule="exact"/>
              <w:rPr>
                <w:sz w:val="20"/>
                <w:szCs w:val="20"/>
                <w:color w:val="auto"/>
              </w:rPr>
            </w:pPr>
            <w:r>
              <w:rPr>
                <w:rFonts w:ascii="Arial" w:cs="Arial" w:eastAsia="Arial" w:hAnsi="Arial"/>
                <w:sz w:val="18"/>
                <w:szCs w:val="18"/>
                <w:color w:val="0000EE"/>
                <w:w w:val="91"/>
              </w:rPr>
              <w:t xml:space="preserve">Section 7.03. </w:t>
            </w:r>
            <w:r>
              <w:rPr>
                <w:rFonts w:ascii="Arial" w:cs="Arial" w:eastAsia="Arial" w:hAnsi="Arial"/>
                <w:sz w:val="18"/>
                <w:szCs w:val="18"/>
                <w:i w:val="1"/>
                <w:iCs w:val="1"/>
                <w:color w:val="0000EE"/>
                <w:w w:val="91"/>
              </w:rPr>
              <w:t>Right of Contribution</w:t>
            </w:r>
          </w:p>
        </w:tc>
        <w:tc>
          <w:tcPr>
            <w:tcW w:w="4080" w:type="dxa"/>
            <w:vAlign w:val="bottom"/>
            <w:gridSpan w:val="14"/>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196"/>
        </w:trPr>
        <w:tc>
          <w:tcPr>
            <w:tcW w:w="360" w:type="dxa"/>
            <w:vAlign w:val="bottom"/>
          </w:tcPr>
          <w:p>
            <w:pPr>
              <w:spacing w:after="0"/>
              <w:rPr>
                <w:sz w:val="17"/>
                <w:szCs w:val="17"/>
                <w:color w:val="auto"/>
              </w:rPr>
            </w:pPr>
          </w:p>
        </w:tc>
        <w:tc>
          <w:tcPr>
            <w:tcW w:w="2140" w:type="dxa"/>
            <w:vAlign w:val="bottom"/>
            <w:tcBorders>
              <w:bottom w:val="single" w:sz="8" w:color="0000EE"/>
            </w:tcBorders>
            <w:gridSpan w:val="6"/>
          </w:tcPr>
          <w:p>
            <w:pPr>
              <w:spacing w:after="0" w:line="196" w:lineRule="exact"/>
              <w:rPr>
                <w:sz w:val="20"/>
                <w:szCs w:val="20"/>
                <w:color w:val="auto"/>
              </w:rPr>
            </w:pPr>
            <w:r>
              <w:rPr>
                <w:rFonts w:ascii="Arial" w:cs="Arial" w:eastAsia="Arial" w:hAnsi="Arial"/>
                <w:sz w:val="18"/>
                <w:szCs w:val="18"/>
                <w:color w:val="0000EE"/>
                <w:w w:val="90"/>
              </w:rPr>
              <w:t xml:space="preserve">Section 7.04. </w:t>
            </w:r>
            <w:r>
              <w:rPr>
                <w:rFonts w:ascii="Arial" w:cs="Arial" w:eastAsia="Arial" w:hAnsi="Arial"/>
                <w:sz w:val="18"/>
                <w:szCs w:val="18"/>
                <w:i w:val="1"/>
                <w:iCs w:val="1"/>
                <w:color w:val="0000EE"/>
                <w:w w:val="90"/>
              </w:rPr>
              <w:t>No Subrogation</w:t>
            </w:r>
          </w:p>
        </w:tc>
        <w:tc>
          <w:tcPr>
            <w:tcW w:w="4480" w:type="dxa"/>
            <w:vAlign w:val="bottom"/>
            <w:gridSpan w:val="21"/>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19</w:t>
            </w:r>
          </w:p>
        </w:tc>
      </w:tr>
      <w:tr>
        <w:trPr>
          <w:trHeight w:val="304"/>
        </w:trPr>
        <w:tc>
          <w:tcPr>
            <w:tcW w:w="2880" w:type="dxa"/>
            <w:vAlign w:val="bottom"/>
            <w:tcBorders>
              <w:bottom w:val="single" w:sz="8" w:color="0000EE"/>
            </w:tcBorders>
            <w:gridSpan w:val="13"/>
          </w:tcPr>
          <w:p>
            <w:pPr>
              <w:spacing w:after="0"/>
              <w:rPr>
                <w:sz w:val="20"/>
                <w:szCs w:val="20"/>
                <w:color w:val="auto"/>
              </w:rPr>
            </w:pPr>
            <w:r>
              <w:rPr>
                <w:rFonts w:ascii="Arial" w:cs="Arial" w:eastAsia="Arial" w:hAnsi="Arial"/>
                <w:sz w:val="18"/>
                <w:szCs w:val="18"/>
                <w:b w:val="1"/>
                <w:bCs w:val="1"/>
                <w:color w:val="0000EE"/>
              </w:rPr>
              <w:t>ARTICLE VIII MISCELLANEOUS</w:t>
            </w:r>
          </w:p>
        </w:tc>
        <w:tc>
          <w:tcPr>
            <w:tcW w:w="4100" w:type="dxa"/>
            <w:vAlign w:val="bottom"/>
            <w:gridSpan w:val="15"/>
          </w:tcPr>
          <w:p>
            <w:pPr>
              <w:spacing w:after="0"/>
              <w:rPr>
                <w:sz w:val="24"/>
                <w:szCs w:val="24"/>
                <w:color w:val="auto"/>
              </w:rPr>
            </w:pPr>
          </w:p>
        </w:tc>
        <w:tc>
          <w:tcPr>
            <w:tcW w:w="3980" w:type="dxa"/>
            <w:vAlign w:val="bottom"/>
          </w:tcPr>
          <w:p>
            <w:pPr>
              <w:jc w:val="right"/>
              <w:spacing w:after="0"/>
              <w:rPr>
                <w:sz w:val="20"/>
                <w:szCs w:val="20"/>
                <w:color w:val="auto"/>
              </w:rPr>
            </w:pPr>
            <w:r>
              <w:rPr>
                <w:rFonts w:ascii="Arial" w:cs="Arial" w:eastAsia="Arial" w:hAnsi="Arial"/>
                <w:sz w:val="18"/>
                <w:szCs w:val="18"/>
                <w:b w:val="1"/>
                <w:bCs w:val="1"/>
                <w:color w:val="auto"/>
              </w:rPr>
              <w:t>20</w:t>
            </w:r>
          </w:p>
        </w:tc>
      </w:tr>
      <w:tr>
        <w:trPr>
          <w:trHeight w:val="304"/>
        </w:trPr>
        <w:tc>
          <w:tcPr>
            <w:tcW w:w="360" w:type="dxa"/>
            <w:vAlign w:val="bottom"/>
          </w:tcPr>
          <w:p>
            <w:pPr>
              <w:spacing w:after="0"/>
              <w:rPr>
                <w:sz w:val="24"/>
                <w:szCs w:val="24"/>
                <w:color w:val="auto"/>
              </w:rPr>
            </w:pPr>
          </w:p>
        </w:tc>
        <w:tc>
          <w:tcPr>
            <w:tcW w:w="6620" w:type="dxa"/>
            <w:vAlign w:val="bottom"/>
            <w:gridSpan w:val="27"/>
          </w:tcPr>
          <w:p>
            <w:pPr>
              <w:spacing w:after="0"/>
              <w:rPr>
                <w:sz w:val="20"/>
                <w:szCs w:val="20"/>
                <w:color w:val="auto"/>
              </w:rPr>
            </w:pPr>
            <w:r>
              <w:rPr>
                <w:rFonts w:ascii="Arial" w:cs="Arial" w:eastAsia="Arial" w:hAnsi="Arial"/>
                <w:sz w:val="18"/>
                <w:szCs w:val="18"/>
                <w:color w:val="0000EE"/>
              </w:rPr>
              <w:t xml:space="preserve">Section 8.01. </w:t>
            </w:r>
            <w:r>
              <w:rPr>
                <w:rFonts w:ascii="Arial" w:cs="Arial" w:eastAsia="Arial" w:hAnsi="Arial"/>
                <w:sz w:val="18"/>
                <w:szCs w:val="18"/>
                <w:i w:val="1"/>
                <w:iCs w:val="1"/>
                <w:color w:val="0000EE"/>
              </w:rPr>
              <w:t>Counterparts</w:t>
            </w:r>
          </w:p>
        </w:tc>
        <w:tc>
          <w:tcPr>
            <w:tcW w:w="3980" w:type="dxa"/>
            <w:vAlign w:val="bottom"/>
          </w:tcPr>
          <w:p>
            <w:pPr>
              <w:jc w:val="right"/>
              <w:spacing w:after="0"/>
              <w:rPr>
                <w:sz w:val="20"/>
                <w:szCs w:val="20"/>
                <w:color w:val="auto"/>
              </w:rPr>
            </w:pPr>
            <w:r>
              <w:rPr>
                <w:rFonts w:ascii="Arial" w:cs="Arial" w:eastAsia="Arial" w:hAnsi="Arial"/>
                <w:sz w:val="18"/>
                <w:szCs w:val="18"/>
                <w:color w:val="auto"/>
              </w:rPr>
              <w:t>20</w:t>
            </w:r>
          </w:p>
        </w:tc>
      </w:tr>
      <w:tr>
        <w:trPr>
          <w:trHeight w:val="20"/>
        </w:trPr>
        <w:tc>
          <w:tcPr>
            <w:tcW w:w="360" w:type="dxa"/>
            <w:vAlign w:val="bottom"/>
          </w:tcPr>
          <w:p>
            <w:pPr>
              <w:spacing w:after="0" w:line="20" w:lineRule="exact"/>
              <w:rPr>
                <w:sz w:val="1"/>
                <w:szCs w:val="1"/>
                <w:color w:val="auto"/>
              </w:rPr>
            </w:pPr>
          </w:p>
        </w:tc>
        <w:tc>
          <w:tcPr>
            <w:tcW w:w="1940" w:type="dxa"/>
            <w:vAlign w:val="bottom"/>
            <w:gridSpan w:val="2"/>
            <w:shd w:val="clear" w:color="auto" w:fill="0000EE"/>
          </w:tcPr>
          <w:p>
            <w:pPr>
              <w:spacing w:after="0" w:line="20" w:lineRule="exact"/>
              <w:rPr>
                <w:sz w:val="1"/>
                <w:szCs w:val="1"/>
                <w:color w:val="auto"/>
              </w:rPr>
            </w:pPr>
          </w:p>
        </w:tc>
        <w:tc>
          <w:tcPr>
            <w:tcW w:w="180" w:type="dxa"/>
            <w:vAlign w:val="bottom"/>
            <w:gridSpan w:val="3"/>
          </w:tcPr>
          <w:p>
            <w:pPr>
              <w:spacing w:after="0" w:line="20" w:lineRule="exact"/>
              <w:rPr>
                <w:sz w:val="1"/>
                <w:szCs w:val="1"/>
                <w:color w:val="auto"/>
              </w:rPr>
            </w:pPr>
          </w:p>
        </w:tc>
        <w:tc>
          <w:tcPr>
            <w:tcW w:w="2120" w:type="dxa"/>
            <w:vAlign w:val="bottom"/>
            <w:gridSpan w:val="18"/>
          </w:tcPr>
          <w:p>
            <w:pPr>
              <w:spacing w:after="0" w:line="20" w:lineRule="exact"/>
              <w:rPr>
                <w:sz w:val="1"/>
                <w:szCs w:val="1"/>
                <w:color w:val="auto"/>
              </w:rPr>
            </w:pPr>
          </w:p>
        </w:tc>
        <w:tc>
          <w:tcPr>
            <w:tcW w:w="2380" w:type="dxa"/>
            <w:vAlign w:val="bottom"/>
            <w:gridSpan w:val="4"/>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r>
        <w:trPr>
          <w:trHeight w:val="196"/>
        </w:trPr>
        <w:tc>
          <w:tcPr>
            <w:tcW w:w="360" w:type="dxa"/>
            <w:vAlign w:val="bottom"/>
          </w:tcPr>
          <w:p>
            <w:pPr>
              <w:spacing w:after="0"/>
              <w:rPr>
                <w:sz w:val="17"/>
                <w:szCs w:val="17"/>
                <w:color w:val="auto"/>
              </w:rPr>
            </w:pPr>
          </w:p>
        </w:tc>
        <w:tc>
          <w:tcPr>
            <w:tcW w:w="2120" w:type="dxa"/>
            <w:vAlign w:val="bottom"/>
            <w:tcBorders>
              <w:bottom w:val="single" w:sz="8" w:color="0000EE"/>
            </w:tcBorders>
            <w:gridSpan w:val="5"/>
          </w:tcPr>
          <w:p>
            <w:pPr>
              <w:spacing w:after="0" w:line="196" w:lineRule="exact"/>
              <w:rPr>
                <w:sz w:val="20"/>
                <w:szCs w:val="20"/>
                <w:color w:val="auto"/>
              </w:rPr>
            </w:pPr>
            <w:r>
              <w:rPr>
                <w:rFonts w:ascii="Arial" w:cs="Arial" w:eastAsia="Arial" w:hAnsi="Arial"/>
                <w:sz w:val="18"/>
                <w:szCs w:val="18"/>
                <w:color w:val="0000EE"/>
                <w:w w:val="90"/>
              </w:rPr>
              <w:t xml:space="preserve">Section 8.02. </w:t>
            </w:r>
            <w:r>
              <w:rPr>
                <w:rFonts w:ascii="Arial" w:cs="Arial" w:eastAsia="Arial" w:hAnsi="Arial"/>
                <w:sz w:val="18"/>
                <w:szCs w:val="18"/>
                <w:i w:val="1"/>
                <w:iCs w:val="1"/>
                <w:color w:val="0000EE"/>
                <w:w w:val="90"/>
              </w:rPr>
              <w:t>Governing Law</w:t>
            </w:r>
          </w:p>
        </w:tc>
        <w:tc>
          <w:tcPr>
            <w:tcW w:w="4500" w:type="dxa"/>
            <w:vAlign w:val="bottom"/>
            <w:gridSpan w:val="22"/>
          </w:tcPr>
          <w:p>
            <w:pPr>
              <w:spacing w:after="0"/>
              <w:rPr>
                <w:sz w:val="17"/>
                <w:szCs w:val="17"/>
                <w:color w:val="auto"/>
              </w:rPr>
            </w:pP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196"/>
        </w:trPr>
        <w:tc>
          <w:tcPr>
            <w:tcW w:w="360" w:type="dxa"/>
            <w:vAlign w:val="bottom"/>
          </w:tcPr>
          <w:p>
            <w:pPr>
              <w:spacing w:after="0"/>
              <w:rPr>
                <w:sz w:val="17"/>
                <w:szCs w:val="17"/>
                <w:color w:val="auto"/>
              </w:rPr>
            </w:pPr>
          </w:p>
        </w:tc>
        <w:tc>
          <w:tcPr>
            <w:tcW w:w="6620" w:type="dxa"/>
            <w:vAlign w:val="bottom"/>
            <w:gridSpan w:val="27"/>
          </w:tcPr>
          <w:p>
            <w:pPr>
              <w:spacing w:after="0" w:line="196" w:lineRule="exact"/>
              <w:rPr>
                <w:sz w:val="20"/>
                <w:szCs w:val="20"/>
                <w:color w:val="auto"/>
              </w:rPr>
            </w:pPr>
            <w:r>
              <w:rPr>
                <w:rFonts w:ascii="Arial" w:cs="Arial" w:eastAsia="Arial" w:hAnsi="Arial"/>
                <w:sz w:val="18"/>
                <w:szCs w:val="18"/>
                <w:color w:val="0000EE"/>
              </w:rPr>
              <w:t xml:space="preserve">Section 8.03. </w:t>
            </w:r>
            <w:r>
              <w:rPr>
                <w:rFonts w:ascii="Arial" w:cs="Arial" w:eastAsia="Arial" w:hAnsi="Arial"/>
                <w:sz w:val="18"/>
                <w:szCs w:val="18"/>
                <w:i w:val="1"/>
                <w:iCs w:val="1"/>
                <w:color w:val="0000EE"/>
              </w:rPr>
              <w:t>Recitals by the Company and the Guarantors</w:t>
            </w:r>
          </w:p>
        </w:tc>
        <w:tc>
          <w:tcPr>
            <w:tcW w:w="3980" w:type="dxa"/>
            <w:vAlign w:val="bottom"/>
          </w:tcPr>
          <w:p>
            <w:pPr>
              <w:jc w:val="right"/>
              <w:spacing w:after="0" w:line="196" w:lineRule="exact"/>
              <w:rPr>
                <w:sz w:val="20"/>
                <w:szCs w:val="20"/>
                <w:color w:val="auto"/>
              </w:rPr>
            </w:pPr>
            <w:r>
              <w:rPr>
                <w:rFonts w:ascii="Arial" w:cs="Arial" w:eastAsia="Arial" w:hAnsi="Arial"/>
                <w:sz w:val="18"/>
                <w:szCs w:val="18"/>
                <w:color w:val="auto"/>
              </w:rPr>
              <w:t>20</w:t>
            </w:r>
          </w:p>
        </w:tc>
      </w:tr>
      <w:tr>
        <w:trPr>
          <w:trHeight w:val="20"/>
        </w:trPr>
        <w:tc>
          <w:tcPr>
            <w:tcW w:w="360" w:type="dxa"/>
            <w:vAlign w:val="bottom"/>
          </w:tcPr>
          <w:p>
            <w:pPr>
              <w:spacing w:after="0" w:line="20" w:lineRule="exact"/>
              <w:rPr>
                <w:sz w:val="1"/>
                <w:szCs w:val="1"/>
                <w:color w:val="auto"/>
              </w:rPr>
            </w:pPr>
          </w:p>
        </w:tc>
        <w:tc>
          <w:tcPr>
            <w:tcW w:w="1780" w:type="dxa"/>
            <w:vAlign w:val="bottom"/>
            <w:tcBorders>
              <w:right w:val="single" w:sz="8" w:color="0000EE"/>
            </w:tcBorders>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tcBorders>
              <w:right w:val="single" w:sz="8" w:color="0000EE"/>
            </w:tcBorders>
            <w:shd w:val="clear" w:color="auto" w:fill="0000EE"/>
          </w:tcPr>
          <w:p>
            <w:pPr>
              <w:spacing w:after="0" w:line="20" w:lineRule="exact"/>
              <w:rPr>
                <w:sz w:val="1"/>
                <w:szCs w:val="1"/>
                <w:color w:val="auto"/>
              </w:rPr>
            </w:pPr>
          </w:p>
        </w:tc>
        <w:tc>
          <w:tcPr>
            <w:tcW w:w="100" w:type="dxa"/>
            <w:vAlign w:val="bottom"/>
            <w:tcBorders>
              <w:lef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6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00" w:type="dxa"/>
            <w:vAlign w:val="bottom"/>
            <w:tcBorders>
              <w:right w:val="single" w:sz="8" w:color="0000EE"/>
            </w:tcBorders>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60" w:type="dxa"/>
            <w:vAlign w:val="bottom"/>
            <w:shd w:val="clear" w:color="auto" w:fill="0000EE"/>
          </w:tcPr>
          <w:p>
            <w:pPr>
              <w:spacing w:after="0" w:line="20" w:lineRule="exact"/>
              <w:rPr>
                <w:sz w:val="1"/>
                <w:szCs w:val="1"/>
                <w:color w:val="auto"/>
              </w:rPr>
            </w:pPr>
          </w:p>
        </w:tc>
        <w:tc>
          <w:tcPr>
            <w:tcW w:w="3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10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8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3980" w:type="dxa"/>
            <w:vAlign w:val="bottom"/>
          </w:tcPr>
          <w:p>
            <w:pPr>
              <w:spacing w:after="0" w:line="20" w:lineRule="exact"/>
              <w:rPr>
                <w:sz w:val="1"/>
                <w:szCs w:val="1"/>
                <w:color w:val="auto"/>
              </w:rPr>
            </w:pPr>
          </w:p>
        </w:tc>
      </w:tr>
    </w:tbl>
    <w:p>
      <w:pPr>
        <w:spacing w:after="0" w:line="23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07"/>
        </w:trPr>
        <w:tc>
          <w:tcPr>
            <w:tcW w:w="880" w:type="dxa"/>
            <w:vAlign w:val="bottom"/>
          </w:tcPr>
          <w:p>
            <w:pPr>
              <w:spacing w:after="0"/>
              <w:rPr>
                <w:sz w:val="20"/>
                <w:szCs w:val="20"/>
                <w:color w:val="auto"/>
              </w:rPr>
            </w:pPr>
            <w:r>
              <w:rPr>
                <w:rFonts w:ascii="Arial" w:cs="Arial" w:eastAsia="Arial" w:hAnsi="Arial"/>
                <w:sz w:val="18"/>
                <w:szCs w:val="18"/>
                <w:color w:val="auto"/>
              </w:rPr>
              <w:t>Exhibit A</w:t>
            </w:r>
          </w:p>
        </w:tc>
        <w:tc>
          <w:tcPr>
            <w:tcW w:w="4640" w:type="dxa"/>
            <w:vAlign w:val="bottom"/>
            <w:gridSpan w:val="3"/>
          </w:tcPr>
          <w:p>
            <w:pPr>
              <w:spacing w:after="0"/>
              <w:rPr>
                <w:sz w:val="20"/>
                <w:szCs w:val="20"/>
                <w:color w:val="auto"/>
              </w:rPr>
            </w:pPr>
            <w:r>
              <w:rPr>
                <w:rFonts w:ascii="Arial" w:cs="Arial" w:eastAsia="Arial" w:hAnsi="Arial"/>
                <w:sz w:val="18"/>
                <w:szCs w:val="18"/>
                <w:color w:val="0000EE"/>
              </w:rPr>
              <w:t>Form of 2029 Global Note</w:t>
            </w:r>
          </w:p>
        </w:tc>
      </w:tr>
      <w:tr>
        <w:trPr>
          <w:trHeight w:val="20"/>
        </w:trPr>
        <w:tc>
          <w:tcPr>
            <w:tcW w:w="880" w:type="dxa"/>
            <w:vAlign w:val="bottom"/>
          </w:tcPr>
          <w:p>
            <w:pPr>
              <w:spacing w:after="0" w:line="20" w:lineRule="exact"/>
              <w:rPr>
                <w:sz w:val="1"/>
                <w:szCs w:val="1"/>
                <w:color w:val="auto"/>
              </w:rPr>
            </w:pPr>
          </w:p>
        </w:tc>
        <w:tc>
          <w:tcPr>
            <w:tcW w:w="1920" w:type="dxa"/>
            <w:vAlign w:val="bottom"/>
            <w:shd w:val="clear" w:color="auto" w:fill="0000EE"/>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Exhibit B</w:t>
            </w:r>
          </w:p>
        </w:tc>
        <w:tc>
          <w:tcPr>
            <w:tcW w:w="4640" w:type="dxa"/>
            <w:vAlign w:val="bottom"/>
            <w:gridSpan w:val="3"/>
          </w:tcPr>
          <w:p>
            <w:pPr>
              <w:spacing w:after="0" w:line="196" w:lineRule="exact"/>
              <w:rPr>
                <w:sz w:val="20"/>
                <w:szCs w:val="20"/>
                <w:color w:val="auto"/>
              </w:rPr>
            </w:pPr>
            <w:r>
              <w:rPr>
                <w:rFonts w:ascii="Arial" w:cs="Arial" w:eastAsia="Arial" w:hAnsi="Arial"/>
                <w:sz w:val="18"/>
                <w:szCs w:val="18"/>
                <w:color w:val="0000EE"/>
              </w:rPr>
              <w:t>Form of 2033 Global Note</w:t>
            </w:r>
          </w:p>
        </w:tc>
      </w:tr>
      <w:tr>
        <w:trPr>
          <w:trHeight w:val="20"/>
        </w:trPr>
        <w:tc>
          <w:tcPr>
            <w:tcW w:w="880" w:type="dxa"/>
            <w:vAlign w:val="bottom"/>
          </w:tcPr>
          <w:p>
            <w:pPr>
              <w:spacing w:after="0" w:line="20" w:lineRule="exact"/>
              <w:rPr>
                <w:sz w:val="1"/>
                <w:szCs w:val="1"/>
                <w:color w:val="auto"/>
              </w:rPr>
            </w:pPr>
          </w:p>
        </w:tc>
        <w:tc>
          <w:tcPr>
            <w:tcW w:w="1920" w:type="dxa"/>
            <w:vAlign w:val="bottom"/>
            <w:shd w:val="clear" w:color="auto" w:fill="0000EE"/>
          </w:tcPr>
          <w:p>
            <w:pPr>
              <w:spacing w:after="0" w:line="20" w:lineRule="exact"/>
              <w:rPr>
                <w:sz w:val="1"/>
                <w:szCs w:val="1"/>
                <w:color w:val="auto"/>
              </w:rPr>
            </w:pPr>
          </w:p>
        </w:tc>
        <w:tc>
          <w:tcPr>
            <w:tcW w:w="1780" w:type="dxa"/>
            <w:vAlign w:val="bottom"/>
          </w:tcPr>
          <w:p>
            <w:pPr>
              <w:spacing w:after="0" w:line="20" w:lineRule="exact"/>
              <w:rPr>
                <w:sz w:val="1"/>
                <w:szCs w:val="1"/>
                <w:color w:val="auto"/>
              </w:rPr>
            </w:pPr>
          </w:p>
        </w:tc>
        <w:tc>
          <w:tcPr>
            <w:tcW w:w="940" w:type="dxa"/>
            <w:vAlign w:val="bottom"/>
          </w:tcPr>
          <w:p>
            <w:pPr>
              <w:spacing w:after="0" w:line="20" w:lineRule="exact"/>
              <w:rPr>
                <w:sz w:val="1"/>
                <w:szCs w:val="1"/>
                <w:color w:val="auto"/>
              </w:rPr>
            </w:pPr>
          </w:p>
        </w:tc>
      </w:tr>
      <w:tr>
        <w:trPr>
          <w:trHeight w:val="196"/>
        </w:trPr>
        <w:tc>
          <w:tcPr>
            <w:tcW w:w="880" w:type="dxa"/>
            <w:vAlign w:val="bottom"/>
          </w:tcPr>
          <w:p>
            <w:pPr>
              <w:spacing w:after="0" w:line="196" w:lineRule="exact"/>
              <w:rPr>
                <w:sz w:val="20"/>
                <w:szCs w:val="20"/>
                <w:color w:val="auto"/>
              </w:rPr>
            </w:pPr>
            <w:r>
              <w:rPr>
                <w:rFonts w:ascii="Arial" w:cs="Arial" w:eastAsia="Arial" w:hAnsi="Arial"/>
                <w:sz w:val="18"/>
                <w:szCs w:val="18"/>
                <w:color w:val="auto"/>
              </w:rPr>
              <w:t>Exhibit C</w:t>
            </w:r>
          </w:p>
        </w:tc>
        <w:tc>
          <w:tcPr>
            <w:tcW w:w="4640" w:type="dxa"/>
            <w:vAlign w:val="bottom"/>
            <w:gridSpan w:val="3"/>
          </w:tcPr>
          <w:p>
            <w:pPr>
              <w:spacing w:after="0" w:line="196" w:lineRule="exact"/>
              <w:rPr>
                <w:sz w:val="20"/>
                <w:szCs w:val="20"/>
                <w:color w:val="auto"/>
              </w:rPr>
            </w:pPr>
            <w:r>
              <w:rPr>
                <w:rFonts w:ascii="Arial" w:cs="Arial" w:eastAsia="Arial" w:hAnsi="Arial"/>
                <w:sz w:val="18"/>
                <w:szCs w:val="18"/>
                <w:color w:val="0000EE"/>
              </w:rPr>
              <w:t>Form of Supplemental Indenture to add Guarantors</w:t>
            </w:r>
          </w:p>
        </w:tc>
      </w:tr>
      <w:tr>
        <w:trPr>
          <w:trHeight w:val="750"/>
        </w:trPr>
        <w:tc>
          <w:tcPr>
            <w:tcW w:w="880" w:type="dxa"/>
            <w:vAlign w:val="bottom"/>
          </w:tcPr>
          <w:p>
            <w:pPr>
              <w:spacing w:after="0"/>
              <w:rPr>
                <w:sz w:val="24"/>
                <w:szCs w:val="24"/>
                <w:color w:val="auto"/>
              </w:rPr>
            </w:pPr>
          </w:p>
        </w:tc>
        <w:tc>
          <w:tcPr>
            <w:tcW w:w="1920" w:type="dxa"/>
            <w:vAlign w:val="bottom"/>
            <w:tcBorders>
              <w:top w:val="single" w:sz="8" w:color="0000EE"/>
            </w:tcBorders>
          </w:tcPr>
          <w:p>
            <w:pPr>
              <w:spacing w:after="0"/>
              <w:rPr>
                <w:sz w:val="24"/>
                <w:szCs w:val="24"/>
                <w:color w:val="auto"/>
              </w:rPr>
            </w:pPr>
          </w:p>
        </w:tc>
        <w:tc>
          <w:tcPr>
            <w:tcW w:w="1780" w:type="dxa"/>
            <w:vAlign w:val="bottom"/>
            <w:tcBorders>
              <w:top w:val="single" w:sz="8" w:color="0000EE"/>
            </w:tcBorders>
          </w:tcPr>
          <w:p>
            <w:pPr>
              <w:spacing w:after="0"/>
              <w:rPr>
                <w:sz w:val="24"/>
                <w:szCs w:val="24"/>
                <w:color w:val="auto"/>
              </w:rPr>
            </w:pPr>
          </w:p>
        </w:tc>
        <w:tc>
          <w:tcPr>
            <w:tcW w:w="940" w:type="dxa"/>
            <w:vAlign w:val="bottom"/>
          </w:tcPr>
          <w:p>
            <w:pPr>
              <w:ind w:left="900"/>
              <w:spacing w:after="0"/>
              <w:rPr>
                <w:sz w:val="20"/>
                <w:szCs w:val="20"/>
                <w:color w:val="auto"/>
              </w:rPr>
            </w:pPr>
            <w:r>
              <w:rPr>
                <w:rFonts w:ascii="Arial" w:cs="Arial" w:eastAsia="Arial" w:hAnsi="Arial"/>
                <w:sz w:val="12"/>
                <w:szCs w:val="12"/>
                <w:color w:val="auto"/>
                <w:w w:val="73"/>
              </w:rPr>
              <w:t>i</w:t>
            </w:r>
          </w:p>
        </w:tc>
      </w:tr>
    </w:tbl>
    <w:p>
      <w:pPr>
        <w:sectPr>
          <w:pgSz w:w="11900" w:h="16838" w:orient="portrait"/>
          <w:cols w:equalWidth="0" w:num="1">
            <w:col w:w="10960"/>
          </w:cols>
          <w:pgMar w:left="440" w:top="270" w:right="499" w:bottom="1440" w:gutter="0" w:footer="0" w:header="0"/>
        </w:sectPr>
      </w:pPr>
    </w:p>
    <w:bookmarkStart w:id="43" w:name="page44"/>
    <w:bookmarkEnd w:id="43"/>
    <w:p>
      <w:pPr>
        <w:ind w:right="100" w:firstLine="440"/>
        <w:spacing w:after="0" w:line="258" w:lineRule="auto"/>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THIRD SUPPLEMENTAL INDENTURE</w:t>
      </w:r>
      <w:r>
        <w:rPr>
          <w:rFonts w:ascii="Arial" w:cs="Arial" w:eastAsia="Arial" w:hAnsi="Arial"/>
          <w:sz w:val="18"/>
          <w:szCs w:val="18"/>
          <w:color w:val="auto"/>
        </w:rPr>
        <w:t>, dated as of September 18, 2023 (“</w:t>
      </w:r>
      <w:r>
        <w:rPr>
          <w:rFonts w:ascii="Arial" w:cs="Arial" w:eastAsia="Arial" w:hAnsi="Arial"/>
          <w:sz w:val="18"/>
          <w:szCs w:val="18"/>
          <w:u w:val="single" w:color="auto"/>
          <w:color w:val="auto"/>
        </w:rPr>
        <w:t>Third Supplemental Indenture</w:t>
      </w:r>
      <w:r>
        <w:rPr>
          <w:rFonts w:ascii="Arial" w:cs="Arial" w:eastAsia="Arial" w:hAnsi="Arial"/>
          <w:sz w:val="18"/>
          <w:szCs w:val="18"/>
          <w:color w:val="auto"/>
        </w:rPr>
        <w:t>”), to the Indenture, dated as of</w:t>
      </w:r>
      <w:r>
        <w:rPr>
          <w:rFonts w:ascii="Arial" w:cs="Arial" w:eastAsia="Arial" w:hAnsi="Arial"/>
          <w:sz w:val="18"/>
          <w:szCs w:val="18"/>
          <w:b w:val="1"/>
          <w:bCs w:val="1"/>
          <w:color w:val="auto"/>
        </w:rPr>
        <w:t xml:space="preserve"> </w:t>
      </w:r>
      <w:r>
        <w:rPr>
          <w:rFonts w:ascii="Arial" w:cs="Arial" w:eastAsia="Arial" w:hAnsi="Arial"/>
          <w:sz w:val="18"/>
          <w:szCs w:val="18"/>
          <w:color w:val="auto"/>
        </w:rPr>
        <w:t>April 12, 2021 (as amended, modified or supplemented from time to time in accordance therewith, other than with respect to a particular series of debt securities, the “</w:t>
      </w:r>
      <w:r>
        <w:rPr>
          <w:rFonts w:ascii="Arial" w:cs="Arial" w:eastAsia="Arial" w:hAnsi="Arial"/>
          <w:sz w:val="18"/>
          <w:szCs w:val="18"/>
          <w:u w:val="single" w:color="auto"/>
          <w:color w:val="auto"/>
        </w:rPr>
        <w:t>Base Indenture</w:t>
      </w:r>
      <w:r>
        <w:rPr>
          <w:rFonts w:ascii="Arial" w:cs="Arial" w:eastAsia="Arial" w:hAnsi="Arial"/>
          <w:sz w:val="18"/>
          <w:szCs w:val="18"/>
          <w:color w:val="auto"/>
        </w:rPr>
        <w:t>” and, as amended, modified and supplemented by this Third Supplemental Indenture, the “</w:t>
      </w:r>
      <w:r>
        <w:rPr>
          <w:rFonts w:ascii="Arial" w:cs="Arial" w:eastAsia="Arial" w:hAnsi="Arial"/>
          <w:sz w:val="18"/>
          <w:szCs w:val="18"/>
          <w:u w:val="single" w:color="auto"/>
          <w:color w:val="auto"/>
        </w:rPr>
        <w:t>Indenture</w:t>
      </w:r>
      <w:r>
        <w:rPr>
          <w:rFonts w:ascii="Arial" w:cs="Arial" w:eastAsia="Arial" w:hAnsi="Arial"/>
          <w:sz w:val="18"/>
          <w:szCs w:val="18"/>
          <w:color w:val="auto"/>
        </w:rPr>
        <w:t>”), by and among Marvell Technology, Inc., a Delaware corporation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Trust Company, National Association (successor in interest to U.S. Bank National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Each party agrees as follows for the benefit of the other parties and for the equal and ratable benefit of the Holders of the Notes:</w:t>
      </w:r>
    </w:p>
    <w:p>
      <w:pPr>
        <w:spacing w:after="0" w:line="113" w:lineRule="exact"/>
        <w:rPr>
          <w:sz w:val="20"/>
          <w:szCs w:val="20"/>
          <w:color w:val="auto"/>
        </w:rPr>
      </w:pPr>
    </w:p>
    <w:p>
      <w:pPr>
        <w:ind w:right="1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of the Base Indenture to provide for the issuance from time to time of</w:t>
      </w:r>
      <w:r>
        <w:rPr>
          <w:rFonts w:ascii="Arial" w:cs="Arial" w:eastAsia="Arial" w:hAnsi="Arial"/>
          <w:sz w:val="18"/>
          <w:szCs w:val="18"/>
          <w:b w:val="1"/>
          <w:bCs w:val="1"/>
          <w:color w:val="auto"/>
        </w:rPr>
        <w:t xml:space="preserve"> </w:t>
      </w:r>
      <w:r>
        <w:rPr>
          <w:rFonts w:ascii="Arial" w:cs="Arial" w:eastAsia="Arial" w:hAnsi="Arial"/>
          <w:sz w:val="18"/>
          <w:szCs w:val="18"/>
          <w:color w:val="auto"/>
        </w:rPr>
        <w:t>senior debt securities to be issued in one or more series as provided in the Base Indenture;</w:t>
      </w:r>
    </w:p>
    <w:p>
      <w:pPr>
        <w:spacing w:after="0" w:line="162" w:lineRule="exact"/>
        <w:rPr>
          <w:sz w:val="20"/>
          <w:szCs w:val="20"/>
          <w:color w:val="auto"/>
        </w:rPr>
      </w:pPr>
    </w:p>
    <w:p>
      <w:pPr>
        <w:ind w:right="60" w:firstLine="440"/>
        <w:spacing w:after="0" w:line="261"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the Company has duly authorized the execution and delivery, and desires and has requested the Trustee to join it in the execution</w:t>
      </w:r>
      <w:r>
        <w:rPr>
          <w:rFonts w:ascii="Arial" w:cs="Arial" w:eastAsia="Arial" w:hAnsi="Arial"/>
          <w:sz w:val="18"/>
          <w:szCs w:val="18"/>
          <w:b w:val="1"/>
          <w:bCs w:val="1"/>
          <w:color w:val="auto"/>
        </w:rPr>
        <w:t xml:space="preserve"> </w:t>
      </w:r>
      <w:r>
        <w:rPr>
          <w:rFonts w:ascii="Arial" w:cs="Arial" w:eastAsia="Arial" w:hAnsi="Arial"/>
          <w:sz w:val="18"/>
          <w:szCs w:val="18"/>
          <w:color w:val="auto"/>
        </w:rPr>
        <w:t>and delivery, of this Third Supplemental Indenture in order to establish and provide for the issuance by the Company of Notes designated as its 5.750% Senior Notes due 2029 (the “</w:t>
      </w:r>
      <w:r>
        <w:rPr>
          <w:rFonts w:ascii="Arial" w:cs="Arial" w:eastAsia="Arial" w:hAnsi="Arial"/>
          <w:sz w:val="18"/>
          <w:szCs w:val="18"/>
          <w:u w:val="single" w:color="auto"/>
          <w:color w:val="auto"/>
        </w:rPr>
        <w:t>2029 Notes</w:t>
      </w:r>
      <w:r>
        <w:rPr>
          <w:rFonts w:ascii="Arial" w:cs="Arial" w:eastAsia="Arial" w:hAnsi="Arial"/>
          <w:sz w:val="18"/>
          <w:szCs w:val="18"/>
          <w:color w:val="auto"/>
        </w:rPr>
        <w:t>”) and its 5.950% Senior Notes due 2033 (the “</w:t>
      </w:r>
      <w:r>
        <w:rPr>
          <w:rFonts w:ascii="Arial" w:cs="Arial" w:eastAsia="Arial" w:hAnsi="Arial"/>
          <w:sz w:val="18"/>
          <w:szCs w:val="18"/>
          <w:u w:val="single" w:color="auto"/>
          <w:color w:val="auto"/>
        </w:rPr>
        <w:t>2033 Notes</w:t>
      </w:r>
      <w:r>
        <w:rPr>
          <w:rFonts w:ascii="Arial" w:cs="Arial" w:eastAsia="Arial" w:hAnsi="Arial"/>
          <w:sz w:val="18"/>
          <w:szCs w:val="18"/>
          <w:color w:val="auto"/>
        </w:rPr>
        <w:t>” and, together with the 2029 Notes, the “</w:t>
      </w:r>
      <w:r>
        <w:rPr>
          <w:rFonts w:ascii="Arial" w:cs="Arial" w:eastAsia="Arial" w:hAnsi="Arial"/>
          <w:sz w:val="18"/>
          <w:szCs w:val="18"/>
          <w:u w:val="single" w:color="auto"/>
          <w:color w:val="auto"/>
        </w:rPr>
        <w:t>Notes</w:t>
      </w:r>
      <w:r>
        <w:rPr>
          <w:rFonts w:ascii="Arial" w:cs="Arial" w:eastAsia="Arial" w:hAnsi="Arial"/>
          <w:sz w:val="18"/>
          <w:szCs w:val="18"/>
          <w:color w:val="auto"/>
        </w:rPr>
        <w:t>”) on the terms set forth herein;</w:t>
      </w:r>
    </w:p>
    <w:p>
      <w:pPr>
        <w:spacing w:after="0" w:line="180" w:lineRule="exact"/>
        <w:rPr>
          <w:sz w:val="20"/>
          <w:szCs w:val="20"/>
          <w:color w:val="auto"/>
        </w:rPr>
      </w:pPr>
    </w:p>
    <w:p>
      <w:pPr>
        <w:ind w:firstLine="440"/>
        <w:spacing w:after="0" w:line="347" w:lineRule="auto"/>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Notes will be fully and unconditionally guaranteed by any existing or future domestic subsidiary of the Company that becomes a</w:t>
      </w:r>
      <w:r>
        <w:rPr>
          <w:rFonts w:ascii="Arial" w:cs="Arial" w:eastAsia="Arial" w:hAnsi="Arial"/>
          <w:sz w:val="16"/>
          <w:szCs w:val="16"/>
          <w:b w:val="1"/>
          <w:bCs w:val="1"/>
          <w:color w:val="auto"/>
        </w:rPr>
        <w:t xml:space="preserve"> </w:t>
      </w:r>
      <w:r>
        <w:rPr>
          <w:rFonts w:ascii="Arial" w:cs="Arial" w:eastAsia="Arial" w:hAnsi="Arial"/>
          <w:sz w:val="16"/>
          <w:szCs w:val="16"/>
          <w:color w:val="auto"/>
        </w:rPr>
        <w:t>borrower or guarantor under the Revolving Credit Agreement (as defined herein) or the 2024 and 2026 Term Loan Agreement (as defined herein);</w:t>
      </w:r>
    </w:p>
    <w:p>
      <w:pPr>
        <w:spacing w:after="0" w:line="116" w:lineRule="exact"/>
        <w:rPr>
          <w:sz w:val="20"/>
          <w:szCs w:val="20"/>
          <w:color w:val="auto"/>
        </w:rPr>
      </w:pPr>
    </w:p>
    <w:p>
      <w:pPr>
        <w:ind w:right="5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Section 901 of the Base Indenture provides that a supplemental indenture may be entered into by the parties for such purpose</w:t>
      </w:r>
      <w:r>
        <w:rPr>
          <w:rFonts w:ascii="Arial" w:cs="Arial" w:eastAsia="Arial" w:hAnsi="Arial"/>
          <w:sz w:val="18"/>
          <w:szCs w:val="18"/>
          <w:b w:val="1"/>
          <w:bCs w:val="1"/>
          <w:color w:val="auto"/>
        </w:rPr>
        <w:t xml:space="preserve"> </w:t>
      </w:r>
      <w:r>
        <w:rPr>
          <w:rFonts w:ascii="Arial" w:cs="Arial" w:eastAsia="Arial" w:hAnsi="Arial"/>
          <w:sz w:val="18"/>
          <w:szCs w:val="18"/>
          <w:color w:val="auto"/>
        </w:rPr>
        <w:t xml:space="preserve">without notice to or the consent of any Holder; </w:t>
      </w:r>
      <w:r>
        <w:rPr>
          <w:rFonts w:ascii="Arial" w:cs="Arial" w:eastAsia="Arial" w:hAnsi="Arial"/>
          <w:sz w:val="18"/>
          <w:szCs w:val="18"/>
          <w:i w:val="1"/>
          <w:iCs w:val="1"/>
          <w:color w:val="auto"/>
        </w:rPr>
        <w:t>provided</w:t>
      </w:r>
      <w:r>
        <w:rPr>
          <w:rFonts w:ascii="Arial" w:cs="Arial" w:eastAsia="Arial" w:hAnsi="Arial"/>
          <w:sz w:val="18"/>
          <w:szCs w:val="18"/>
          <w:color w:val="auto"/>
        </w:rPr>
        <w:t xml:space="preserve"> certain conditions are met;</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6"/>
          <w:szCs w:val="16"/>
          <w:b w:val="1"/>
          <w:bCs w:val="1"/>
          <w:color w:val="auto"/>
        </w:rPr>
        <w:t>WHEREAS</w:t>
      </w:r>
      <w:r>
        <w:rPr>
          <w:rFonts w:ascii="Arial" w:cs="Arial" w:eastAsia="Arial" w:hAnsi="Arial"/>
          <w:sz w:val="16"/>
          <w:szCs w:val="16"/>
          <w:color w:val="auto"/>
        </w:rPr>
        <w:t>, the conditions set forth in the Base Indenture for the execution and delivery of this Third Supplemental Indenture have been met;</w:t>
      </w:r>
    </w:p>
    <w:p>
      <w:pPr>
        <w:spacing w:after="0" w:line="50" w:lineRule="exact"/>
        <w:rPr>
          <w:sz w:val="20"/>
          <w:szCs w:val="20"/>
          <w:color w:val="auto"/>
        </w:rPr>
      </w:pPr>
    </w:p>
    <w:p>
      <w:pPr>
        <w:spacing w:after="0"/>
        <w:rPr>
          <w:sz w:val="20"/>
          <w:szCs w:val="20"/>
          <w:color w:val="auto"/>
        </w:rPr>
      </w:pPr>
      <w:r>
        <w:rPr>
          <w:rFonts w:ascii="Arial" w:cs="Arial" w:eastAsia="Arial" w:hAnsi="Arial"/>
          <w:sz w:val="18"/>
          <w:szCs w:val="18"/>
          <w:color w:val="auto"/>
        </w:rPr>
        <w:t>and</w:t>
      </w:r>
    </w:p>
    <w:p>
      <w:pPr>
        <w:spacing w:after="0" w:line="207" w:lineRule="exact"/>
        <w:rPr>
          <w:sz w:val="20"/>
          <w:szCs w:val="20"/>
          <w:color w:val="auto"/>
        </w:rPr>
      </w:pPr>
    </w:p>
    <w:p>
      <w:pPr>
        <w:ind w:right="120" w:firstLine="440"/>
        <w:spacing w:after="0" w:line="282" w:lineRule="auto"/>
        <w:rPr>
          <w:sz w:val="20"/>
          <w:szCs w:val="20"/>
          <w:color w:val="auto"/>
        </w:rPr>
      </w:pPr>
      <w:r>
        <w:rPr>
          <w:rFonts w:ascii="Arial" w:cs="Arial" w:eastAsia="Arial" w:hAnsi="Arial"/>
          <w:sz w:val="18"/>
          <w:szCs w:val="18"/>
          <w:b w:val="1"/>
          <w:bCs w:val="1"/>
          <w:color w:val="auto"/>
        </w:rPr>
        <w:t>WHEREAS</w:t>
      </w:r>
      <w:r>
        <w:rPr>
          <w:rFonts w:ascii="Arial" w:cs="Arial" w:eastAsia="Arial" w:hAnsi="Arial"/>
          <w:sz w:val="18"/>
          <w:szCs w:val="18"/>
          <w:color w:val="auto"/>
        </w:rPr>
        <w:t>, all things necessary to make this Third Supplemental Indenture a valid and binding agreement of the parties, in accordance with its</w:t>
      </w:r>
      <w:r>
        <w:rPr>
          <w:rFonts w:ascii="Arial" w:cs="Arial" w:eastAsia="Arial" w:hAnsi="Arial"/>
          <w:sz w:val="18"/>
          <w:szCs w:val="18"/>
          <w:b w:val="1"/>
          <w:bCs w:val="1"/>
          <w:color w:val="auto"/>
        </w:rPr>
        <w:t xml:space="preserve"> </w:t>
      </w:r>
      <w:r>
        <w:rPr>
          <w:rFonts w:ascii="Arial" w:cs="Arial" w:eastAsia="Arial" w:hAnsi="Arial"/>
          <w:sz w:val="18"/>
          <w:szCs w:val="18"/>
          <w:color w:val="auto"/>
        </w:rPr>
        <w:t>terms, and a valid amendment of, and supplement to, the Base Indenture with respect to the Notes have been done.</w:t>
      </w:r>
    </w:p>
    <w:p>
      <w:pPr>
        <w:spacing w:after="0" w:line="162" w:lineRule="exact"/>
        <w:rPr>
          <w:sz w:val="20"/>
          <w:szCs w:val="20"/>
          <w:color w:val="auto"/>
        </w:rPr>
      </w:pPr>
    </w:p>
    <w:p>
      <w:pPr>
        <w:ind w:left="440"/>
        <w:spacing w:after="0"/>
        <w:rPr>
          <w:sz w:val="20"/>
          <w:szCs w:val="20"/>
          <w:color w:val="auto"/>
        </w:rPr>
      </w:pPr>
      <w:r>
        <w:rPr>
          <w:rFonts w:ascii="Arial" w:cs="Arial" w:eastAsia="Arial" w:hAnsi="Arial"/>
          <w:sz w:val="18"/>
          <w:szCs w:val="18"/>
          <w:b w:val="1"/>
          <w:bCs w:val="1"/>
          <w:color w:val="auto"/>
        </w:rPr>
        <w:t>NOW, THEREFORE</w:t>
      </w:r>
      <w:r>
        <w:rPr>
          <w:rFonts w:ascii="Arial" w:cs="Arial" w:eastAsia="Arial" w:hAnsi="Arial"/>
          <w:sz w:val="18"/>
          <w:szCs w:val="18"/>
          <w:color w:val="auto"/>
        </w:rPr>
        <w:t>:</w:t>
      </w:r>
    </w:p>
    <w:p>
      <w:pPr>
        <w:spacing w:after="0" w:line="200" w:lineRule="exact"/>
        <w:rPr>
          <w:sz w:val="20"/>
          <w:szCs w:val="20"/>
          <w:color w:val="auto"/>
        </w:rPr>
      </w:pPr>
    </w:p>
    <w:p>
      <w:pPr>
        <w:spacing w:after="0" w:line="241"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ARTICLE 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DEFINITIONS AND OTHER PROVISIONS OF GENERAL APPLICATION</w:t>
      </w:r>
    </w:p>
    <w:p>
      <w:pPr>
        <w:spacing w:after="0" w:line="211" w:lineRule="exact"/>
        <w:rPr>
          <w:sz w:val="20"/>
          <w:szCs w:val="20"/>
          <w:color w:val="auto"/>
        </w:rPr>
      </w:pPr>
    </w:p>
    <w:p>
      <w:pPr>
        <w:ind w:right="300" w:firstLine="440"/>
        <w:spacing w:after="0" w:line="279" w:lineRule="auto"/>
        <w:rPr>
          <w:sz w:val="20"/>
          <w:szCs w:val="20"/>
          <w:color w:val="auto"/>
        </w:rPr>
      </w:pPr>
      <w:r>
        <w:rPr>
          <w:rFonts w:ascii="Arial" w:cs="Arial" w:eastAsia="Arial" w:hAnsi="Arial"/>
          <w:sz w:val="17"/>
          <w:szCs w:val="17"/>
          <w:color w:val="auto"/>
        </w:rPr>
        <w:t xml:space="preserve">Section 1.01. </w:t>
      </w:r>
      <w:r>
        <w:rPr>
          <w:rFonts w:ascii="Arial" w:cs="Arial" w:eastAsia="Arial" w:hAnsi="Arial"/>
          <w:sz w:val="17"/>
          <w:szCs w:val="17"/>
          <w:i w:val="1"/>
          <w:iCs w:val="1"/>
          <w:color w:val="auto"/>
        </w:rPr>
        <w:t>Definitions.</w:t>
      </w:r>
      <w:r>
        <w:rPr>
          <w:rFonts w:ascii="Arial" w:cs="Arial" w:eastAsia="Arial" w:hAnsi="Arial"/>
          <w:sz w:val="17"/>
          <w:szCs w:val="17"/>
          <w:color w:val="auto"/>
        </w:rPr>
        <w:t xml:space="preserve"> Capitalized terms used herein and not otherwise defined herein have the meanings assigned to them in the Base Indenture. To the extent terms are defined in both this Third Supplemental Indenture and the Base Indenture, the applicable definition in this Third Supplemental Indenture shall control. The words “herein,” “hereof” and “hereby” and other words of similar import used in this Third Supplemental Indenture refer to this Third Supplemental Indenture as a whole and not to any particular section hereof.</w:t>
      </w:r>
    </w:p>
    <w:p>
      <w:pPr>
        <w:spacing w:after="0" w:line="17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As used herein, the following terms have the specified meanings:</w:t>
      </w:r>
    </w:p>
    <w:p>
      <w:pPr>
        <w:spacing w:after="0" w:line="117" w:lineRule="exact"/>
        <w:rPr>
          <w:sz w:val="20"/>
          <w:szCs w:val="20"/>
          <w:color w:val="auto"/>
        </w:rPr>
      </w:pPr>
    </w:p>
    <w:p>
      <w:pPr>
        <w:ind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2024 and 2026 Term Loan Agreement</w:t>
      </w:r>
      <w:r>
        <w:rPr>
          <w:rFonts w:ascii="Arial" w:cs="Arial" w:eastAsia="Arial" w:hAnsi="Arial"/>
          <w:sz w:val="18"/>
          <w:szCs w:val="18"/>
          <w:color w:val="auto"/>
        </w:rPr>
        <w:t>” means that certain amended term loan credit agreement, dated as of April 14, 2023, by and among the Company, the lenders party thereto and JPMorgan Chase Bank, N.A., as the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2029 Additional Notes</w:t>
      </w:r>
      <w:r>
        <w:rPr>
          <w:rFonts w:ascii="Arial" w:cs="Arial" w:eastAsia="Arial" w:hAnsi="Arial"/>
          <w:sz w:val="18"/>
          <w:szCs w:val="18"/>
          <w:color w:val="auto"/>
        </w:rPr>
        <w:t>” has the meaning specified in Section 3.03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2033 Additional Notes</w:t>
      </w:r>
      <w:r>
        <w:rPr>
          <w:rFonts w:ascii="Arial" w:cs="Arial" w:eastAsia="Arial" w:hAnsi="Arial"/>
          <w:sz w:val="18"/>
          <w:szCs w:val="18"/>
          <w:color w:val="auto"/>
        </w:rPr>
        <w:t>” has the meaning specified in Section 3.03 of this Third Supplemental Indenture.</w:t>
      </w:r>
    </w:p>
    <w:p>
      <w:pPr>
        <w:spacing w:after="0" w:line="158" w:lineRule="exact"/>
        <w:rPr>
          <w:sz w:val="20"/>
          <w:szCs w:val="20"/>
          <w:color w:val="auto"/>
        </w:rPr>
      </w:pPr>
    </w:p>
    <w:p>
      <w:pPr>
        <w:ind w:left="5460"/>
        <w:spacing w:after="0"/>
        <w:rPr>
          <w:sz w:val="20"/>
          <w:szCs w:val="20"/>
          <w:color w:val="auto"/>
        </w:rPr>
      </w:pPr>
      <w:r>
        <w:rPr>
          <w:rFonts w:ascii="Arial" w:cs="Arial" w:eastAsia="Arial" w:hAnsi="Arial"/>
          <w:sz w:val="18"/>
          <w:szCs w:val="18"/>
          <w:color w:val="auto"/>
        </w:rPr>
        <w:t>1</w:t>
      </w:r>
    </w:p>
    <w:p>
      <w:pPr>
        <w:sectPr>
          <w:pgSz w:w="11900" w:h="16838" w:orient="portrait"/>
          <w:cols w:equalWidth="0" w:num="1">
            <w:col w:w="10980"/>
          </w:cols>
          <w:pgMar w:left="440" w:top="270" w:right="479" w:bottom="1440" w:gutter="0" w:footer="0" w:header="0"/>
        </w:sectPr>
      </w:pPr>
    </w:p>
    <w:bookmarkStart w:id="44" w:name="page45"/>
    <w:bookmarkEnd w:id="44"/>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2029 Par Call Date</w:t>
      </w:r>
      <w:r>
        <w:rPr>
          <w:rFonts w:ascii="Arial" w:cs="Arial" w:eastAsia="Arial" w:hAnsi="Arial"/>
          <w:sz w:val="18"/>
          <w:szCs w:val="18"/>
          <w:color w:val="auto"/>
        </w:rPr>
        <w:t>” means January 15, 2029 (the date that is one month prior to the maturity of the 2029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2033 Par Call Date</w:t>
      </w:r>
      <w:r>
        <w:rPr>
          <w:rFonts w:ascii="Arial" w:cs="Arial" w:eastAsia="Arial" w:hAnsi="Arial"/>
          <w:sz w:val="18"/>
          <w:szCs w:val="18"/>
          <w:color w:val="auto"/>
        </w:rPr>
        <w:t>” means June 15, 2033 (the date that is three months prior to the maturity of the 2033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Additional Notes</w:t>
      </w:r>
      <w:r>
        <w:rPr>
          <w:rFonts w:ascii="Arial" w:cs="Arial" w:eastAsia="Arial" w:hAnsi="Arial"/>
          <w:sz w:val="18"/>
          <w:szCs w:val="18"/>
          <w:color w:val="auto"/>
        </w:rPr>
        <w:t>” has the meaning specified in Section 3.03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Agent Members</w:t>
      </w:r>
      <w:r>
        <w:rPr>
          <w:rFonts w:ascii="Arial" w:cs="Arial" w:eastAsia="Arial" w:hAnsi="Arial"/>
          <w:sz w:val="18"/>
          <w:szCs w:val="18"/>
          <w:color w:val="auto"/>
        </w:rPr>
        <w:t>” has the meaning specified in Section 2.01(b)(ii) of this Third Supplemental Indenture.</w:t>
      </w:r>
    </w:p>
    <w:p>
      <w:pPr>
        <w:spacing w:after="0" w:line="225"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Attributable Debt</w:t>
      </w:r>
      <w:r>
        <w:rPr>
          <w:rFonts w:ascii="Arial" w:cs="Arial" w:eastAsia="Arial" w:hAnsi="Arial"/>
          <w:sz w:val="17"/>
          <w:szCs w:val="17"/>
          <w:color w:val="auto"/>
        </w:rPr>
        <w:t>” means, with respect to any sale and leaseback transaction, at the time of determination, the lesser of (1) the fair market value of the Property (as determined in good faith by the Board of Directors) subject to such transaction, and (2) the total obligation (discounted to the present value at the implicit interest factor, determined in accordance with GAAP, included in the rental payments) of the lessee for rental payments (other than amounts required to be paid on account of property taxes as well as maintenance, repairs, insurance, water rates and other items which do not constitute payments for property rights) during the remaining portion of the base term of the lease included in such transaction. In the case of any lease which is terminable by the lessee upon the payment of a penalty, such present value shall be the lesser of (i) the present value determined assuming termination upon the first date such lease may be terminated (in which case the present value shall also include the amount of the penalty, but shall not include any rent that would be required to be paid under such lease subsequent to the first date upon which it may be terminated), and (ii) the present value assuming no such termination.</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Base Indenture</w:t>
      </w:r>
      <w:r>
        <w:rPr>
          <w:rFonts w:ascii="Arial" w:cs="Arial" w:eastAsia="Arial" w:hAnsi="Arial"/>
          <w:sz w:val="18"/>
          <w:szCs w:val="18"/>
          <w:color w:val="auto"/>
        </w:rPr>
        <w:t>” has the meaning specified in the recitals of this Third Supplemental Indenture.</w:t>
      </w:r>
    </w:p>
    <w:p>
      <w:pPr>
        <w:spacing w:after="0" w:line="225" w:lineRule="exact"/>
        <w:rPr>
          <w:sz w:val="20"/>
          <w:szCs w:val="20"/>
          <w:color w:val="auto"/>
        </w:rPr>
      </w:pPr>
    </w:p>
    <w:p>
      <w:pPr>
        <w:ind w:right="40"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Business Day</w:t>
      </w:r>
      <w:r>
        <w:rPr>
          <w:rFonts w:ascii="Arial" w:cs="Arial" w:eastAsia="Arial" w:hAnsi="Arial"/>
          <w:sz w:val="18"/>
          <w:szCs w:val="18"/>
          <w:color w:val="auto"/>
        </w:rPr>
        <w:t>” means, with respect to each series of Notes, any day, other than a Saturday or Sunday, that is not a day on which the banking institutions are authorized or required by law or executive order to close or on which commercial banks in New York, New York or the place of payment are authorized or required by law to close.</w:t>
      </w:r>
    </w:p>
    <w:p>
      <w:pPr>
        <w:spacing w:after="0" w:line="184" w:lineRule="exact"/>
        <w:rPr>
          <w:sz w:val="20"/>
          <w:szCs w:val="20"/>
          <w:color w:val="auto"/>
        </w:rPr>
      </w:pPr>
    </w:p>
    <w:p>
      <w:pPr>
        <w:ind w:firstLine="440"/>
        <w:spacing w:after="0" w:line="284"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Change of Control</w:t>
      </w:r>
      <w:r>
        <w:rPr>
          <w:rFonts w:ascii="Arial" w:cs="Arial" w:eastAsia="Arial" w:hAnsi="Arial"/>
          <w:sz w:val="16"/>
          <w:szCs w:val="16"/>
          <w:color w:val="auto"/>
        </w:rPr>
        <w:t xml:space="preserve">” means the occurrence of any of the following: (1) the direct or indirect sale, transfer, conveyance or other disposition (other than by way of merger or consolidation), in one or a series of related transactions, of all or substantially all of the assets of the Company and its Subsidiaries taken as a whole to any “person” (as that term is used in Section 13(d)(3) of the Exchange Act) other than to the Company or one of its Subsidiaries; (2) the adoption of a plan by the Board of Directors relating to the Company’s liquidation or dissolution; (3) the consummation of any transaction (including, without limitation, any merger or consolidation) the result of which is that any person becomes the “beneficial owner” (as defined in Rules 13d-3 and 13d-5 under the Exchange Act), directly or indirectly, of more than 50% of the aggregate of the total voting power of the Company’s Voting Shares or other Voting Shares into which the Company’s Voting Shares are reclassified, consolidated, exchanged or changed, measured by voting power rather than number of shares; </w:t>
      </w:r>
      <w:r>
        <w:rPr>
          <w:rFonts w:ascii="Arial" w:cs="Arial" w:eastAsia="Arial" w:hAnsi="Arial"/>
          <w:sz w:val="16"/>
          <w:szCs w:val="16"/>
          <w:i w:val="1"/>
          <w:iCs w:val="1"/>
          <w:color w:val="auto"/>
        </w:rPr>
        <w:t>provided, however</w:t>
      </w:r>
      <w:r>
        <w:rPr>
          <w:rFonts w:ascii="Arial" w:cs="Arial" w:eastAsia="Arial" w:hAnsi="Arial"/>
          <w:sz w:val="16"/>
          <w:szCs w:val="16"/>
          <w:color w:val="auto"/>
        </w:rPr>
        <w:t xml:space="preserve">, that (x) a person shall not be deemed the beneficial owner of, or to own beneficially, (A) any securities tendered pursuant to a tender or exchange offer made by or on behalf of such person or any Affiliates of such person until such tendered securities are accepted for purchase or exchange thereunder, or (B) any securities if such beneficial ownership (i) arises solely as a result of a revocable proxy delivered in response to a proxy or consent solicitation made pursuant to the applicable rules and regulations under the Exchange Act, and (ii) is not also then reportable on Schedule 13D (or any successor schedule) under the Exchange Act and (y) a transaction will not be deemed to involve a change of control under this clause (3) if (A) the Company becomes a direct or indirect wholly-owned Subsidiary of a holding company and (B)(i) the direct or indirect holders of the Voting Shares of such holding company immediately following that transaction are substantially the same as the holders of the Company’s Voting Shares immediately prior to that transaction and each holder holds substantially the same percentage of Voting Shares of such holding company as such holder held of the Company’s shares immediately prior to that transaction or (ii) the Company’s Voting Shares outstanding immediately prior to such transaction are converted into or exchanged for, a majority of the voting stock of such holding company immediately after giving effect to such transaction; or (4) the Company consolidates with, or merges with or into, any person, or any person consolidates with, or merges with or into, the Company, in any such event pursuant to a transaction in which any of the outstanding Voting Shares of the Company or such other person is converted into or exchanged for cash, securities or other property, other than any such transaction where the Company’s Voting Shares outstanding immediately prior to such transaction constitute, or are converted into or exchanged for, a majority of the Voting Shares (measured by voting power) of the surviving person or any direct or indirect parent company of any surviving person immediately after giving effect to such transaction; </w:t>
      </w:r>
      <w:r>
        <w:rPr>
          <w:rFonts w:ascii="Arial" w:cs="Arial" w:eastAsia="Arial" w:hAnsi="Arial"/>
          <w:sz w:val="16"/>
          <w:szCs w:val="16"/>
          <w:i w:val="1"/>
          <w:iCs w:val="1"/>
          <w:color w:val="auto"/>
        </w:rPr>
        <w:t>provided</w:t>
      </w:r>
      <w:r>
        <w:rPr>
          <w:rFonts w:ascii="Arial" w:cs="Arial" w:eastAsia="Arial" w:hAnsi="Arial"/>
          <w:sz w:val="16"/>
          <w:szCs w:val="16"/>
          <w:color w:val="auto"/>
        </w:rPr>
        <w:t>,</w:t>
      </w:r>
      <w:r>
        <w:rPr>
          <w:rFonts w:ascii="Arial" w:cs="Arial" w:eastAsia="Arial" w:hAnsi="Arial"/>
          <w:sz w:val="16"/>
          <w:szCs w:val="16"/>
          <w:i w:val="1"/>
          <w:iCs w:val="1"/>
          <w:color w:val="auto"/>
        </w:rPr>
        <w:t xml:space="preserve"> however</w:t>
      </w:r>
      <w:r>
        <w:rPr>
          <w:rFonts w:ascii="Arial" w:cs="Arial" w:eastAsia="Arial" w:hAnsi="Arial"/>
          <w:sz w:val="16"/>
          <w:szCs w:val="16"/>
          <w:color w:val="auto"/>
        </w:rPr>
        <w:t>, that a merger of the Company with any of its Subsidiaries solely for the purpose of reincorporating the Company in another</w:t>
      </w:r>
      <w:r>
        <w:rPr>
          <w:rFonts w:ascii="Arial" w:cs="Arial" w:eastAsia="Arial" w:hAnsi="Arial"/>
          <w:sz w:val="16"/>
          <w:szCs w:val="16"/>
          <w:i w:val="1"/>
          <w:iCs w:val="1"/>
          <w:color w:val="auto"/>
        </w:rPr>
        <w:t xml:space="preserve"> </w:t>
      </w:r>
      <w:r>
        <w:rPr>
          <w:rFonts w:ascii="Arial" w:cs="Arial" w:eastAsia="Arial" w:hAnsi="Arial"/>
          <w:sz w:val="16"/>
          <w:szCs w:val="16"/>
          <w:color w:val="auto"/>
        </w:rPr>
        <w:t>jurisdiction within the United States shall not constitute a “Change of Control.”</w:t>
      </w:r>
    </w:p>
    <w:p>
      <w:pPr>
        <w:spacing w:after="0" w:line="325"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ectPr>
          <w:pgSz w:w="11900" w:h="16838" w:orient="portrait"/>
          <w:cols w:equalWidth="0" w:num="1">
            <w:col w:w="11020"/>
          </w:cols>
          <w:pgMar w:left="440" w:top="274" w:right="439" w:bottom="1440" w:gutter="0" w:footer="0" w:header="0"/>
        </w:sectPr>
      </w:pPr>
    </w:p>
    <w:bookmarkStart w:id="45" w:name="page46"/>
    <w:bookmarkEnd w:id="45"/>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Change of Control Notice</w:t>
      </w:r>
      <w:r>
        <w:rPr>
          <w:rFonts w:ascii="Arial" w:cs="Arial" w:eastAsia="Arial" w:hAnsi="Arial"/>
          <w:sz w:val="18"/>
          <w:szCs w:val="18"/>
          <w:color w:val="auto"/>
        </w:rPr>
        <w:t>” has the meaning specified in Section 4.02(a)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Offer</w:t>
      </w:r>
      <w:r>
        <w:rPr>
          <w:rFonts w:ascii="Arial" w:cs="Arial" w:eastAsia="Arial" w:hAnsi="Arial"/>
          <w:sz w:val="18"/>
          <w:szCs w:val="18"/>
          <w:color w:val="auto"/>
        </w:rPr>
        <w:t>” has the meaning specified in Section 4.02(a)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Payment Date</w:t>
      </w:r>
      <w:r>
        <w:rPr>
          <w:rFonts w:ascii="Arial" w:cs="Arial" w:eastAsia="Arial" w:hAnsi="Arial"/>
          <w:sz w:val="18"/>
          <w:szCs w:val="18"/>
          <w:color w:val="auto"/>
        </w:rPr>
        <w:t>” has the meaning specified in Section 4.02(a) of this Third Supplemental Indenture.</w:t>
      </w:r>
    </w:p>
    <w:p>
      <w:pPr>
        <w:spacing w:after="0" w:line="225" w:lineRule="exact"/>
        <w:rPr>
          <w:sz w:val="20"/>
          <w:szCs w:val="20"/>
          <w:color w:val="auto"/>
        </w:rPr>
      </w:pPr>
    </w:p>
    <w:p>
      <w:pPr>
        <w:ind w:right="38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Change of Control Repurchase Event</w:t>
      </w:r>
      <w:r>
        <w:rPr>
          <w:rFonts w:ascii="Arial" w:cs="Arial" w:eastAsia="Arial" w:hAnsi="Arial"/>
          <w:sz w:val="18"/>
          <w:szCs w:val="18"/>
          <w:color w:val="auto"/>
        </w:rPr>
        <w:t>” means, with respect to any series of Notes, the occurrence of both a Change of Control and a Ratings Event.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Clearstream</w:t>
      </w:r>
      <w:r>
        <w:rPr>
          <w:rFonts w:ascii="Arial" w:cs="Arial" w:eastAsia="Arial" w:hAnsi="Arial"/>
          <w:sz w:val="18"/>
          <w:szCs w:val="18"/>
          <w:color w:val="auto"/>
        </w:rPr>
        <w:t>” means Clearstream Banking S.A.</w:t>
      </w:r>
    </w:p>
    <w:p>
      <w:pPr>
        <w:spacing w:after="0" w:line="225"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Company</w:t>
      </w:r>
      <w:r>
        <w:rPr>
          <w:rFonts w:ascii="Arial" w:cs="Arial" w:eastAsia="Arial" w:hAnsi="Arial"/>
          <w:sz w:val="18"/>
          <w:szCs w:val="18"/>
          <w:color w:val="auto"/>
        </w:rPr>
        <w:t>” means the party named as such in the recitals of this Third Supplemental Indenture until a successor replaces it pursuant to the terms and conditions of the Indenture and thereafter means the successor.</w:t>
      </w:r>
    </w:p>
    <w:p>
      <w:pPr>
        <w:spacing w:after="0" w:line="170"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Consolidated Net Tangible Assets</w:t>
      </w:r>
      <w:r>
        <w:rPr>
          <w:rFonts w:ascii="Arial" w:cs="Arial" w:eastAsia="Arial" w:hAnsi="Arial"/>
          <w:sz w:val="18"/>
          <w:szCs w:val="18"/>
          <w:color w:val="auto"/>
        </w:rPr>
        <w:t>” means, as of any date of determination, the total assets less (a) all current liabilities (excluding deferred net revenue) and (b) the value of all goodwill, trade names, trademarks, service marks, patents, unamortized debt discount and expense and other intangible assets, all as shown on or reflected in the Company’s or any Guarantor’s most recent consolidated balance sheet (including, without duplication, the notes related thereto) prepared in accordance with GAAP.</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Custodian</w:t>
      </w:r>
      <w:r>
        <w:rPr>
          <w:rFonts w:ascii="Arial" w:cs="Arial" w:eastAsia="Arial" w:hAnsi="Arial"/>
          <w:sz w:val="18"/>
          <w:szCs w:val="18"/>
          <w:color w:val="auto"/>
        </w:rPr>
        <w:t>” means any receiver, trustee, assignee, liquidator or similar official under any Bankruptcy Law.</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DTC participants</w:t>
      </w:r>
      <w:r>
        <w:rPr>
          <w:rFonts w:ascii="Arial" w:cs="Arial" w:eastAsia="Arial" w:hAnsi="Arial"/>
          <w:sz w:val="18"/>
          <w:szCs w:val="18"/>
          <w:color w:val="auto"/>
        </w:rPr>
        <w:t>” has the meaning specified in Section 2.01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Euroclear</w:t>
      </w:r>
      <w:r>
        <w:rPr>
          <w:rFonts w:ascii="Arial" w:cs="Arial" w:eastAsia="Arial" w:hAnsi="Arial"/>
          <w:sz w:val="18"/>
          <w:szCs w:val="18"/>
          <w:color w:val="auto"/>
        </w:rPr>
        <w:t>” means Euroclear Bank S.A./N.V.</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Event of Default</w:t>
      </w:r>
      <w:r>
        <w:rPr>
          <w:rFonts w:ascii="Arial" w:cs="Arial" w:eastAsia="Arial" w:hAnsi="Arial"/>
          <w:sz w:val="18"/>
          <w:szCs w:val="18"/>
          <w:color w:val="auto"/>
        </w:rPr>
        <w:t>” has the meaning specified in Section 5.03 of this Third Supplemental Indenture.</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Fitch</w:t>
      </w:r>
      <w:r>
        <w:rPr>
          <w:rFonts w:ascii="Arial" w:cs="Arial" w:eastAsia="Arial" w:hAnsi="Arial"/>
          <w:sz w:val="18"/>
          <w:szCs w:val="18"/>
          <w:color w:val="auto"/>
        </w:rPr>
        <w:t>” means Fitch Ratings, Inc. and its successors.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GAAP</w:t>
      </w:r>
      <w:r>
        <w:rPr>
          <w:rFonts w:ascii="Arial" w:cs="Arial" w:eastAsia="Arial" w:hAnsi="Arial"/>
          <w:sz w:val="18"/>
          <w:szCs w:val="18"/>
          <w:color w:val="auto"/>
        </w:rPr>
        <w:t>” means generally accepted accounting principles in the United States of America in effect from time to time.</w:t>
      </w:r>
    </w:p>
    <w:p>
      <w:pPr>
        <w:spacing w:after="0" w:line="225" w:lineRule="exact"/>
        <w:rPr>
          <w:sz w:val="20"/>
          <w:szCs w:val="20"/>
          <w:color w:val="auto"/>
        </w:rPr>
      </w:pPr>
    </w:p>
    <w:p>
      <w:pPr>
        <w:ind w:firstLine="440"/>
        <w:spacing w:after="0" w:line="272"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guarantee</w:t>
      </w:r>
      <w:r>
        <w:rPr>
          <w:rFonts w:ascii="Arial" w:cs="Arial" w:eastAsia="Arial" w:hAnsi="Arial"/>
          <w:sz w:val="17"/>
          <w:szCs w:val="17"/>
          <w:color w:val="auto"/>
        </w:rPr>
        <w:t xml:space="preserve">” means any obligation, contingent or otherwise, of any Person directly or indirectly guaranteeing any Indebtedness of any other Person and any obligation, direct or indirect, contingent or otherwise, of such Person (1) to purchase or pay (or advance or supply funds for the purchase or payment of) such Indebtedness of such other Person (whether arising by virtue of partnership arrangements, or by agreement to keep well, to purchase assets, goods, securities or services, to take or pay or to maintain financial statement conditions or otherwise) or (2) entered into for purposes of assuring in any other manner the obligee of such Indebtedness of the payment thereof or to protect such obligee against loss in respect thereof (in whole or in part); </w:t>
      </w:r>
      <w:r>
        <w:rPr>
          <w:rFonts w:ascii="Arial" w:cs="Arial" w:eastAsia="Arial" w:hAnsi="Arial"/>
          <w:sz w:val="17"/>
          <w:szCs w:val="17"/>
          <w:i w:val="1"/>
          <w:iCs w:val="1"/>
          <w:color w:val="auto"/>
        </w:rPr>
        <w:t>provided, however</w:t>
      </w:r>
      <w:r>
        <w:rPr>
          <w:rFonts w:ascii="Arial" w:cs="Arial" w:eastAsia="Arial" w:hAnsi="Arial"/>
          <w:sz w:val="17"/>
          <w:szCs w:val="17"/>
          <w:color w:val="auto"/>
        </w:rPr>
        <w:t>, that the term “</w:t>
      </w:r>
      <w:r>
        <w:rPr>
          <w:rFonts w:ascii="Arial" w:cs="Arial" w:eastAsia="Arial" w:hAnsi="Arial"/>
          <w:sz w:val="17"/>
          <w:szCs w:val="17"/>
          <w:u w:val="single" w:color="auto"/>
          <w:color w:val="auto"/>
        </w:rPr>
        <w:t>guarantee</w:t>
      </w:r>
      <w:r>
        <w:rPr>
          <w:rFonts w:ascii="Arial" w:cs="Arial" w:eastAsia="Arial" w:hAnsi="Arial"/>
          <w:sz w:val="17"/>
          <w:szCs w:val="17"/>
          <w:color w:val="auto"/>
        </w:rPr>
        <w:t>” shall not include endorsements for collection or deposit in the ordinary course of business. The term “</w:t>
      </w:r>
      <w:r>
        <w:rPr>
          <w:rFonts w:ascii="Arial" w:cs="Arial" w:eastAsia="Arial" w:hAnsi="Arial"/>
          <w:sz w:val="17"/>
          <w:szCs w:val="17"/>
          <w:u w:val="single" w:color="auto"/>
          <w:color w:val="auto"/>
        </w:rPr>
        <w:t>guarantee</w:t>
      </w:r>
      <w:r>
        <w:rPr>
          <w:rFonts w:ascii="Arial" w:cs="Arial" w:eastAsia="Arial" w:hAnsi="Arial"/>
          <w:sz w:val="17"/>
          <w:szCs w:val="17"/>
          <w:color w:val="auto"/>
        </w:rPr>
        <w:t>,” when used as a verb, has a correlative meaning.</w:t>
      </w:r>
    </w:p>
    <w:p>
      <w:pPr>
        <w:spacing w:after="0" w:line="17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Global Notes Legend</w:t>
      </w:r>
      <w:r>
        <w:rPr>
          <w:rFonts w:ascii="Arial" w:cs="Arial" w:eastAsia="Arial" w:hAnsi="Arial"/>
          <w:sz w:val="18"/>
          <w:szCs w:val="18"/>
          <w:color w:val="auto"/>
        </w:rPr>
        <w:t>” means the legend set forth under that caption in Exhibits A and B to this Third Supplemental Indenture.</w:t>
      </w:r>
    </w:p>
    <w:p>
      <w:pPr>
        <w:spacing w:after="0" w:line="225" w:lineRule="exact"/>
        <w:rPr>
          <w:sz w:val="20"/>
          <w:szCs w:val="20"/>
          <w:color w:val="auto"/>
        </w:rPr>
      </w:pPr>
    </w:p>
    <w:p>
      <w:pPr>
        <w:ind w:right="6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Guarantor</w:t>
      </w:r>
      <w:r>
        <w:rPr>
          <w:rFonts w:ascii="Arial" w:cs="Arial" w:eastAsia="Arial" w:hAnsi="Arial"/>
          <w:sz w:val="18"/>
          <w:szCs w:val="18"/>
          <w:color w:val="auto"/>
        </w:rPr>
        <w:t>” means any such entity that executes a supplemental indenture pursuant to Section 7.01 hereof until the date that such entity is released from its guarantee pursuant to Section 7.02 hereof or otherwise.</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3</w:t>
      </w:r>
    </w:p>
    <w:p>
      <w:pPr>
        <w:sectPr>
          <w:pgSz w:w="11900" w:h="16838" w:orient="portrait"/>
          <w:cols w:equalWidth="0" w:num="1">
            <w:col w:w="10980"/>
          </w:cols>
          <w:pgMar w:left="440" w:top="274" w:right="479" w:bottom="1440" w:gutter="0" w:footer="0" w:header="0"/>
        </w:sectPr>
      </w:pPr>
    </w:p>
    <w:bookmarkStart w:id="46" w:name="page47"/>
    <w:bookmarkEnd w:id="46"/>
    <w:p>
      <w:pPr>
        <w:ind w:left="4" w:right="220" w:firstLine="440"/>
        <w:spacing w:after="0" w:line="259"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8"/>
          <w:szCs w:val="18"/>
          <w:u w:val="single" w:color="auto"/>
          <w:color w:val="auto"/>
        </w:rPr>
        <w:t>Hedging Obligations</w:t>
      </w:r>
      <w:r>
        <w:rPr>
          <w:rFonts w:ascii="Arial" w:cs="Arial" w:eastAsia="Arial" w:hAnsi="Arial"/>
          <w:sz w:val="18"/>
          <w:szCs w:val="18"/>
          <w:color w:val="auto"/>
        </w:rPr>
        <w:t>” means, with respect to any specified Person, the obligations of such Person under: (1) interest rate swap agreements (whether from fixed to floating or from floating to fixed), interest rate cap agreements and interest rate collar agreements; (2) other agreements or arrangements designed to manage interest rates or interest rate risk; and (3) other agreements or arrangements designed to protect such Person against fluctuations in currency exchange rates or commodity prices.</w:t>
      </w:r>
    </w:p>
    <w:p>
      <w:pPr>
        <w:spacing w:after="0" w:line="187" w:lineRule="exact"/>
        <w:rPr>
          <w:sz w:val="20"/>
          <w:szCs w:val="20"/>
          <w:color w:val="auto"/>
        </w:rPr>
      </w:pPr>
    </w:p>
    <w:p>
      <w:pPr>
        <w:ind w:left="4" w:right="10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Indebtedness</w:t>
      </w:r>
      <w:r>
        <w:rPr>
          <w:rFonts w:ascii="Arial" w:cs="Arial" w:eastAsia="Arial" w:hAnsi="Arial"/>
          <w:sz w:val="18"/>
          <w:szCs w:val="18"/>
          <w:color w:val="auto"/>
        </w:rPr>
        <w:t>” means, with respect to any Person, indebtedness of such Person for borrowed money (including, without limitation, indebtedness for borrowed money evidenced by notes, bonds, debentures or similar instruments but not including Non-recourse Obligations), if and to the extent any of the foregoing indebtedness would appear as a liability upon an unconsolidated balance sheet of such Person (but does not include contingent liabilities which appear only in a footnote to a balance sheet).</w:t>
      </w:r>
    </w:p>
    <w:p>
      <w:pPr>
        <w:spacing w:after="0" w:line="187"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Indenture</w:t>
      </w:r>
      <w:r>
        <w:rPr>
          <w:rFonts w:ascii="Arial" w:cs="Arial" w:eastAsia="Arial" w:hAnsi="Arial"/>
          <w:sz w:val="18"/>
          <w:szCs w:val="18"/>
          <w:color w:val="auto"/>
        </w:rPr>
        <w:t>” has the meaning specified in the recitals of this Third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Initial Notes</w:t>
      </w:r>
      <w:r>
        <w:rPr>
          <w:rFonts w:ascii="Arial" w:cs="Arial" w:eastAsia="Arial" w:hAnsi="Arial"/>
          <w:sz w:val="18"/>
          <w:szCs w:val="18"/>
          <w:color w:val="auto"/>
        </w:rPr>
        <w:t>” has the meaning set forth in Section 3.01(b) of this Third Supplemental Indenture.</w:t>
      </w:r>
    </w:p>
    <w:p>
      <w:pPr>
        <w:spacing w:after="0" w:line="225" w:lineRule="exact"/>
        <w:rPr>
          <w:sz w:val="20"/>
          <w:szCs w:val="20"/>
          <w:color w:val="auto"/>
        </w:rPr>
      </w:pPr>
    </w:p>
    <w:p>
      <w:pPr>
        <w:ind w:left="4" w:right="8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Investment Grade</w:t>
      </w:r>
      <w:r>
        <w:rPr>
          <w:rFonts w:ascii="Arial" w:cs="Arial" w:eastAsia="Arial" w:hAnsi="Arial"/>
          <w:sz w:val="18"/>
          <w:szCs w:val="18"/>
          <w:color w:val="auto"/>
        </w:rPr>
        <w:t>” means a rating of BBB- or better by Fitch (or its equivalent under any successor rating categories of Fitch); a rating of Baa3 or better by Moody’s (or its equivalent under any successor rating categories of Moody’s); a rating of BBB- or better by S&amp;P (or its equivalent under any successor rating categories of S&amp;P); or, if applicable, the equivalent investment grade credit rating from any Substitute Rating Agency appointed in accordance with the proviso to the definition of “Rating Agency.”</w:t>
      </w:r>
    </w:p>
    <w:p>
      <w:pPr>
        <w:spacing w:after="0" w:line="187" w:lineRule="exact"/>
        <w:rPr>
          <w:sz w:val="20"/>
          <w:szCs w:val="20"/>
          <w:color w:val="auto"/>
        </w:rPr>
      </w:pPr>
    </w:p>
    <w:p>
      <w:pPr>
        <w:ind w:left="4" w:right="2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Lien</w:t>
      </w:r>
      <w:r>
        <w:rPr>
          <w:rFonts w:ascii="Arial" w:cs="Arial" w:eastAsia="Arial" w:hAnsi="Arial"/>
          <w:sz w:val="18"/>
          <w:szCs w:val="18"/>
          <w:color w:val="auto"/>
        </w:rPr>
        <w:t>” means any mortgage, lien, pledge, charge, or other security interest or encumbrance of any kind (including any conditional sale or other title retention agreement and any lease in the nature thereof).</w:t>
      </w:r>
    </w:p>
    <w:p>
      <w:pPr>
        <w:spacing w:after="0" w:line="170"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Moody’s</w:t>
      </w:r>
      <w:r>
        <w:rPr>
          <w:rFonts w:ascii="Arial" w:cs="Arial" w:eastAsia="Arial" w:hAnsi="Arial"/>
          <w:sz w:val="18"/>
          <w:szCs w:val="18"/>
          <w:color w:val="auto"/>
        </w:rPr>
        <w:t>” means Moody’s Investors Service, Inc. and its successors.</w:t>
      </w:r>
    </w:p>
    <w:p>
      <w:pPr>
        <w:spacing w:after="0" w:line="225" w:lineRule="exact"/>
        <w:rPr>
          <w:sz w:val="20"/>
          <w:szCs w:val="20"/>
          <w:color w:val="auto"/>
        </w:rPr>
      </w:pPr>
    </w:p>
    <w:p>
      <w:pPr>
        <w:ind w:left="4" w:firstLine="440"/>
        <w:spacing w:after="0" w:line="273"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Non-recourse Obligation</w:t>
      </w:r>
      <w:r>
        <w:rPr>
          <w:rFonts w:ascii="Arial" w:cs="Arial" w:eastAsia="Arial" w:hAnsi="Arial"/>
          <w:sz w:val="17"/>
          <w:szCs w:val="17"/>
          <w:color w:val="auto"/>
        </w:rPr>
        <w:t>” means Indebtedness or other obligations substantially related to (1) the acquisition of assets not previously owned by the Company, any Guarantor or any direct or indirect Subsidiaries of the Company or of any Guarantor or (2) the financing of a project involving the development or expansion of the properties of the Company, any Guarantor or any direct or indirect Subsidiaries of the Company or of any Guarantor, as to which the obligee with respect to such Indebtedness or obligation has no recourse to the Company or any direct or indirect Subsidiary of the Company or of any Guarantor or such Subsidiary’s assets other than the assets which were acquired with the proceeds of such transaction or the project financed with the proceeds of such transaction (and the proceeds thereof).</w:t>
      </w:r>
    </w:p>
    <w:p>
      <w:pPr>
        <w:spacing w:after="0" w:line="178"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Notes</w:t>
      </w:r>
      <w:r>
        <w:rPr>
          <w:rFonts w:ascii="Arial" w:cs="Arial" w:eastAsia="Arial" w:hAnsi="Arial"/>
          <w:sz w:val="18"/>
          <w:szCs w:val="18"/>
          <w:color w:val="auto"/>
        </w:rPr>
        <w:t>” has the meaning specified in the recitals of this Third Supplemental Indenture.</w:t>
      </w:r>
    </w:p>
    <w:p>
      <w:pPr>
        <w:spacing w:after="0" w:line="225" w:lineRule="exact"/>
        <w:rPr>
          <w:sz w:val="20"/>
          <w:szCs w:val="20"/>
          <w:color w:val="auto"/>
        </w:rPr>
      </w:pPr>
    </w:p>
    <w:p>
      <w:pPr>
        <w:ind w:left="444"/>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Notice</w:t>
      </w:r>
      <w:r>
        <w:rPr>
          <w:rFonts w:ascii="Arial" w:cs="Arial" w:eastAsia="Arial" w:hAnsi="Arial"/>
          <w:sz w:val="18"/>
          <w:szCs w:val="18"/>
          <w:color w:val="auto"/>
        </w:rPr>
        <w:t>” has the meaning specified in Section 8.01 of this Third Supplemental Indenture.</w:t>
      </w:r>
    </w:p>
    <w:p>
      <w:pPr>
        <w:spacing w:after="0" w:line="225" w:lineRule="exact"/>
        <w:rPr>
          <w:sz w:val="20"/>
          <w:szCs w:val="20"/>
          <w:color w:val="auto"/>
        </w:rPr>
      </w:pPr>
    </w:p>
    <w:p>
      <w:pPr>
        <w:ind w:left="4" w:right="80" w:firstLine="440"/>
        <w:spacing w:after="0" w:line="286"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Property</w:t>
      </w:r>
      <w:r>
        <w:rPr>
          <w:rFonts w:ascii="Arial" w:cs="Arial" w:eastAsia="Arial" w:hAnsi="Arial"/>
          <w:sz w:val="16"/>
          <w:szCs w:val="16"/>
          <w:color w:val="auto"/>
        </w:rPr>
        <w:t>” means (i) any real property or any permanent improvement thereon owned by the Company, any Guarantor or any of the Restricted Subsidiaries located in the United States, except such as the Company’s management determines in good faith (taking into account, among other things, the importance of such property to the business, financial condition and earnings of the Company, any Guarantor and the Restricted Subsidiaries taken as a whole) not to be of material importance to the business of the Company, any Guarantor and the Restricted Subsidiaries, taken as a whole, and</w:t>
      </w:r>
    </w:p>
    <w:p>
      <w:pPr>
        <w:spacing w:after="0" w:line="1" w:lineRule="exact"/>
        <w:rPr>
          <w:sz w:val="20"/>
          <w:szCs w:val="20"/>
          <w:color w:val="auto"/>
        </w:rPr>
      </w:pPr>
    </w:p>
    <w:p>
      <w:pPr>
        <w:ind w:left="4" w:right="200" w:hanging="4"/>
        <w:spacing w:after="0" w:line="260" w:lineRule="auto"/>
        <w:tabs>
          <w:tab w:leader="none" w:pos="269" w:val="left"/>
        </w:tabs>
        <w:numPr>
          <w:ilvl w:val="0"/>
          <w:numId w:val="53"/>
        </w:numPr>
        <w:rPr>
          <w:rFonts w:ascii="Arial" w:cs="Arial" w:eastAsia="Arial" w:hAnsi="Arial"/>
          <w:sz w:val="18"/>
          <w:szCs w:val="18"/>
          <w:color w:val="auto"/>
        </w:rPr>
      </w:pPr>
      <w:r>
        <w:rPr>
          <w:rFonts w:ascii="Arial" w:cs="Arial" w:eastAsia="Arial" w:hAnsi="Arial"/>
          <w:sz w:val="18"/>
          <w:szCs w:val="18"/>
          <w:color w:val="auto"/>
        </w:rPr>
        <w:t>the capital stock of any United States Subsidiary that is owned by the Company, any Guarantor or any of the Restricted Subsidiaries, in the case of each of clause (i) and (ii), whether now owned or hereafter acquired.</w:t>
      </w:r>
    </w:p>
    <w:p>
      <w:pPr>
        <w:spacing w:after="0" w:line="185" w:lineRule="exact"/>
        <w:rPr>
          <w:sz w:val="20"/>
          <w:szCs w:val="20"/>
          <w:color w:val="auto"/>
        </w:rPr>
      </w:pPr>
    </w:p>
    <w:p>
      <w:pPr>
        <w:ind w:left="4" w:right="20" w:firstLine="440"/>
        <w:spacing w:after="0" w:line="291" w:lineRule="auto"/>
        <w:rPr>
          <w:sz w:val="20"/>
          <w:szCs w:val="20"/>
          <w:color w:val="auto"/>
        </w:rPr>
      </w:pPr>
      <w:r>
        <w:rPr>
          <w:rFonts w:ascii="Arial" w:cs="Arial" w:eastAsia="Arial" w:hAnsi="Arial"/>
          <w:sz w:val="16"/>
          <w:szCs w:val="16"/>
          <w:color w:val="auto"/>
        </w:rPr>
        <w:t>“</w:t>
      </w:r>
      <w:r>
        <w:rPr>
          <w:rFonts w:ascii="Arial" w:cs="Arial" w:eastAsia="Arial" w:hAnsi="Arial"/>
          <w:sz w:val="16"/>
          <w:szCs w:val="16"/>
          <w:u w:val="single" w:color="auto"/>
          <w:color w:val="auto"/>
        </w:rPr>
        <w:t>Rating Agency</w:t>
      </w:r>
      <w:r>
        <w:rPr>
          <w:rFonts w:ascii="Arial" w:cs="Arial" w:eastAsia="Arial" w:hAnsi="Arial"/>
          <w:sz w:val="16"/>
          <w:szCs w:val="16"/>
          <w:color w:val="auto"/>
        </w:rPr>
        <w:t xml:space="preserve">” means each of Fitch, Moody’s and S&amp;P;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if any of Fitch, Moody’s or S&amp;P ceases to rate the Notes or fails to make a rating of the Notes publicly available, “Rating Agency” shall include a “nationally recognized statistical rating organization” as defined in Section 3(a)</w:t>
      </w:r>
    </w:p>
    <w:p>
      <w:pPr>
        <w:ind w:left="5464" w:right="2960" w:hanging="5464"/>
        <w:spacing w:after="0" w:line="433" w:lineRule="auto"/>
        <w:tabs>
          <w:tab w:leader="none" w:pos="346" w:val="left"/>
        </w:tabs>
        <w:numPr>
          <w:ilvl w:val="0"/>
          <w:numId w:val="54"/>
        </w:numPr>
        <w:rPr>
          <w:rFonts w:ascii="Arial" w:cs="Arial" w:eastAsia="Arial" w:hAnsi="Arial"/>
          <w:sz w:val="18"/>
          <w:szCs w:val="18"/>
          <w:color w:val="auto"/>
        </w:rPr>
      </w:pPr>
      <w:r>
        <w:rPr>
          <w:rFonts w:ascii="Arial" w:cs="Arial" w:eastAsia="Arial" w:hAnsi="Arial"/>
          <w:sz w:val="18"/>
          <w:szCs w:val="18"/>
          <w:color w:val="auto"/>
        </w:rPr>
        <w:t>of the Exchange Act appointed by us as a substitute for such rating agency (a “</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4</w:t>
      </w:r>
    </w:p>
    <w:p>
      <w:pPr>
        <w:sectPr>
          <w:pgSz w:w="11900" w:h="16838" w:orient="portrait"/>
          <w:cols w:equalWidth="0" w:num="1">
            <w:col w:w="11004"/>
          </w:cols>
          <w:pgMar w:left="436" w:top="274" w:right="459" w:bottom="1440" w:gutter="0" w:footer="0" w:header="0"/>
        </w:sectPr>
      </w:pPr>
    </w:p>
    <w:bookmarkStart w:id="47" w:name="page48"/>
    <w:bookmarkEnd w:id="47"/>
    <w:p>
      <w:pPr>
        <w:ind w:right="40" w:firstLine="440"/>
        <w:spacing w:after="0" w:line="301"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Arial" w:cs="Arial" w:eastAsia="Arial" w:hAnsi="Arial"/>
          <w:sz w:val="16"/>
          <w:szCs w:val="16"/>
          <w:u w:val="single" w:color="auto"/>
          <w:color w:val="auto"/>
        </w:rPr>
        <w:t>Ratings Event</w:t>
      </w:r>
      <w:r>
        <w:rPr>
          <w:rFonts w:ascii="Arial" w:cs="Arial" w:eastAsia="Arial" w:hAnsi="Arial"/>
          <w:sz w:val="16"/>
          <w:szCs w:val="16"/>
          <w:color w:val="auto"/>
        </w:rPr>
        <w:t>” means that the Notes of the applicable series cease to be rated Investment Grade by at least two of the three Rating Agencies on any day during the Trigger Period. If any of the Rating Agencies is not providing a rating of the Notes of the applicable series on any day during the Trigger Period for any reason (subject, for the avoidance of doubt, to the Company’s right to engage a Substitute Rating Agency as provided herein), the rating of such Rating Agency for the Notes of such series shall be deemed to have ceased to be Investment Grade during the Trigger Period.</w:t>
      </w:r>
    </w:p>
    <w:p>
      <w:pPr>
        <w:spacing w:after="0" w:line="15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Record Date</w:t>
      </w:r>
      <w:r>
        <w:rPr>
          <w:rFonts w:ascii="Arial" w:cs="Arial" w:eastAsia="Arial" w:hAnsi="Arial"/>
          <w:sz w:val="18"/>
          <w:szCs w:val="18"/>
          <w:color w:val="auto"/>
        </w:rPr>
        <w:t>” means the 1</w:t>
      </w:r>
      <w:r>
        <w:rPr>
          <w:rFonts w:ascii="Arial" w:cs="Arial" w:eastAsia="Arial" w:hAnsi="Arial"/>
          <w:sz w:val="26"/>
          <w:szCs w:val="26"/>
          <w:color w:val="auto"/>
          <w:vertAlign w:val="superscript"/>
        </w:rPr>
        <w:t>st</w:t>
      </w:r>
      <w:r>
        <w:rPr>
          <w:rFonts w:ascii="Arial" w:cs="Arial" w:eastAsia="Arial" w:hAnsi="Arial"/>
          <w:sz w:val="18"/>
          <w:szCs w:val="18"/>
          <w:color w:val="auto"/>
        </w:rPr>
        <w:t xml:space="preserve"> day of the month in which interest is due and payable on the applicable series of Notes.</w:t>
      </w:r>
    </w:p>
    <w:p>
      <w:pPr>
        <w:spacing w:after="0" w:line="133" w:lineRule="exact"/>
        <w:rPr>
          <w:sz w:val="20"/>
          <w:szCs w:val="20"/>
          <w:color w:val="auto"/>
        </w:rPr>
      </w:pPr>
    </w:p>
    <w:p>
      <w:pPr>
        <w:ind w:right="10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Restricted Subsidiary</w:t>
      </w:r>
      <w:r>
        <w:rPr>
          <w:rFonts w:ascii="Arial" w:cs="Arial" w:eastAsia="Arial" w:hAnsi="Arial"/>
          <w:sz w:val="18"/>
          <w:szCs w:val="18"/>
          <w:color w:val="auto"/>
        </w:rPr>
        <w:t>” means a Subsidiary of the Company or of any Guarantor, in each case of which substantially all of its property is located, or substantially all of its business is conducted, in the United States.</w:t>
      </w:r>
    </w:p>
    <w:p>
      <w:pPr>
        <w:spacing w:after="0" w:line="170" w:lineRule="exact"/>
        <w:rPr>
          <w:sz w:val="20"/>
          <w:szCs w:val="20"/>
          <w:color w:val="auto"/>
        </w:rPr>
      </w:pPr>
    </w:p>
    <w:p>
      <w:pPr>
        <w:ind w:right="5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Revolving Credit Agreement</w:t>
      </w:r>
      <w:r>
        <w:rPr>
          <w:rFonts w:ascii="Arial" w:cs="Arial" w:eastAsia="Arial" w:hAnsi="Arial"/>
          <w:sz w:val="18"/>
          <w:szCs w:val="18"/>
          <w:color w:val="auto"/>
        </w:rPr>
        <w:t>” means that certain amended and restated revolving credit agreement, dated as of April 14, 2023, among the Company, the lenders party thereto and Bank of America, N.A., as the administrative agent.</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S&amp;P</w:t>
      </w:r>
      <w:r>
        <w:rPr>
          <w:rFonts w:ascii="Arial" w:cs="Arial" w:eastAsia="Arial" w:hAnsi="Arial"/>
          <w:sz w:val="18"/>
          <w:szCs w:val="18"/>
          <w:color w:val="auto"/>
        </w:rPr>
        <w:t>” means S&amp;P Global Ratings, a division of S&amp;P Global Inc., and its successors.</w:t>
      </w:r>
    </w:p>
    <w:p>
      <w:pPr>
        <w:spacing w:after="0" w:line="225" w:lineRule="exact"/>
        <w:rPr>
          <w:sz w:val="20"/>
          <w:szCs w:val="20"/>
          <w:color w:val="auto"/>
        </w:rPr>
      </w:pPr>
    </w:p>
    <w:p>
      <w:pPr>
        <w:ind w:right="60" w:firstLine="440"/>
        <w:spacing w:after="0" w:line="259"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Subsidiary</w:t>
      </w:r>
      <w:r>
        <w:rPr>
          <w:rFonts w:ascii="Arial" w:cs="Arial" w:eastAsia="Arial" w:hAnsi="Arial"/>
          <w:sz w:val="18"/>
          <w:szCs w:val="18"/>
          <w:color w:val="auto"/>
        </w:rPr>
        <w:t>” of any specified Person means any corporation, limited liability company, limited partnership, association or other business entity of which more than 50% of the total voting power of shares of capital stock entitled (without regard to the occurrence of any contingency) to vote in the election of directors, managers or trustees thereof is at the time owned or controlled, directly or indirectly, by such Person or one or more of the other Subsidiaries of that Person or a combination thereof.</w:t>
      </w:r>
    </w:p>
    <w:p>
      <w:pPr>
        <w:spacing w:after="0" w:line="18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Substitute Rating Agency</w:t>
      </w:r>
      <w:r>
        <w:rPr>
          <w:rFonts w:ascii="Arial" w:cs="Arial" w:eastAsia="Arial" w:hAnsi="Arial"/>
          <w:sz w:val="18"/>
          <w:szCs w:val="18"/>
          <w:color w:val="auto"/>
        </w:rPr>
        <w:t>” has the meaning set forth in the definition of “Rating Agency.”</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Third Supplemental Indenture</w:t>
      </w:r>
      <w:r>
        <w:rPr>
          <w:rFonts w:ascii="Arial" w:cs="Arial" w:eastAsia="Arial" w:hAnsi="Arial"/>
          <w:sz w:val="18"/>
          <w:szCs w:val="18"/>
          <w:color w:val="auto"/>
        </w:rPr>
        <w:t>” has the meaning specified in the recitals of this Third Supplemental Indenture.</w:t>
      </w:r>
    </w:p>
    <w:p>
      <w:pPr>
        <w:spacing w:after="0" w:line="225" w:lineRule="exact"/>
        <w:rPr>
          <w:sz w:val="20"/>
          <w:szCs w:val="20"/>
          <w:color w:val="auto"/>
        </w:rPr>
      </w:pPr>
    </w:p>
    <w:p>
      <w:pPr>
        <w:ind w:right="160" w:firstLine="440"/>
        <w:spacing w:after="0" w:line="277"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Treasury Rate</w:t>
      </w:r>
      <w:r>
        <w:rPr>
          <w:rFonts w:ascii="Arial" w:cs="Arial" w:eastAsia="Arial" w:hAnsi="Arial"/>
          <w:sz w:val="18"/>
          <w:szCs w:val="18"/>
          <w:color w:val="auto"/>
        </w:rPr>
        <w:t>” means, with respect to any redemption date pursuant to Section 4.01 of this Third Supplemental Indenture, the yield determined in accordance with the following two paragraphs.</w:t>
      </w:r>
    </w:p>
    <w:p>
      <w:pPr>
        <w:spacing w:after="0" w:line="170" w:lineRule="exact"/>
        <w:rPr>
          <w:sz w:val="20"/>
          <w:szCs w:val="20"/>
          <w:color w:val="auto"/>
        </w:rPr>
      </w:pPr>
    </w:p>
    <w:p>
      <w:pPr>
        <w:ind w:firstLine="440"/>
        <w:spacing w:after="0" w:line="286" w:lineRule="auto"/>
        <w:rPr>
          <w:sz w:val="20"/>
          <w:szCs w:val="20"/>
          <w:color w:val="auto"/>
        </w:rPr>
      </w:pPr>
      <w:r>
        <w:rPr>
          <w:rFonts w:ascii="Arial" w:cs="Arial" w:eastAsia="Arial" w:hAnsi="Arial"/>
          <w:sz w:val="16"/>
          <w:szCs w:val="16"/>
          <w:color w:val="auto"/>
        </w:rPr>
        <w:t>The Treasury Rate shall be determined by the Company after 4:15 p.m., New York City time (or after such time as yields on U.S. government securities are posted daily by the Board of Governors of the Federal Reserve System), on the third Business Day preceding the redemption date based upon the yield or yields for the most recent day that appear after such time on such day in the most recent statistical release published by the Board of Governors of the Federal Reserve System designated as “Selected Interest Rates (Daily) — H.15” (or any successor designation or publication) (“</w:t>
      </w:r>
      <w:r>
        <w:rPr>
          <w:rFonts w:ascii="Arial" w:cs="Arial" w:eastAsia="Arial" w:hAnsi="Arial"/>
          <w:sz w:val="16"/>
          <w:szCs w:val="16"/>
          <w:u w:val="single" w:color="auto"/>
          <w:color w:val="auto"/>
        </w:rPr>
        <w:t>H.15</w:t>
      </w:r>
      <w:r>
        <w:rPr>
          <w:rFonts w:ascii="Arial" w:cs="Arial" w:eastAsia="Arial" w:hAnsi="Arial"/>
          <w:sz w:val="16"/>
          <w:szCs w:val="16"/>
          <w:color w:val="auto"/>
        </w:rPr>
        <w:t>”) under the caption “U.S. government securities — Treasury constant maturities — Nominal” (or any successor caption or heading) (“</w:t>
      </w:r>
      <w:r>
        <w:rPr>
          <w:rFonts w:ascii="Arial" w:cs="Arial" w:eastAsia="Arial" w:hAnsi="Arial"/>
          <w:sz w:val="16"/>
          <w:szCs w:val="16"/>
          <w:u w:val="single" w:color="auto"/>
          <w:color w:val="auto"/>
        </w:rPr>
        <w:t>H.15 TCM</w:t>
      </w:r>
      <w:r>
        <w:rPr>
          <w:rFonts w:ascii="Arial" w:cs="Arial" w:eastAsia="Arial" w:hAnsi="Arial"/>
          <w:sz w:val="16"/>
          <w:szCs w:val="16"/>
          <w:color w:val="auto"/>
        </w:rPr>
        <w:t>”). In determining the Treasury Rate, the Company shall select, as applicable: (1) the yield for the Treasury constant maturity on H.15 exactly equal to the period from the redemption date to the applicable Par Call Date (the “</w:t>
      </w:r>
      <w:r>
        <w:rPr>
          <w:rFonts w:ascii="Arial" w:cs="Arial" w:eastAsia="Arial" w:hAnsi="Arial"/>
          <w:sz w:val="16"/>
          <w:szCs w:val="16"/>
          <w:u w:val="single" w:color="auto"/>
          <w:color w:val="auto"/>
        </w:rPr>
        <w:t>Remaining Life</w:t>
      </w:r>
      <w:r>
        <w:rPr>
          <w:rFonts w:ascii="Arial" w:cs="Arial" w:eastAsia="Arial" w:hAnsi="Arial"/>
          <w:sz w:val="16"/>
          <w:szCs w:val="16"/>
          <w:color w:val="auto"/>
        </w:rPr>
        <w:t>”); or (2) if there is no such Treasury constant maturity on H.15 exactly equal to the Remaining Life, the two yields — one yield corresponding to the Treasury constant maturity on H.15 immediately shorter than and one yield corresponding to the Treasury constant maturity on H.15 immediately longer than the Remaining Life — and shall interpolate to the applicable Par Call Date on a straight-line basis (using the actual number of days) using such yields and rounding the result to three decimal places; or (3) if there is no such Treasury constant maturity on H.15 shorter than or longer than the Remaining Life, the yield for the single Treasury constant maturity on H.15 closest to the Remaining Life. For purposes of this paragraph, the applicable Treasury constant maturity or maturities on H.15 shall be deemed to have a maturity date equal to the relevant number of months or years, as applicable, of such Treasury constant maturity from the redemption date.</w:t>
      </w:r>
    </w:p>
    <w:p>
      <w:pPr>
        <w:spacing w:after="0" w:line="174" w:lineRule="exact"/>
        <w:rPr>
          <w:sz w:val="20"/>
          <w:szCs w:val="20"/>
          <w:color w:val="auto"/>
        </w:rPr>
      </w:pPr>
    </w:p>
    <w:p>
      <w:pPr>
        <w:ind w:right="100" w:firstLine="440"/>
        <w:spacing w:after="0" w:line="259" w:lineRule="auto"/>
        <w:rPr>
          <w:sz w:val="20"/>
          <w:szCs w:val="20"/>
          <w:color w:val="auto"/>
        </w:rPr>
      </w:pPr>
      <w:r>
        <w:rPr>
          <w:rFonts w:ascii="Arial" w:cs="Arial" w:eastAsia="Arial" w:hAnsi="Arial"/>
          <w:sz w:val="18"/>
          <w:szCs w:val="18"/>
          <w:color w:val="auto"/>
        </w:rPr>
        <w:t>If on the third Business Day preceding the redemption date H.15 TCM is no longer published, the Company shall calculate the Treasury Rate based on the rate per annum equal to the semi-annual equivalent yield to maturity at 11:00 a.m., New York City time, on the second Business Day preceding such redemption date of the United States Treasury security maturing on, or with a maturity that is closest to, the applicable Par Call Date, as applicable. If there</w:t>
      </w:r>
    </w:p>
    <w:p>
      <w:pPr>
        <w:spacing w:after="0" w:line="119"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5</w:t>
      </w:r>
    </w:p>
    <w:p>
      <w:pPr>
        <w:sectPr>
          <w:pgSz w:w="11900" w:h="16838" w:orient="portrait"/>
          <w:cols w:equalWidth="0" w:num="1">
            <w:col w:w="11000"/>
          </w:cols>
          <w:pgMar w:left="440" w:top="274" w:right="459" w:bottom="1440" w:gutter="0" w:footer="0" w:header="0"/>
        </w:sectPr>
      </w:pPr>
    </w:p>
    <w:bookmarkStart w:id="48" w:name="page49"/>
    <w:bookmarkEnd w:id="48"/>
    <w:p>
      <w:pPr>
        <w:ind w:right="20"/>
        <w:spacing w:after="0" w:line="289" w:lineRule="auto"/>
        <w:rPr>
          <w:sz w:val="20"/>
          <w:szCs w:val="20"/>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is no United States Treasury security maturing on the applicable Par Call Date but there are two or more United States Treasury securities with a maturity date equally distant from the applicable Par Call Date, one with a maturity date preceding the applicable Par Call Date and one with a maturity date following the applicable Par Call Date, the Company shall select the United States Treasury security with a maturity date preceding the applicable Par Call Date. If there are two or more United States Treasury securities maturing on the applicable Par Call Date or two or more United States Treasury securities meeting the criteria of the preceding sentence, the Company shall select from among these two or more United States Treasury securities the United States Treasury security that is trading closest to par based upon the average of the bid and asked prices for such United States Treasury securities at 11:00 a.m., New York City time. In determining the Treasury Rate in accordance with the terms of this paragraph, the semi-annual yield to maturity of the applicable United States Treasury security shall be based upon the average of the bid and asked prices (expressed as a percentage of principal amount) at 11:00 a.m., New York City time, of such United States Treasury security, and rounded to three decimal places.</w:t>
      </w:r>
    </w:p>
    <w:p>
      <w:pPr>
        <w:spacing w:after="0" w:line="166" w:lineRule="exact"/>
        <w:rPr>
          <w:sz w:val="20"/>
          <w:szCs w:val="20"/>
          <w:color w:val="auto"/>
        </w:rPr>
      </w:pPr>
    </w:p>
    <w:p>
      <w:pPr>
        <w:ind w:right="60" w:firstLine="440"/>
        <w:spacing w:after="0" w:line="250" w:lineRule="auto"/>
        <w:rPr>
          <w:sz w:val="20"/>
          <w:szCs w:val="20"/>
          <w:color w:val="auto"/>
        </w:rPr>
      </w:pPr>
      <w:r>
        <w:rPr>
          <w:rFonts w:ascii="Arial" w:cs="Arial" w:eastAsia="Arial" w:hAnsi="Arial"/>
          <w:sz w:val="17"/>
          <w:szCs w:val="17"/>
          <w:color w:val="auto"/>
        </w:rPr>
        <w:t>“</w:t>
      </w:r>
      <w:r>
        <w:rPr>
          <w:rFonts w:ascii="Arial" w:cs="Arial" w:eastAsia="Arial" w:hAnsi="Arial"/>
          <w:sz w:val="17"/>
          <w:szCs w:val="17"/>
          <w:u w:val="single" w:color="auto"/>
          <w:color w:val="auto"/>
        </w:rPr>
        <w:t>Trigger Period</w:t>
      </w:r>
      <w:r>
        <w:rPr>
          <w:rFonts w:ascii="Arial" w:cs="Arial" w:eastAsia="Arial" w:hAnsi="Arial"/>
          <w:sz w:val="17"/>
          <w:szCs w:val="17"/>
          <w:color w:val="auto"/>
        </w:rPr>
        <w:t>” means the period commencing on the earlier of (a) the first public notice of the occurrence of a Change of Control or (b) the public announcement by the Company of its intention to effect a Change of Control, and ending 60 days following consummation of such Change of Control (which period shall be extended so long as the rating of the Notes of the applicable series is under publicly announced consideration for a possible rating downgrade by any of the Rating Agencies on such 60</w:t>
      </w:r>
      <w:r>
        <w:rPr>
          <w:rFonts w:ascii="Arial" w:cs="Arial" w:eastAsia="Arial" w:hAnsi="Arial"/>
          <w:sz w:val="25"/>
          <w:szCs w:val="25"/>
          <w:color w:val="auto"/>
          <w:vertAlign w:val="superscript"/>
        </w:rPr>
        <w:t>th</w:t>
      </w:r>
      <w:r>
        <w:rPr>
          <w:rFonts w:ascii="Arial" w:cs="Arial" w:eastAsia="Arial" w:hAnsi="Arial"/>
          <w:sz w:val="17"/>
          <w:szCs w:val="17"/>
          <w:color w:val="auto"/>
        </w:rPr>
        <w:t xml:space="preserve"> day, such extension to last with respect to each such Rating Agency until the date on which such Rating Agency considering such possible rating downgrade either (x) rates the applicable series of Notes below Investment Grade or (y) publicly announces that it is no longer considering such series of Notes for a possible downgrade).</w:t>
      </w:r>
    </w:p>
    <w:p>
      <w:pPr>
        <w:spacing w:after="0" w:line="194" w:lineRule="exact"/>
        <w:rPr>
          <w:sz w:val="20"/>
          <w:szCs w:val="20"/>
          <w:color w:val="auto"/>
        </w:rPr>
      </w:pPr>
    </w:p>
    <w:p>
      <w:pPr>
        <w:ind w:firstLine="440"/>
        <w:spacing w:after="0" w:line="263" w:lineRule="auto"/>
        <w:rPr>
          <w:sz w:val="20"/>
          <w:szCs w:val="20"/>
          <w:color w:val="auto"/>
        </w:rPr>
      </w:pPr>
      <w:r>
        <w:rPr>
          <w:rFonts w:ascii="Arial" w:cs="Arial" w:eastAsia="Arial" w:hAnsi="Arial"/>
          <w:sz w:val="18"/>
          <w:szCs w:val="18"/>
          <w:color w:val="auto"/>
        </w:rPr>
        <w:t>“</w:t>
      </w:r>
      <w:r>
        <w:rPr>
          <w:rFonts w:ascii="Arial" w:cs="Arial" w:eastAsia="Arial" w:hAnsi="Arial"/>
          <w:sz w:val="18"/>
          <w:szCs w:val="18"/>
          <w:u w:val="single" w:color="auto"/>
          <w:color w:val="auto"/>
        </w:rPr>
        <w:t>Voting Shares</w:t>
      </w:r>
      <w:r>
        <w:rPr>
          <w:rFonts w:ascii="Arial" w:cs="Arial" w:eastAsia="Arial" w:hAnsi="Arial"/>
          <w:sz w:val="18"/>
          <w:szCs w:val="18"/>
          <w:color w:val="auto"/>
        </w:rPr>
        <w:t>” of any specified “person” (as that term is used in Section 13(d)(3) of the Exchange Act) as of any date means the shares, interests, participants, rights or other equivalents (however designated) of such person that is at the time entitled to vote generally in the election of the board of directors of such person.</w:t>
      </w:r>
    </w:p>
    <w:p>
      <w:pPr>
        <w:spacing w:after="0" w:line="184" w:lineRule="exact"/>
        <w:rPr>
          <w:sz w:val="20"/>
          <w:szCs w:val="20"/>
          <w:color w:val="auto"/>
        </w:rPr>
      </w:pPr>
    </w:p>
    <w:p>
      <w:pPr>
        <w:ind w:right="40" w:firstLine="440"/>
        <w:spacing w:after="0" w:line="271" w:lineRule="auto"/>
        <w:rPr>
          <w:sz w:val="20"/>
          <w:szCs w:val="20"/>
          <w:color w:val="auto"/>
        </w:rPr>
      </w:pPr>
      <w:r>
        <w:rPr>
          <w:rFonts w:ascii="Arial" w:cs="Arial" w:eastAsia="Arial" w:hAnsi="Arial"/>
          <w:sz w:val="17"/>
          <w:szCs w:val="17"/>
          <w:color w:val="auto"/>
        </w:rPr>
        <w:t xml:space="preserve">Section 1.02. </w:t>
      </w:r>
      <w:r>
        <w:rPr>
          <w:rFonts w:ascii="Arial" w:cs="Arial" w:eastAsia="Arial" w:hAnsi="Arial"/>
          <w:sz w:val="17"/>
          <w:szCs w:val="17"/>
          <w:i w:val="1"/>
          <w:iCs w:val="1"/>
          <w:color w:val="auto"/>
        </w:rPr>
        <w:t>Relationship with Base Indenture.</w:t>
      </w:r>
      <w:r>
        <w:rPr>
          <w:rFonts w:ascii="Arial" w:cs="Arial" w:eastAsia="Arial" w:hAnsi="Arial"/>
          <w:sz w:val="17"/>
          <w:szCs w:val="17"/>
          <w:color w:val="auto"/>
        </w:rPr>
        <w:t xml:space="preserve"> The terms and provisions contained in this Third Supplemental Indenture will constitute, and are hereby expressly made, a part of the Base Indenture and the Company and the Trustee, by their execution and delivery of this Third Supplemental Indenture, expressly agree to such terms and provisions and to be bound thereby;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the provisions of this Third Supplemental Indenture shall apply solely with respect to the 2029 Notes and the 2033 Notes and that, except as expressly supplemented hereby with respect to the 2029 Notes and the 2033 Notes, the Base Indenture shall continue in full force and effect and is in all respects confirmed, ratified and preserved. The Base Indenture and this Third Supplemental Indenture shall be read, taken and construed as one and the same instrument. In the event that any provision of this Third Supplemental Indenture expressly limits, qualifies or conflicts with a provision of the Base Indenture, such provision of this Third Supplemental Indenture shall control.</w:t>
      </w:r>
    </w:p>
    <w:p>
      <w:pPr>
        <w:spacing w:after="0" w:line="390"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u w:val="single" w:color="auto"/>
          <w:color w:val="auto"/>
        </w:rPr>
        <w:t>ARTICLE II</w:t>
      </w:r>
    </w:p>
    <w:p>
      <w:pPr>
        <w:spacing w:after="0" w:line="2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FORM OF NOTES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2.01. </w:t>
      </w:r>
      <w:r>
        <w:rPr>
          <w:rFonts w:ascii="Arial" w:cs="Arial" w:eastAsia="Arial" w:hAnsi="Arial"/>
          <w:sz w:val="18"/>
          <w:szCs w:val="18"/>
          <w:i w:val="1"/>
          <w:iCs w:val="1"/>
          <w:color w:val="auto"/>
        </w:rPr>
        <w:t>Form of Notes.</w:t>
      </w:r>
    </w:p>
    <w:p>
      <w:pPr>
        <w:spacing w:after="0" w:line="225" w:lineRule="exact"/>
        <w:rPr>
          <w:sz w:val="20"/>
          <w:szCs w:val="20"/>
          <w:color w:val="auto"/>
        </w:rPr>
      </w:pPr>
    </w:p>
    <w:p>
      <w:pPr>
        <w:ind w:firstLine="436"/>
        <w:spacing w:after="0" w:line="259" w:lineRule="auto"/>
        <w:tabs>
          <w:tab w:leader="none" w:pos="685" w:val="left"/>
        </w:tabs>
        <w:numPr>
          <w:ilvl w:val="0"/>
          <w:numId w:val="55"/>
        </w:numPr>
        <w:rPr>
          <w:rFonts w:ascii="Arial" w:cs="Arial" w:eastAsia="Arial" w:hAnsi="Arial"/>
          <w:sz w:val="18"/>
          <w:szCs w:val="18"/>
          <w:color w:val="auto"/>
        </w:rPr>
      </w:pPr>
      <w:r>
        <w:rPr>
          <w:rFonts w:ascii="Arial" w:cs="Arial" w:eastAsia="Arial" w:hAnsi="Arial"/>
          <w:sz w:val="18"/>
          <w:szCs w:val="18"/>
          <w:color w:val="auto"/>
        </w:rPr>
        <w:t>Each series of the Notes shall be substantially in the form of the corresponding Exhibit attached hereto (other than, with respect to any Additional Notes of any series of the Notes, changes related to issue date, issue price and first Interest Payment Date of such Additional Notes). The Notes may have notations, legends or endorsements required by law, rule or usage to which the Company is subject. Each Note shall be dated the date of its authentication.</w:t>
      </w:r>
    </w:p>
    <w:p>
      <w:pPr>
        <w:spacing w:after="0" w:line="78" w:lineRule="exact"/>
        <w:rPr>
          <w:rFonts w:ascii="Arial" w:cs="Arial" w:eastAsia="Arial" w:hAnsi="Arial"/>
          <w:sz w:val="18"/>
          <w:szCs w:val="18"/>
          <w:color w:val="auto"/>
        </w:rPr>
      </w:pPr>
    </w:p>
    <w:p>
      <w:pPr>
        <w:ind w:left="440" w:right="40" w:firstLine="419"/>
        <w:spacing w:after="0" w:line="296" w:lineRule="auto"/>
        <w:tabs>
          <w:tab w:leader="none" w:pos="1078" w:val="left"/>
        </w:tabs>
        <w:numPr>
          <w:ilvl w:val="1"/>
          <w:numId w:val="55"/>
        </w:numPr>
        <w:rPr>
          <w:rFonts w:ascii="Arial" w:cs="Arial" w:eastAsia="Arial" w:hAnsi="Arial"/>
          <w:sz w:val="16"/>
          <w:szCs w:val="16"/>
          <w:color w:val="auto"/>
        </w:rPr>
      </w:pPr>
      <w:r>
        <w:rPr>
          <w:rFonts w:ascii="Arial" w:cs="Arial" w:eastAsia="Arial" w:hAnsi="Arial"/>
          <w:sz w:val="16"/>
          <w:szCs w:val="16"/>
          <w:color w:val="auto"/>
        </w:rPr>
        <w:t>Initial Notes shall be in the form of one or more permanent global securities in fully registered form (each a “</w:t>
      </w:r>
      <w:r>
        <w:rPr>
          <w:rFonts w:ascii="Arial" w:cs="Arial" w:eastAsia="Arial" w:hAnsi="Arial"/>
          <w:sz w:val="16"/>
          <w:szCs w:val="16"/>
          <w:u w:val="single" w:color="auto"/>
          <w:color w:val="auto"/>
        </w:rPr>
        <w:t>Global Note</w:t>
      </w:r>
      <w:r>
        <w:rPr>
          <w:rFonts w:ascii="Arial" w:cs="Arial" w:eastAsia="Arial" w:hAnsi="Arial"/>
          <w:sz w:val="16"/>
          <w:szCs w:val="16"/>
          <w:color w:val="auto"/>
        </w:rPr>
        <w:t>” and, collectively, the “</w:t>
      </w:r>
      <w:r>
        <w:rPr>
          <w:rFonts w:ascii="Arial" w:cs="Arial" w:eastAsia="Arial" w:hAnsi="Arial"/>
          <w:sz w:val="16"/>
          <w:szCs w:val="16"/>
          <w:u w:val="single" w:color="auto"/>
          <w:color w:val="auto"/>
        </w:rPr>
        <w:t>Global Notes</w:t>
      </w:r>
      <w:r>
        <w:rPr>
          <w:rFonts w:ascii="Arial" w:cs="Arial" w:eastAsia="Arial" w:hAnsi="Arial"/>
          <w:sz w:val="16"/>
          <w:szCs w:val="16"/>
          <w:color w:val="auto"/>
        </w:rPr>
        <w:t>”) without interest coupons and with the Global Notes Legend set forth in Exhibits A and B to this Third Supplemental Indenture. Ownership of beneficial interests in each Global Note will be limited to persons who have accounts with DTC (“</w:t>
      </w:r>
      <w:r>
        <w:rPr>
          <w:rFonts w:ascii="Arial" w:cs="Arial" w:eastAsia="Arial" w:hAnsi="Arial"/>
          <w:sz w:val="16"/>
          <w:szCs w:val="16"/>
          <w:u w:val="single" w:color="auto"/>
          <w:color w:val="auto"/>
        </w:rPr>
        <w:t>DTC</w:t>
      </w:r>
      <w:r>
        <w:rPr>
          <w:rFonts w:ascii="Arial" w:cs="Arial" w:eastAsia="Arial" w:hAnsi="Arial"/>
          <w:sz w:val="16"/>
          <w:szCs w:val="16"/>
          <w:color w:val="auto"/>
        </w:rPr>
        <w:t xml:space="preserve"> </w:t>
      </w:r>
      <w:r>
        <w:rPr>
          <w:rFonts w:ascii="Arial" w:cs="Arial" w:eastAsia="Arial" w:hAnsi="Arial"/>
          <w:sz w:val="16"/>
          <w:szCs w:val="16"/>
          <w:u w:val="single" w:color="auto"/>
          <w:color w:val="auto"/>
        </w:rPr>
        <w:t>participants</w:t>
      </w:r>
      <w:r>
        <w:rPr>
          <w:rFonts w:ascii="Arial" w:cs="Arial" w:eastAsia="Arial" w:hAnsi="Arial"/>
          <w:sz w:val="16"/>
          <w:szCs w:val="16"/>
          <w:color w:val="auto"/>
        </w:rPr>
        <w:t>”) or persons who hold interests through DTC participants. The aggregate principal amount of the Global Notes may from time to time be increased or decreased by adjustments made on the records of the Trustee and the Depositary or its nominee as hereinafter provided.</w:t>
      </w:r>
    </w:p>
    <w:p>
      <w:pPr>
        <w:spacing w:after="0" w:line="161" w:lineRule="exact"/>
        <w:rPr>
          <w:rFonts w:ascii="Arial" w:cs="Arial" w:eastAsia="Arial" w:hAnsi="Arial"/>
          <w:sz w:val="16"/>
          <w:szCs w:val="16"/>
          <w:color w:val="auto"/>
        </w:rPr>
      </w:pPr>
    </w:p>
    <w:p>
      <w:pPr>
        <w:ind w:left="680" w:hanging="244"/>
        <w:spacing w:after="0"/>
        <w:tabs>
          <w:tab w:leader="none" w:pos="680" w:val="left"/>
        </w:tabs>
        <w:numPr>
          <w:ilvl w:val="0"/>
          <w:numId w:val="55"/>
        </w:numPr>
        <w:rPr>
          <w:rFonts w:ascii="Arial" w:cs="Arial" w:eastAsia="Arial" w:hAnsi="Arial"/>
          <w:sz w:val="18"/>
          <w:szCs w:val="18"/>
          <w:color w:val="auto"/>
        </w:rPr>
      </w:pPr>
      <w:r>
        <w:rPr>
          <w:rFonts w:ascii="Arial" w:cs="Arial" w:eastAsia="Arial" w:hAnsi="Arial"/>
          <w:sz w:val="18"/>
          <w:szCs w:val="18"/>
          <w:color w:val="auto"/>
        </w:rPr>
        <w:t>This Section 2.01(b) shall apply only to a Global Note deposited with or on behalf of the Depositary.</w:t>
      </w:r>
    </w:p>
    <w:p>
      <w:pPr>
        <w:spacing w:after="0" w:line="158"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6</w:t>
      </w:r>
    </w:p>
    <w:p>
      <w:pPr>
        <w:sectPr>
          <w:pgSz w:w="11900" w:h="16838" w:orient="portrait"/>
          <w:cols w:equalWidth="0" w:num="1">
            <w:col w:w="11000"/>
          </w:cols>
          <w:pgMar w:left="440" w:top="274" w:right="459" w:bottom="1440" w:gutter="0" w:footer="0" w:header="0"/>
        </w:sectPr>
      </w:pPr>
    </w:p>
    <w:bookmarkStart w:id="49" w:name="page50"/>
    <w:bookmarkEnd w:id="49"/>
    <w:p>
      <w:pPr>
        <w:ind w:left="420" w:right="20" w:firstLine="419"/>
        <w:spacing w:after="0" w:line="311" w:lineRule="auto"/>
        <w:tabs>
          <w:tab w:leader="none" w:pos="1058" w:val="left"/>
        </w:tabs>
        <w:numPr>
          <w:ilvl w:val="1"/>
          <w:numId w:val="56"/>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shall execute and the Trustee shall, in accordance with this Section 2.01(b), authenticate and deliver one or more Global Notes that (A) shall be registered in the name of the Depositary for such Global Note or the nominee of such Depositary and (B) shall be delivered by the Trustee to such Depositary or pursuant to such Depositary’s instructions or held by the Trustee as custodian for the Depositary.</w:t>
      </w:r>
    </w:p>
    <w:p>
      <w:pPr>
        <w:spacing w:after="0" w:line="40" w:lineRule="exact"/>
        <w:rPr>
          <w:rFonts w:ascii="Arial" w:cs="Arial" w:eastAsia="Arial" w:hAnsi="Arial"/>
          <w:sz w:val="16"/>
          <w:szCs w:val="16"/>
          <w:color w:val="auto"/>
        </w:rPr>
      </w:pPr>
    </w:p>
    <w:p>
      <w:pPr>
        <w:ind w:left="420" w:right="20" w:firstLine="419"/>
        <w:spacing w:after="0" w:line="254" w:lineRule="auto"/>
        <w:tabs>
          <w:tab w:leader="none" w:pos="1108" w:val="left"/>
        </w:tabs>
        <w:numPr>
          <w:ilvl w:val="1"/>
          <w:numId w:val="56"/>
        </w:numPr>
        <w:rPr>
          <w:rFonts w:ascii="Arial" w:cs="Arial" w:eastAsia="Arial" w:hAnsi="Arial"/>
          <w:sz w:val="18"/>
          <w:szCs w:val="18"/>
          <w:color w:val="auto"/>
        </w:rPr>
      </w:pPr>
      <w:r>
        <w:rPr>
          <w:rFonts w:ascii="Arial" w:cs="Arial" w:eastAsia="Arial" w:hAnsi="Arial"/>
          <w:sz w:val="18"/>
          <w:szCs w:val="18"/>
          <w:color w:val="auto"/>
        </w:rPr>
        <w:t>Members of, or participants in, the Depositary (“</w:t>
      </w:r>
      <w:r>
        <w:rPr>
          <w:rFonts w:ascii="Arial" w:cs="Arial" w:eastAsia="Arial" w:hAnsi="Arial"/>
          <w:sz w:val="18"/>
          <w:szCs w:val="18"/>
          <w:u w:val="single" w:color="auto"/>
          <w:color w:val="auto"/>
        </w:rPr>
        <w:t>Agent Members</w:t>
      </w:r>
      <w:r>
        <w:rPr>
          <w:rFonts w:ascii="Arial" w:cs="Arial" w:eastAsia="Arial" w:hAnsi="Arial"/>
          <w:sz w:val="18"/>
          <w:szCs w:val="18"/>
          <w:color w:val="auto"/>
        </w:rPr>
        <w:t>”) shall have no rights under this Third Supplemental Indenture with respect to any Global Note held on their behalf by the Depositary or by the Trustee as custodian for the Depositary or under such Global Note, and the Company, the Trustee and any agent of the Company or the Trustee shall be entitled to treat the Depositary as the absolute owner of such Global Note for all purposes whatsoever. Notwithstanding the foregoing, nothing herein shall prevent the Company, the Trustee or any agent of the Company or the Trustee from giving effect to any written certification, proxy or other authorization furnished by the Depositary or impair, as between the Depositary and its Agent Members, the operation of customary practices of such Depositary governing the exercise of the rights of a Holder of a beneficial interest in any Global Note.</w:t>
      </w:r>
    </w:p>
    <w:p>
      <w:pPr>
        <w:spacing w:after="0" w:line="86" w:lineRule="exact"/>
        <w:rPr>
          <w:rFonts w:ascii="Arial" w:cs="Arial" w:eastAsia="Arial" w:hAnsi="Arial"/>
          <w:sz w:val="18"/>
          <w:szCs w:val="18"/>
          <w:color w:val="auto"/>
        </w:rPr>
      </w:pPr>
    </w:p>
    <w:p>
      <w:pPr>
        <w:ind w:left="420" w:right="120" w:firstLine="419"/>
        <w:spacing w:after="0" w:line="273" w:lineRule="auto"/>
        <w:tabs>
          <w:tab w:leader="none" w:pos="1158" w:val="left"/>
        </w:tabs>
        <w:numPr>
          <w:ilvl w:val="1"/>
          <w:numId w:val="56"/>
        </w:numPr>
        <w:rPr>
          <w:rFonts w:ascii="Arial" w:cs="Arial" w:eastAsia="Arial" w:hAnsi="Arial"/>
          <w:sz w:val="17"/>
          <w:szCs w:val="17"/>
          <w:color w:val="auto"/>
        </w:rPr>
      </w:pPr>
      <w:r>
        <w:rPr>
          <w:rFonts w:ascii="Arial" w:cs="Arial" w:eastAsia="Arial" w:hAnsi="Arial"/>
          <w:sz w:val="17"/>
          <w:szCs w:val="17"/>
          <w:color w:val="auto"/>
        </w:rPr>
        <w:t>None of the Trustee, any agent of the Trustee, any Paying Agent or the Security Registrar shall have any obligation or duty to monitor, determine or inquire as to compliance with any restrictions on transfer imposed under this Third Supplemental Indenture or under applicable law with respect to any transfer of any interest in any Note (including any transfers between or among Agent Members or beneficial owners in any Global Note) other than to require delivery of such certificates and other documentation or evidence as are expressly required by, and to do so if and when expressly required by, the terms of this Third Supplemental Indenture, and to examine the same to determine substantial compliance as to form with the express requirements hereof.</w:t>
      </w:r>
    </w:p>
    <w:p>
      <w:pPr>
        <w:spacing w:after="0" w:line="177" w:lineRule="exact"/>
        <w:rPr>
          <w:rFonts w:ascii="Arial" w:cs="Arial" w:eastAsia="Arial" w:hAnsi="Arial"/>
          <w:sz w:val="17"/>
          <w:szCs w:val="17"/>
          <w:color w:val="auto"/>
        </w:rPr>
      </w:pPr>
    </w:p>
    <w:p>
      <w:pPr>
        <w:ind w:left="-20" w:firstLine="436"/>
        <w:spacing w:after="0" w:line="253" w:lineRule="auto"/>
        <w:tabs>
          <w:tab w:leader="none" w:pos="665" w:val="left"/>
        </w:tabs>
        <w:numPr>
          <w:ilvl w:val="0"/>
          <w:numId w:val="57"/>
        </w:numPr>
        <w:rPr>
          <w:rFonts w:ascii="Arial" w:cs="Arial" w:eastAsia="Arial" w:hAnsi="Arial"/>
          <w:sz w:val="18"/>
          <w:szCs w:val="18"/>
          <w:color w:val="auto"/>
        </w:rPr>
      </w:pPr>
      <w:r>
        <w:rPr>
          <w:rFonts w:ascii="Arial" w:cs="Arial" w:eastAsia="Arial" w:hAnsi="Arial"/>
          <w:sz w:val="18"/>
          <w:szCs w:val="18"/>
          <w:color w:val="auto"/>
        </w:rPr>
        <w:t>If at any time the Depositary notifies the Company that it is unwilling, unable or no longer qualified to continue as Depositary for the Global Notes, the Company shall use reasonable efforts to appoint a successor Depositary with respect to such Global Notes. If (i) a successor Depositary for such Global Notes is not appointed within 90 days after the Company receives such notice or becomes aware of such ineligibility, (ii) the Company, at its option, notifies the Trustee that it elects to cause the issuance of Notes in definitive form, or (iii) there shall have occurred and be continuing an Event of Default with respect to the Notes of such series and the Depositary notifies the Trustee of its decision to exchange the Global Notes of such series for Notes in definitive form of such series, the Company shall execute, and the Trustee, upon receipt of an Officer’s Certificate of the Company directing the authentication and delivery thereof, will authenticate and deliver to each holder of a beneficial interest in the Global Notes, Notes in definitive form in any authorized denominations in an aggregate principal amount equal to the principal amount of such Global Notes in exchange for such Global Notes.</w:t>
      </w:r>
    </w:p>
    <w:p>
      <w:pPr>
        <w:spacing w:after="0" w:line="196" w:lineRule="exact"/>
        <w:rPr>
          <w:rFonts w:ascii="Arial" w:cs="Arial" w:eastAsia="Arial" w:hAnsi="Arial"/>
          <w:sz w:val="18"/>
          <w:szCs w:val="18"/>
          <w:color w:val="auto"/>
        </w:rPr>
      </w:pPr>
    </w:p>
    <w:p>
      <w:pPr>
        <w:ind w:left="-20" w:right="260" w:firstLine="436"/>
        <w:spacing w:after="0" w:line="277" w:lineRule="auto"/>
        <w:tabs>
          <w:tab w:leader="none" w:pos="675" w:val="left"/>
        </w:tabs>
        <w:numPr>
          <w:ilvl w:val="0"/>
          <w:numId w:val="57"/>
        </w:numPr>
        <w:rPr>
          <w:rFonts w:ascii="Arial" w:cs="Arial" w:eastAsia="Arial" w:hAnsi="Arial"/>
          <w:sz w:val="18"/>
          <w:szCs w:val="18"/>
          <w:color w:val="auto"/>
        </w:rPr>
      </w:pPr>
      <w:r>
        <w:rPr>
          <w:rFonts w:ascii="Arial" w:cs="Arial" w:eastAsia="Arial" w:hAnsi="Arial"/>
          <w:sz w:val="18"/>
          <w:szCs w:val="18"/>
          <w:color w:val="auto"/>
        </w:rPr>
        <w:t>Except as provided in Section 2.01(c) and Section 2.02 hereof, owners of beneficial interests in Global Notes shall not be entitled to receive physical delivery of Notes in definitive form.</w:t>
      </w:r>
    </w:p>
    <w:p>
      <w:pPr>
        <w:spacing w:after="0" w:line="170" w:lineRule="exact"/>
        <w:rPr>
          <w:rFonts w:ascii="Arial" w:cs="Arial" w:eastAsia="Arial" w:hAnsi="Arial"/>
          <w:sz w:val="18"/>
          <w:szCs w:val="18"/>
          <w:color w:val="auto"/>
        </w:rPr>
      </w:pPr>
    </w:p>
    <w:p>
      <w:pPr>
        <w:ind w:left="-20" w:right="20" w:firstLine="436"/>
        <w:spacing w:after="0" w:line="259" w:lineRule="auto"/>
        <w:tabs>
          <w:tab w:leader="none" w:pos="665"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terms and provisions contained in the Notes shall constitute, and are expressly made, a part of this Third Supplemental Indenture and, to the extent applicable, the Company and the Trustee, by their execution and delivery of this Third Supplemental Indenture, expressly agree to such terms and provisions and agree to be bound thereby. If there is any conflict between the terms of the Notes and this Third Supplemental Indenture, the terms of this Third Supplemental Indenture shall govern.</w:t>
      </w:r>
    </w:p>
    <w:p>
      <w:pPr>
        <w:spacing w:after="0" w:line="186" w:lineRule="exact"/>
        <w:rPr>
          <w:rFonts w:ascii="Arial" w:cs="Arial" w:eastAsia="Arial" w:hAnsi="Arial"/>
          <w:sz w:val="18"/>
          <w:szCs w:val="18"/>
          <w:color w:val="auto"/>
        </w:rPr>
      </w:pPr>
    </w:p>
    <w:p>
      <w:pPr>
        <w:ind w:left="640" w:hanging="224"/>
        <w:spacing w:after="0"/>
        <w:tabs>
          <w:tab w:leader="none" w:pos="640" w:val="left"/>
        </w:tabs>
        <w:numPr>
          <w:ilvl w:val="0"/>
          <w:numId w:val="57"/>
        </w:numPr>
        <w:rPr>
          <w:rFonts w:ascii="Arial" w:cs="Arial" w:eastAsia="Arial" w:hAnsi="Arial"/>
          <w:sz w:val="18"/>
          <w:szCs w:val="18"/>
          <w:color w:val="auto"/>
        </w:rPr>
      </w:pPr>
      <w:r>
        <w:rPr>
          <w:rFonts w:ascii="Arial" w:cs="Arial" w:eastAsia="Arial" w:hAnsi="Arial"/>
          <w:sz w:val="18"/>
          <w:szCs w:val="18"/>
          <w:color w:val="auto"/>
        </w:rPr>
        <w:t>The Notes may be presented for registration of transfer and exchange at the offices of the Security Registrar.</w:t>
      </w:r>
    </w:p>
    <w:p>
      <w:pPr>
        <w:spacing w:after="0" w:line="22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2.02. </w:t>
      </w:r>
      <w:r>
        <w:rPr>
          <w:rFonts w:ascii="Arial" w:cs="Arial" w:eastAsia="Arial" w:hAnsi="Arial"/>
          <w:sz w:val="18"/>
          <w:szCs w:val="18"/>
          <w:i w:val="1"/>
          <w:iCs w:val="1"/>
          <w:color w:val="auto"/>
        </w:rPr>
        <w:t>Special Transfer Provisions.</w:t>
      </w:r>
    </w:p>
    <w:p>
      <w:pPr>
        <w:spacing w:after="0" w:line="225" w:lineRule="exact"/>
        <w:rPr>
          <w:sz w:val="20"/>
          <w:szCs w:val="20"/>
          <w:color w:val="auto"/>
        </w:rPr>
      </w:pPr>
    </w:p>
    <w:p>
      <w:pPr>
        <w:ind w:left="-20" w:right="100" w:firstLine="436"/>
        <w:spacing w:after="0" w:line="311" w:lineRule="auto"/>
        <w:tabs>
          <w:tab w:leader="none" w:pos="665" w:val="left"/>
        </w:tabs>
        <w:numPr>
          <w:ilvl w:val="0"/>
          <w:numId w:val="58"/>
        </w:numPr>
        <w:rPr>
          <w:rFonts w:ascii="Arial" w:cs="Arial" w:eastAsia="Arial" w:hAnsi="Arial"/>
          <w:sz w:val="16"/>
          <w:szCs w:val="16"/>
          <w:color w:val="auto"/>
        </w:rPr>
      </w:pPr>
      <w:r>
        <w:rPr>
          <w:rFonts w:ascii="Arial" w:cs="Arial" w:eastAsia="Arial" w:hAnsi="Arial"/>
          <w:sz w:val="16"/>
          <w:szCs w:val="16"/>
          <w:i w:val="1"/>
          <w:iCs w:val="1"/>
          <w:color w:val="auto"/>
        </w:rPr>
        <w:t>Restrictions on Transfer of a Note in Definitive Form for a Beneficial Interest in a Global Note</w:t>
      </w:r>
      <w:r>
        <w:rPr>
          <w:rFonts w:ascii="Arial" w:cs="Arial" w:eastAsia="Arial" w:hAnsi="Arial"/>
          <w:sz w:val="16"/>
          <w:szCs w:val="16"/>
          <w:color w:val="auto"/>
        </w:rPr>
        <w:t>. A definitive Note may not be exchanged for a</w:t>
      </w:r>
      <w:r>
        <w:rPr>
          <w:rFonts w:ascii="Arial" w:cs="Arial" w:eastAsia="Arial" w:hAnsi="Arial"/>
          <w:sz w:val="16"/>
          <w:szCs w:val="16"/>
          <w:i w:val="1"/>
          <w:iCs w:val="1"/>
          <w:color w:val="auto"/>
        </w:rPr>
        <w:t xml:space="preserve"> </w:t>
      </w:r>
      <w:r>
        <w:rPr>
          <w:rFonts w:ascii="Arial" w:cs="Arial" w:eastAsia="Arial" w:hAnsi="Arial"/>
          <w:sz w:val="16"/>
          <w:szCs w:val="16"/>
          <w:color w:val="auto"/>
        </w:rPr>
        <w:t>beneficial interest in a Global Note except upon satisfaction of the requirements set forth below. Upon receipt by the Trustee of a definitive Note, duly endorsed or accompanied by a written instrument of transfer in form reasonably satisfactory to the Company and the Security Registrar, together with:</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7</w:t>
      </w:r>
    </w:p>
    <w:p>
      <w:pPr>
        <w:sectPr>
          <w:pgSz w:w="11900" w:h="16838" w:orient="portrait"/>
          <w:cols w:equalWidth="0" w:num="1">
            <w:col w:w="10980"/>
          </w:cols>
          <w:pgMar w:left="460" w:top="274" w:right="459" w:bottom="1440" w:gutter="0" w:footer="0" w:header="0"/>
        </w:sectPr>
      </w:pPr>
    </w:p>
    <w:bookmarkStart w:id="50" w:name="page51"/>
    <w:bookmarkEnd w:id="50"/>
    <w:p>
      <w:pPr>
        <w:ind w:left="400" w:right="20" w:firstLine="419"/>
        <w:spacing w:after="0" w:line="270" w:lineRule="auto"/>
        <w:tabs>
          <w:tab w:leader="none" w:pos="1038" w:val="left"/>
        </w:tabs>
        <w:numPr>
          <w:ilvl w:val="1"/>
          <w:numId w:val="59"/>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written instructions directing the Trustee to make, or to direct the Custodian to make, an adjustment on its books and records with respect to such Global Note to reflect an increase in the aggregate principal amount of the Notes represented by the Global Note, such instructions to contain information regarding the Depositary account to be credited with such increase, then the Trustee shall cancel such definitive Note and cause, in accordance with the standing instructions and procedures existing between the Depositary and the Trustee, the aggregate principal amount of Notes represented by the Global Note to be increased by the aggregate principal amount of the definitive Note to be exchanged and shall credit or cause to be credited to the account of the Person specified in such instructions a beneficial interest in the Global Note equal to the principal amount of the definitive Note so canceled. If no Global Notes are then outstanding and the Global Note has not been previously exchanged for definitive Notes pursuant to Section 2.02 hereof, the Company shall issue and the Trustee shall authenticate, upon receipt of a Company Order, a new Global Note in the appropriate principal amount.</w:t>
      </w:r>
    </w:p>
    <w:p>
      <w:pPr>
        <w:spacing w:after="0" w:line="180" w:lineRule="exact"/>
        <w:rPr>
          <w:rFonts w:ascii="Arial" w:cs="Arial" w:eastAsia="Arial" w:hAnsi="Arial"/>
          <w:sz w:val="17"/>
          <w:szCs w:val="17"/>
          <w:color w:val="auto"/>
        </w:rPr>
      </w:pPr>
    </w:p>
    <w:p>
      <w:pPr>
        <w:ind w:left="660" w:hanging="264"/>
        <w:spacing w:after="0"/>
        <w:tabs>
          <w:tab w:leader="none" w:pos="660" w:val="left"/>
        </w:tabs>
        <w:numPr>
          <w:ilvl w:val="0"/>
          <w:numId w:val="60"/>
        </w:numPr>
        <w:rPr>
          <w:rFonts w:ascii="Arial" w:cs="Arial" w:eastAsia="Arial" w:hAnsi="Arial"/>
          <w:sz w:val="18"/>
          <w:szCs w:val="18"/>
          <w:color w:val="auto"/>
        </w:rPr>
      </w:pPr>
      <w:r>
        <w:rPr>
          <w:rFonts w:ascii="Arial" w:cs="Arial" w:eastAsia="Arial" w:hAnsi="Arial"/>
          <w:sz w:val="18"/>
          <w:szCs w:val="18"/>
          <w:i w:val="1"/>
          <w:iCs w:val="1"/>
          <w:color w:val="auto"/>
        </w:rPr>
        <w:t>Transfer and Exchange of Global Notes.</w:t>
      </w:r>
    </w:p>
    <w:p>
      <w:pPr>
        <w:spacing w:after="0" w:line="117" w:lineRule="exact"/>
        <w:rPr>
          <w:rFonts w:ascii="Arial" w:cs="Arial" w:eastAsia="Arial" w:hAnsi="Arial"/>
          <w:sz w:val="18"/>
          <w:szCs w:val="18"/>
          <w:color w:val="auto"/>
        </w:rPr>
      </w:pPr>
    </w:p>
    <w:p>
      <w:pPr>
        <w:ind w:left="400" w:firstLine="419"/>
        <w:spacing w:after="0" w:line="293" w:lineRule="auto"/>
        <w:tabs>
          <w:tab w:leader="none" w:pos="1038" w:val="left"/>
        </w:tabs>
        <w:numPr>
          <w:ilvl w:val="1"/>
          <w:numId w:val="60"/>
        </w:numPr>
        <w:rPr>
          <w:rFonts w:ascii="Arial" w:cs="Arial" w:eastAsia="Arial" w:hAnsi="Arial"/>
          <w:sz w:val="16"/>
          <w:szCs w:val="16"/>
          <w:color w:val="auto"/>
        </w:rPr>
      </w:pPr>
      <w:r>
        <w:rPr>
          <w:rFonts w:ascii="Arial" w:cs="Arial" w:eastAsia="Arial" w:hAnsi="Arial"/>
          <w:sz w:val="16"/>
          <w:szCs w:val="16"/>
          <w:color w:val="auto"/>
        </w:rPr>
        <w:t>The transfer and exchange of Global Notes or beneficial interests therein shall be effected through the Depositary, in accordance with this Third Supplemental Indenture (including applicable restrictions on transfer set forth herein, if any) and the procedures of the Depositary therefor. A transferor of a beneficial interest in a Global Note shall deliver a written order given in accordance with the Depositary’s procedures containing information regarding the participant account of the Depositary to be credited with a beneficial interest in such Global Note or another Global Note and such account shall be credited in accordance with such order with a beneficial interest in the applicable Global Note and the account of the Person making the transfer shall be debited by an amount equal to the beneficial interest in the Global Note being transferred.</w:t>
      </w:r>
    </w:p>
    <w:p>
      <w:pPr>
        <w:spacing w:after="0" w:line="56" w:lineRule="exact"/>
        <w:rPr>
          <w:sz w:val="20"/>
          <w:szCs w:val="20"/>
          <w:color w:val="auto"/>
        </w:rPr>
      </w:pPr>
    </w:p>
    <w:p>
      <w:pPr>
        <w:ind w:left="400" w:right="40" w:firstLine="419"/>
        <w:spacing w:after="0" w:line="301" w:lineRule="auto"/>
        <w:tabs>
          <w:tab w:leader="none" w:pos="1088" w:val="left"/>
        </w:tabs>
        <w:numPr>
          <w:ilvl w:val="1"/>
          <w:numId w:val="61"/>
        </w:numPr>
        <w:rPr>
          <w:rFonts w:ascii="Arial" w:cs="Arial" w:eastAsia="Arial" w:hAnsi="Arial"/>
          <w:sz w:val="16"/>
          <w:szCs w:val="16"/>
          <w:color w:val="auto"/>
        </w:rPr>
      </w:pPr>
      <w:r>
        <w:rPr>
          <w:rFonts w:ascii="Arial" w:cs="Arial" w:eastAsia="Arial" w:hAnsi="Arial"/>
          <w:sz w:val="16"/>
          <w:szCs w:val="16"/>
          <w:color w:val="auto"/>
        </w:rPr>
        <w:t>If the proposed transfer is a transfer of a beneficial interest in one Global Note to a beneficial interest in another Global Note, the Security Registrar shall reflect on its books and records the date and an increase in the principal amount of the Global Note to which such interest is being transferred in an amount equal to the principal amount of the interest to be so transferred, and the Security Registrar shall reflect on its books and records the date and a corresponding decrease in the principal amount of the Global Note from which such interest is being transferred.</w:t>
      </w:r>
    </w:p>
    <w:p>
      <w:pPr>
        <w:spacing w:after="0" w:line="49" w:lineRule="exact"/>
        <w:rPr>
          <w:rFonts w:ascii="Arial" w:cs="Arial" w:eastAsia="Arial" w:hAnsi="Arial"/>
          <w:sz w:val="16"/>
          <w:szCs w:val="16"/>
          <w:color w:val="auto"/>
        </w:rPr>
      </w:pPr>
    </w:p>
    <w:p>
      <w:pPr>
        <w:jc w:val="both"/>
        <w:ind w:left="400" w:right="20" w:firstLine="419"/>
        <w:spacing w:after="0" w:line="286" w:lineRule="auto"/>
        <w:tabs>
          <w:tab w:leader="none" w:pos="1138" w:val="left"/>
        </w:tabs>
        <w:numPr>
          <w:ilvl w:val="1"/>
          <w:numId w:val="61"/>
        </w:numPr>
        <w:rPr>
          <w:rFonts w:ascii="Arial" w:cs="Arial" w:eastAsia="Arial" w:hAnsi="Arial"/>
          <w:sz w:val="17"/>
          <w:szCs w:val="17"/>
          <w:color w:val="auto"/>
        </w:rPr>
      </w:pPr>
      <w:r>
        <w:rPr>
          <w:rFonts w:ascii="Arial" w:cs="Arial" w:eastAsia="Arial" w:hAnsi="Arial"/>
          <w:sz w:val="17"/>
          <w:szCs w:val="17"/>
          <w:color w:val="auto"/>
        </w:rPr>
        <w:t>Notwithstanding any other provisions of this Third Supplemental Indenture, a Global Note may not be transferred as a whole except by the Depositary to a nominee of the Depositary or by a nominee of the Depositary to the Depositary or another nominee of the Depositary or by the Depositary or any such nominee to a successor Depositary or a nominee of such successor Depositary.</w:t>
      </w:r>
    </w:p>
    <w:p>
      <w:pPr>
        <w:spacing w:after="0" w:line="165" w:lineRule="exact"/>
        <w:rPr>
          <w:rFonts w:ascii="Arial" w:cs="Arial" w:eastAsia="Arial" w:hAnsi="Arial"/>
          <w:sz w:val="17"/>
          <w:szCs w:val="17"/>
          <w:color w:val="auto"/>
        </w:rPr>
      </w:pPr>
    </w:p>
    <w:p>
      <w:pPr>
        <w:ind w:left="-40" w:right="140" w:firstLine="436"/>
        <w:spacing w:after="0" w:line="263" w:lineRule="auto"/>
        <w:tabs>
          <w:tab w:leader="none" w:pos="645" w:val="left"/>
        </w:tabs>
        <w:numPr>
          <w:ilvl w:val="0"/>
          <w:numId w:val="62"/>
        </w:numPr>
        <w:rPr>
          <w:rFonts w:ascii="Arial" w:cs="Arial" w:eastAsia="Arial" w:hAnsi="Arial"/>
          <w:sz w:val="18"/>
          <w:szCs w:val="18"/>
          <w:color w:val="auto"/>
        </w:rPr>
      </w:pPr>
      <w:r>
        <w:rPr>
          <w:rFonts w:ascii="Arial" w:cs="Arial" w:eastAsia="Arial" w:hAnsi="Arial"/>
          <w:sz w:val="18"/>
          <w:szCs w:val="18"/>
          <w:color w:val="auto"/>
        </w:rPr>
        <w:t>Any Holder of a Global Note shall, by acceptance of such Global Note, acknowledge the restrictions on transfer of such Note set forth in this Third Supplemental Indenture and in the Global Note Legend and agrees that it shall transfer such Note only as provided in this Third Supplemental Indenture.</w:t>
      </w:r>
    </w:p>
    <w:p>
      <w:pPr>
        <w:spacing w:after="0" w:line="396"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THE INITIAL NOTES</w:t>
      </w:r>
    </w:p>
    <w:p>
      <w:pPr>
        <w:spacing w:after="0" w:line="211" w:lineRule="exact"/>
        <w:rPr>
          <w:sz w:val="20"/>
          <w:szCs w:val="20"/>
          <w:color w:val="auto"/>
        </w:rPr>
      </w:pPr>
    </w:p>
    <w:p>
      <w:pPr>
        <w:ind w:left="400"/>
        <w:spacing w:after="0"/>
        <w:rPr>
          <w:sz w:val="20"/>
          <w:szCs w:val="20"/>
          <w:color w:val="auto"/>
        </w:rPr>
      </w:pPr>
      <w:r>
        <w:rPr>
          <w:rFonts w:ascii="Arial" w:cs="Arial" w:eastAsia="Arial" w:hAnsi="Arial"/>
          <w:sz w:val="18"/>
          <w:szCs w:val="18"/>
          <w:color w:val="auto"/>
        </w:rPr>
        <w:t xml:space="preserve">Section 3.01. </w:t>
      </w:r>
      <w:r>
        <w:rPr>
          <w:rFonts w:ascii="Arial" w:cs="Arial" w:eastAsia="Arial" w:hAnsi="Arial"/>
          <w:sz w:val="18"/>
          <w:szCs w:val="18"/>
          <w:i w:val="1"/>
          <w:iCs w:val="1"/>
          <w:color w:val="auto"/>
        </w:rPr>
        <w:t>Amount; Series; Terms.</w:t>
      </w:r>
    </w:p>
    <w:p>
      <w:pPr>
        <w:spacing w:after="0" w:line="225" w:lineRule="exact"/>
        <w:rPr>
          <w:sz w:val="20"/>
          <w:szCs w:val="20"/>
          <w:color w:val="auto"/>
        </w:rPr>
      </w:pPr>
    </w:p>
    <w:p>
      <w:pPr>
        <w:ind w:left="-40" w:right="80" w:firstLine="436"/>
        <w:spacing w:after="0" w:line="257" w:lineRule="auto"/>
        <w:tabs>
          <w:tab w:leader="none" w:pos="645" w:val="left"/>
        </w:tabs>
        <w:numPr>
          <w:ilvl w:val="0"/>
          <w:numId w:val="63"/>
        </w:numPr>
        <w:rPr>
          <w:rFonts w:ascii="Arial" w:cs="Arial" w:eastAsia="Arial" w:hAnsi="Arial"/>
          <w:sz w:val="18"/>
          <w:szCs w:val="18"/>
          <w:color w:val="auto"/>
        </w:rPr>
      </w:pPr>
      <w:r>
        <w:rPr>
          <w:rFonts w:ascii="Arial" w:cs="Arial" w:eastAsia="Arial" w:hAnsi="Arial"/>
          <w:sz w:val="18"/>
          <w:szCs w:val="18"/>
          <w:color w:val="auto"/>
        </w:rPr>
        <w:t>There is hereby created and designated two separate series of Initial Notes under the Base Indenture: (1) the “5.750% Senior Notes due 2029” and (2) the “5.950% Senior Notes due 2033.” The changes, modifications and supplements to the Base Indenture effected by this Third Supplemental Indenture shall be applicable only with respect to, and govern the terms of, each series of Notes, as applicable, and shall not apply to any other series of Notes that may be issued under the Base Indenture unless a supplemental indenture with respect to such other series of Notes specifically incorporates such changes, modifications and supplements.</w:t>
      </w:r>
    </w:p>
    <w:p>
      <w:pPr>
        <w:spacing w:after="0" w:line="12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8</w:t>
      </w:r>
    </w:p>
    <w:p>
      <w:pPr>
        <w:sectPr>
          <w:pgSz w:w="11900" w:h="16838" w:orient="portrait"/>
          <w:cols w:equalWidth="0" w:num="1">
            <w:col w:w="10940"/>
          </w:cols>
          <w:pgMar w:left="480" w:top="274" w:right="479" w:bottom="1440" w:gutter="0" w:footer="0" w:header="0"/>
        </w:sectPr>
      </w:pPr>
    </w:p>
    <w:bookmarkStart w:id="51" w:name="page52"/>
    <w:bookmarkEnd w:id="51"/>
    <w:p>
      <w:pPr>
        <w:ind w:right="140" w:firstLine="436"/>
        <w:spacing w:after="0" w:line="257" w:lineRule="auto"/>
        <w:tabs>
          <w:tab w:leader="none" w:pos="695" w:val="left"/>
        </w:tabs>
        <w:numPr>
          <w:ilvl w:val="0"/>
          <w:numId w:val="6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aggregate principal amount of 2029 Notes that initially may be authenticated and delivered under this Third Supplemental Indenture (the “</w:t>
      </w:r>
      <w:r>
        <w:rPr>
          <w:rFonts w:ascii="Arial" w:cs="Arial" w:eastAsia="Arial" w:hAnsi="Arial"/>
          <w:sz w:val="18"/>
          <w:szCs w:val="18"/>
          <w:u w:val="single" w:color="auto"/>
          <w:color w:val="auto"/>
        </w:rPr>
        <w:t>Initial 2029 Notes</w:t>
      </w:r>
      <w:r>
        <w:rPr>
          <w:rFonts w:ascii="Arial" w:cs="Arial" w:eastAsia="Arial" w:hAnsi="Arial"/>
          <w:sz w:val="18"/>
          <w:szCs w:val="18"/>
          <w:color w:val="auto"/>
        </w:rPr>
        <w:t>”) shall be limited to $500,000,000, subject to increase as set forth in Section 3.03 of this Third Supplemental Indenture. The aggregate principal amount of 2033 Notes that initially may be authenticated and delivered under this Third Supplemental Indenture (the “</w:t>
      </w:r>
      <w:r>
        <w:rPr>
          <w:rFonts w:ascii="Arial" w:cs="Arial" w:eastAsia="Arial" w:hAnsi="Arial"/>
          <w:sz w:val="18"/>
          <w:szCs w:val="18"/>
          <w:u w:val="single" w:color="auto"/>
          <w:color w:val="auto"/>
        </w:rPr>
        <w:t>Initial 2033</w:t>
      </w:r>
      <w:r>
        <w:rPr>
          <w:rFonts w:ascii="Arial" w:cs="Arial" w:eastAsia="Arial" w:hAnsi="Arial"/>
          <w:sz w:val="18"/>
          <w:szCs w:val="18"/>
          <w:color w:val="auto"/>
        </w:rPr>
        <w:t xml:space="preserve"> </w:t>
      </w:r>
      <w:r>
        <w:rPr>
          <w:rFonts w:ascii="Arial" w:cs="Arial" w:eastAsia="Arial" w:hAnsi="Arial"/>
          <w:sz w:val="18"/>
          <w:szCs w:val="18"/>
          <w:u w:val="single" w:color="auto"/>
          <w:color w:val="auto"/>
        </w:rPr>
        <w:t>Notes</w:t>
      </w:r>
      <w:r>
        <w:rPr>
          <w:rFonts w:ascii="Arial" w:cs="Arial" w:eastAsia="Arial" w:hAnsi="Arial"/>
          <w:sz w:val="18"/>
          <w:szCs w:val="18"/>
          <w:color w:val="auto"/>
        </w:rPr>
        <w:t>” and, together with the Initial 2029 Notes, the “</w:t>
      </w:r>
      <w:r>
        <w:rPr>
          <w:rFonts w:ascii="Arial" w:cs="Arial" w:eastAsia="Arial" w:hAnsi="Arial"/>
          <w:sz w:val="18"/>
          <w:szCs w:val="18"/>
          <w:u w:val="single" w:color="auto"/>
          <w:color w:val="auto"/>
        </w:rPr>
        <w:t>Initial Notes</w:t>
      </w:r>
      <w:r>
        <w:rPr>
          <w:rFonts w:ascii="Arial" w:cs="Arial" w:eastAsia="Arial" w:hAnsi="Arial"/>
          <w:sz w:val="18"/>
          <w:szCs w:val="18"/>
          <w:color w:val="auto"/>
        </w:rPr>
        <w:t>”) shall be limited to $500,000,000, subject to increase as set forth in Section 3.03 of this Third Supplemental Indenture.</w:t>
      </w:r>
    </w:p>
    <w:p>
      <w:pPr>
        <w:spacing w:after="0" w:line="187" w:lineRule="exact"/>
        <w:rPr>
          <w:rFonts w:ascii="Arial" w:cs="Arial" w:eastAsia="Arial" w:hAnsi="Arial"/>
          <w:sz w:val="18"/>
          <w:szCs w:val="18"/>
          <w:color w:val="auto"/>
        </w:rPr>
      </w:pPr>
    </w:p>
    <w:p>
      <w:pPr>
        <w:ind w:right="160" w:firstLine="436"/>
        <w:spacing w:after="0" w:line="259" w:lineRule="auto"/>
        <w:tabs>
          <w:tab w:leader="none" w:pos="685" w:val="left"/>
        </w:tabs>
        <w:numPr>
          <w:ilvl w:val="0"/>
          <w:numId w:val="64"/>
        </w:numPr>
        <w:rPr>
          <w:rFonts w:ascii="Arial" w:cs="Arial" w:eastAsia="Arial" w:hAnsi="Arial"/>
          <w:sz w:val="18"/>
          <w:szCs w:val="18"/>
          <w:color w:val="auto"/>
        </w:rPr>
      </w:pPr>
      <w:r>
        <w:rPr>
          <w:rFonts w:ascii="Arial" w:cs="Arial" w:eastAsia="Arial" w:hAnsi="Arial"/>
          <w:sz w:val="18"/>
          <w:szCs w:val="18"/>
          <w:color w:val="auto"/>
        </w:rPr>
        <w:t>The Stated Maturity of the 2029 Notes shall be February 15, 2029. The Stated Maturity of the 2033 Notes shall be September 15, 2033. The Notes shall be payable and may be presented for payment, purchase, redemption, registration of transfer and exchange, without service charge (subject to Section 305 of the Base Indenture), at the office or agency of the Company maintained for such purpose, which shall initially be the Corporate Trust Office.</w:t>
      </w:r>
    </w:p>
    <w:p>
      <w:pPr>
        <w:spacing w:after="0" w:line="186" w:lineRule="exact"/>
        <w:rPr>
          <w:rFonts w:ascii="Arial" w:cs="Arial" w:eastAsia="Arial" w:hAnsi="Arial"/>
          <w:sz w:val="18"/>
          <w:szCs w:val="18"/>
          <w:color w:val="auto"/>
        </w:rPr>
      </w:pPr>
    </w:p>
    <w:p>
      <w:pPr>
        <w:ind w:right="20" w:firstLine="436"/>
        <w:spacing w:after="0" w:line="269" w:lineRule="auto"/>
        <w:tabs>
          <w:tab w:leader="none" w:pos="695"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 2029 Notes shall bear interest at the rate of 5.750% per annum and shall accrue interest from September 18, 2023. Interest for the 2029 Notes shall be computed on the basis of a 360-day year consisting of twelve 30-day months. The Interest Payment Dates for the 2029 Notes shall be February 15 and August 15 of each year, beginning on February 15, 2024, and the “</w:t>
      </w:r>
      <w:r>
        <w:rPr>
          <w:rFonts w:ascii="Arial" w:cs="Arial" w:eastAsia="Arial" w:hAnsi="Arial"/>
          <w:sz w:val="17"/>
          <w:szCs w:val="17"/>
          <w:u w:val="single" w:color="auto"/>
          <w:color w:val="auto"/>
        </w:rPr>
        <w:t>Record Date</w:t>
      </w:r>
      <w:r>
        <w:rPr>
          <w:rFonts w:ascii="Arial" w:cs="Arial" w:eastAsia="Arial" w:hAnsi="Arial"/>
          <w:sz w:val="17"/>
          <w:szCs w:val="17"/>
          <w:color w:val="auto"/>
        </w:rPr>
        <w:t xml:space="preserve">” for any interest payable on each such 2029 Interest Payment Date shall be the immediately preceding February 1 and August 1, respectively;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upon the Stated Maturity of the 2029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7"/>
          <w:szCs w:val="17"/>
          <w:i w:val="1"/>
          <w:iCs w:val="1"/>
          <w:color w:val="auto"/>
        </w:rPr>
        <w:t>provided further</w:t>
      </w:r>
      <w:r>
        <w:rPr>
          <w:rFonts w:ascii="Arial" w:cs="Arial" w:eastAsia="Arial" w:hAnsi="Arial"/>
          <w:sz w:val="17"/>
          <w:szCs w:val="17"/>
          <w:color w:val="auto"/>
        </w:rPr>
        <w:t>, that the “Record Date” for any interest, principal, or premium, if any, payable on the Stated Maturity of a series of Notes shall be the immediately preceding February 1. If any Interest Payment Date, Stated Maturity or other payment date with respect to the 2029 Notes is not a Business Day, the required payment of principal, premium, if any, or interest, or the redemption of such 2029 Notes, shall be due on the next succeeding Business Day at such place of payment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181" w:lineRule="exact"/>
        <w:rPr>
          <w:rFonts w:ascii="Arial" w:cs="Arial" w:eastAsia="Arial" w:hAnsi="Arial"/>
          <w:sz w:val="17"/>
          <w:szCs w:val="17"/>
          <w:color w:val="auto"/>
        </w:rPr>
      </w:pPr>
    </w:p>
    <w:p>
      <w:pPr>
        <w:ind w:firstLine="436"/>
        <w:spacing w:after="0" w:line="269" w:lineRule="auto"/>
        <w:tabs>
          <w:tab w:leader="none" w:pos="685" w:val="left"/>
        </w:tabs>
        <w:numPr>
          <w:ilvl w:val="0"/>
          <w:numId w:val="64"/>
        </w:numPr>
        <w:rPr>
          <w:rFonts w:ascii="Arial" w:cs="Arial" w:eastAsia="Arial" w:hAnsi="Arial"/>
          <w:sz w:val="17"/>
          <w:szCs w:val="17"/>
          <w:color w:val="auto"/>
        </w:rPr>
      </w:pPr>
      <w:r>
        <w:rPr>
          <w:rFonts w:ascii="Arial" w:cs="Arial" w:eastAsia="Arial" w:hAnsi="Arial"/>
          <w:sz w:val="17"/>
          <w:szCs w:val="17"/>
          <w:color w:val="auto"/>
        </w:rPr>
        <w:t>The 2033 Notes shall bear interest at the rate of 5.950% per annum and shall accrue interest from September 18, 2023. Interest for each series of Notes shall be computed on the basis of a 360-day year consisting of twelve 30-day months. The Interest Payment Dates for the 2033 Notes shall be March 15 and September 15 of each year, beginning on March 15, 2024, and the “</w:t>
      </w:r>
      <w:r>
        <w:rPr>
          <w:rFonts w:ascii="Arial" w:cs="Arial" w:eastAsia="Arial" w:hAnsi="Arial"/>
          <w:sz w:val="17"/>
          <w:szCs w:val="17"/>
          <w:u w:val="single" w:color="auto"/>
          <w:color w:val="auto"/>
        </w:rPr>
        <w:t>Record Date</w:t>
      </w:r>
      <w:r>
        <w:rPr>
          <w:rFonts w:ascii="Arial" w:cs="Arial" w:eastAsia="Arial" w:hAnsi="Arial"/>
          <w:sz w:val="17"/>
          <w:szCs w:val="17"/>
          <w:color w:val="auto"/>
        </w:rPr>
        <w:t xml:space="preserve">” for any interest payable on each such Interest Payment Dates shall be the immediately preceding March 1 and September 1, respectively;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upon the Stated Maturity of of the 2033 Notes, interest shall be payable on such Stated Maturity from the most recent date to which interest has been paid or duly provided, and shall include the required payment of principal or premium, if any; and </w:t>
      </w:r>
      <w:r>
        <w:rPr>
          <w:rFonts w:ascii="Arial" w:cs="Arial" w:eastAsia="Arial" w:hAnsi="Arial"/>
          <w:sz w:val="17"/>
          <w:szCs w:val="17"/>
          <w:i w:val="1"/>
          <w:iCs w:val="1"/>
          <w:color w:val="auto"/>
        </w:rPr>
        <w:t>provided further</w:t>
      </w:r>
      <w:r>
        <w:rPr>
          <w:rFonts w:ascii="Arial" w:cs="Arial" w:eastAsia="Arial" w:hAnsi="Arial"/>
          <w:sz w:val="17"/>
          <w:szCs w:val="17"/>
          <w:color w:val="auto"/>
        </w:rPr>
        <w:t>, that the “Record Date” for any interest, principal, or premium, if any, payable on the Stated Maturity of the 2033 Notes shall be the immediately preceding September 1. If any Interest Payment Date, Stated Maturity or other payment date with respect to a series of Notes is not a Business Day, the required payment of principal, premium, if any, or interest, or the redemption of such series of Notes, shall be due on the next succeeding Business Day at such place of payment as if made on the date that such payment was due, and no interest shall accrue on that payment for the period from and after that Interest Payment Date, Stated Maturity or other payment date, as the case may be, to the date of that payment on the next succeeding Business Day.</w:t>
      </w:r>
    </w:p>
    <w:p>
      <w:pPr>
        <w:spacing w:after="0" w:line="181" w:lineRule="exact"/>
        <w:rPr>
          <w:rFonts w:ascii="Arial" w:cs="Arial" w:eastAsia="Arial" w:hAnsi="Arial"/>
          <w:sz w:val="17"/>
          <w:szCs w:val="17"/>
          <w:color w:val="auto"/>
        </w:rPr>
      </w:pPr>
    </w:p>
    <w:p>
      <w:pPr>
        <w:ind w:right="20" w:firstLine="436"/>
        <w:spacing w:after="0" w:line="263" w:lineRule="auto"/>
        <w:tabs>
          <w:tab w:leader="none" w:pos="665" w:val="left"/>
        </w:tabs>
        <w:numPr>
          <w:ilvl w:val="0"/>
          <w:numId w:val="64"/>
        </w:numPr>
        <w:rPr>
          <w:rFonts w:ascii="Arial" w:cs="Arial" w:eastAsia="Arial" w:hAnsi="Arial"/>
          <w:sz w:val="18"/>
          <w:szCs w:val="18"/>
          <w:color w:val="auto"/>
        </w:rPr>
      </w:pPr>
      <w:r>
        <w:rPr>
          <w:rFonts w:ascii="Arial" w:cs="Arial" w:eastAsia="Arial" w:hAnsi="Arial"/>
          <w:sz w:val="18"/>
          <w:szCs w:val="18"/>
          <w:color w:val="auto"/>
        </w:rPr>
        <w:t>Each of the 2029 Notes and the 2033 Notes shall be issued in the form of one or more Global Notes, deposited with the Trustee as custodian for the Depositary or its nominee, duly executed by the Company and authenticated by the Trustee as provided in Section 3.03 of this Third Supplemental Indenture and Section 303 of the Base Indenture.</w:t>
      </w:r>
    </w:p>
    <w:p>
      <w:pPr>
        <w:spacing w:after="0" w:line="183" w:lineRule="exact"/>
        <w:rPr>
          <w:rFonts w:ascii="Arial" w:cs="Arial" w:eastAsia="Arial" w:hAnsi="Arial"/>
          <w:sz w:val="18"/>
          <w:szCs w:val="18"/>
          <w:color w:val="auto"/>
        </w:rPr>
      </w:pPr>
    </w:p>
    <w:p>
      <w:pPr>
        <w:ind w:right="100" w:firstLine="436"/>
        <w:spacing w:after="0" w:line="273" w:lineRule="auto"/>
        <w:tabs>
          <w:tab w:leader="none" w:pos="695" w:val="left"/>
        </w:tabs>
        <w:numPr>
          <w:ilvl w:val="0"/>
          <w:numId w:val="64"/>
        </w:numPr>
        <w:rPr>
          <w:rFonts w:ascii="Arial" w:cs="Arial" w:eastAsia="Arial" w:hAnsi="Arial"/>
          <w:sz w:val="17"/>
          <w:szCs w:val="17"/>
          <w:color w:val="auto"/>
        </w:rPr>
      </w:pPr>
      <w:r>
        <w:rPr>
          <w:rFonts w:ascii="Arial" w:cs="Arial" w:eastAsia="Arial" w:hAnsi="Arial"/>
          <w:sz w:val="17"/>
          <w:szCs w:val="17"/>
          <w:color w:val="auto"/>
        </w:rPr>
        <w:t>Payment of principal, premium, if any, and interest on a Global Note registered in the name of or held by the Depositary or its nominee shall be made in immediately available funds to the Depositary or its nominee, as the case may be, as the registered Holder of such Global Note. If any series of Notes are no longer represented by a Global Note, payment of principal, premium, if any, and interest on Notes in definitive form may, at the Company’s option, be made (i) by check mailed directly to Holders of such series of Notes at their registered addresses or (ii) upon written request of any Holder of at least $5,000,000 principal amount of such series of Notes, wire transfer to an account located in the United States of America maintained by the payee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such request contains the requisite information to make such wire transfer).</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9</w:t>
      </w:r>
    </w:p>
    <w:p>
      <w:pPr>
        <w:sectPr>
          <w:pgSz w:w="11900" w:h="16838" w:orient="portrait"/>
          <w:cols w:equalWidth="0" w:num="1">
            <w:col w:w="11020"/>
          </w:cols>
          <w:pgMar w:left="440" w:top="274" w:right="439" w:bottom="1440" w:gutter="0" w:footer="0" w:header="0"/>
        </w:sectPr>
      </w:pPr>
    </w:p>
    <w:bookmarkStart w:id="52" w:name="page53"/>
    <w:bookmarkEnd w:id="52"/>
    <w:p>
      <w:pPr>
        <w:ind w:right="18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3.02. </w:t>
      </w:r>
      <w:r>
        <w:rPr>
          <w:rFonts w:ascii="Arial" w:cs="Arial" w:eastAsia="Arial" w:hAnsi="Arial"/>
          <w:sz w:val="18"/>
          <w:szCs w:val="18"/>
          <w:i w:val="1"/>
          <w:iCs w:val="1"/>
          <w:color w:val="auto"/>
        </w:rPr>
        <w:t>Denominations.</w:t>
      </w:r>
      <w:r>
        <w:rPr>
          <w:rFonts w:ascii="Arial" w:cs="Arial" w:eastAsia="Arial" w:hAnsi="Arial"/>
          <w:sz w:val="18"/>
          <w:szCs w:val="18"/>
          <w:color w:val="auto"/>
        </w:rPr>
        <w:t xml:space="preserve"> The Notes shall be issuable only in registered form without coupons and only in denominations of $2,000 and any multiple of $1,000 in excess thereof.</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3.03. </w:t>
      </w:r>
      <w:r>
        <w:rPr>
          <w:rFonts w:ascii="Arial" w:cs="Arial" w:eastAsia="Arial" w:hAnsi="Arial"/>
          <w:sz w:val="18"/>
          <w:szCs w:val="18"/>
          <w:i w:val="1"/>
          <w:iCs w:val="1"/>
          <w:color w:val="auto"/>
        </w:rPr>
        <w:t>Additional Notes; Repurchases.</w:t>
      </w:r>
    </w:p>
    <w:p>
      <w:pPr>
        <w:spacing w:after="0" w:line="225" w:lineRule="exact"/>
        <w:rPr>
          <w:sz w:val="20"/>
          <w:szCs w:val="20"/>
          <w:color w:val="auto"/>
        </w:rPr>
      </w:pPr>
    </w:p>
    <w:p>
      <w:pPr>
        <w:ind w:firstLine="987"/>
        <w:spacing w:after="0" w:line="257" w:lineRule="auto"/>
        <w:tabs>
          <w:tab w:leader="none" w:pos="1236" w:val="left"/>
        </w:tabs>
        <w:numPr>
          <w:ilvl w:val="2"/>
          <w:numId w:val="65"/>
        </w:numPr>
        <w:rPr>
          <w:rFonts w:ascii="Arial" w:cs="Arial" w:eastAsia="Arial" w:hAnsi="Arial"/>
          <w:sz w:val="18"/>
          <w:szCs w:val="18"/>
          <w:color w:val="auto"/>
        </w:rPr>
      </w:pPr>
      <w:r>
        <w:rPr>
          <w:rFonts w:ascii="Arial" w:cs="Arial" w:eastAsia="Arial" w:hAnsi="Arial"/>
          <w:sz w:val="18"/>
          <w:szCs w:val="18"/>
          <w:color w:val="auto"/>
        </w:rPr>
        <w:t>The Company may, from time to time, subject to compliance with any other applicable provisions of the Indenture, without notice to or the consent of the Holders of the Notes of the applicable series, create and issue pursuant to the Indenture additional Notes of such series (in the case of the 2029 Notes, the “</w:t>
      </w:r>
      <w:r>
        <w:rPr>
          <w:rFonts w:ascii="Arial" w:cs="Arial" w:eastAsia="Arial" w:hAnsi="Arial"/>
          <w:sz w:val="18"/>
          <w:szCs w:val="18"/>
          <w:u w:val="single" w:color="auto"/>
          <w:color w:val="auto"/>
        </w:rPr>
        <w:t>2029 Additional Notes</w:t>
      </w:r>
      <w:r>
        <w:rPr>
          <w:rFonts w:ascii="Arial" w:cs="Arial" w:eastAsia="Arial" w:hAnsi="Arial"/>
          <w:sz w:val="18"/>
          <w:szCs w:val="18"/>
          <w:color w:val="auto"/>
        </w:rPr>
        <w:t>” and, in the case of the 2033 Notes, the “</w:t>
      </w:r>
      <w:r>
        <w:rPr>
          <w:rFonts w:ascii="Arial" w:cs="Arial" w:eastAsia="Arial" w:hAnsi="Arial"/>
          <w:sz w:val="18"/>
          <w:szCs w:val="18"/>
          <w:u w:val="single" w:color="auto"/>
          <w:color w:val="auto"/>
        </w:rPr>
        <w:t>2033 Additional Notes</w:t>
      </w:r>
      <w:r>
        <w:rPr>
          <w:rFonts w:ascii="Arial" w:cs="Arial" w:eastAsia="Arial" w:hAnsi="Arial"/>
          <w:sz w:val="18"/>
          <w:szCs w:val="18"/>
          <w:color w:val="auto"/>
        </w:rPr>
        <w:t>” and, together with the 2029 Additional Notes, the “</w:t>
      </w:r>
      <w:r>
        <w:rPr>
          <w:rFonts w:ascii="Arial" w:cs="Arial" w:eastAsia="Arial" w:hAnsi="Arial"/>
          <w:sz w:val="18"/>
          <w:szCs w:val="18"/>
          <w:u w:val="single" w:color="auto"/>
          <w:color w:val="auto"/>
        </w:rPr>
        <w:t>Additional Notes</w:t>
      </w:r>
      <w:r>
        <w:rPr>
          <w:rFonts w:ascii="Arial" w:cs="Arial" w:eastAsia="Arial" w:hAnsi="Arial"/>
          <w:sz w:val="18"/>
          <w:szCs w:val="18"/>
          <w:color w:val="auto"/>
        </w:rPr>
        <w:t>”) having terms and conditions identical to those of the Initial Notes of the applicable series and ranking equally and ratably with the Initial Notes of the applicable series, except that Additional Notes:</w:t>
      </w:r>
    </w:p>
    <w:p>
      <w:pPr>
        <w:spacing w:after="0" w:line="79" w:lineRule="exact"/>
        <w:rPr>
          <w:rFonts w:ascii="Arial" w:cs="Arial" w:eastAsia="Arial" w:hAnsi="Arial"/>
          <w:sz w:val="18"/>
          <w:szCs w:val="18"/>
          <w:color w:val="auto"/>
        </w:rPr>
      </w:pPr>
    </w:p>
    <w:p>
      <w:pPr>
        <w:ind w:left="1080" w:hanging="221"/>
        <w:spacing w:after="0"/>
        <w:tabs>
          <w:tab w:leader="none" w:pos="1080" w:val="left"/>
        </w:tabs>
        <w:numPr>
          <w:ilvl w:val="1"/>
          <w:numId w:val="66"/>
        </w:numPr>
        <w:rPr>
          <w:rFonts w:ascii="Arial" w:cs="Arial" w:eastAsia="Arial" w:hAnsi="Arial"/>
          <w:sz w:val="18"/>
          <w:szCs w:val="18"/>
          <w:color w:val="auto"/>
        </w:rPr>
      </w:pPr>
      <w:r>
        <w:rPr>
          <w:rFonts w:ascii="Arial" w:cs="Arial" w:eastAsia="Arial" w:hAnsi="Arial"/>
          <w:sz w:val="18"/>
          <w:szCs w:val="18"/>
          <w:color w:val="auto"/>
        </w:rPr>
        <w:t>may have a different issue date from the Notes of the applicable series; and</w:t>
      </w:r>
    </w:p>
    <w:p>
      <w:pPr>
        <w:spacing w:after="0" w:line="117" w:lineRule="exact"/>
        <w:rPr>
          <w:rFonts w:ascii="Arial" w:cs="Arial" w:eastAsia="Arial" w:hAnsi="Arial"/>
          <w:sz w:val="18"/>
          <w:szCs w:val="18"/>
          <w:color w:val="auto"/>
        </w:rPr>
      </w:pPr>
    </w:p>
    <w:p>
      <w:pPr>
        <w:ind w:left="440" w:right="200" w:firstLine="419"/>
        <w:spacing w:after="0" w:line="275" w:lineRule="auto"/>
        <w:tabs>
          <w:tab w:leader="none" w:pos="1128" w:val="left"/>
        </w:tabs>
        <w:numPr>
          <w:ilvl w:val="1"/>
          <w:numId w:val="66"/>
        </w:numPr>
        <w:rPr>
          <w:rFonts w:ascii="Arial" w:cs="Arial" w:eastAsia="Arial" w:hAnsi="Arial"/>
          <w:sz w:val="17"/>
          <w:szCs w:val="17"/>
          <w:color w:val="auto"/>
        </w:rPr>
      </w:pPr>
      <w:r>
        <w:rPr>
          <w:rFonts w:ascii="Arial" w:cs="Arial" w:eastAsia="Arial" w:hAnsi="Arial"/>
          <w:sz w:val="17"/>
          <w:szCs w:val="17"/>
          <w:color w:val="auto"/>
        </w:rPr>
        <w:t>may have a different amount of interest payable on the first Interest Payment Date after issuance than is payable on the Initial Notes of the applicable series (</w:t>
      </w:r>
      <w:r>
        <w:rPr>
          <w:rFonts w:ascii="Arial" w:cs="Arial" w:eastAsia="Arial" w:hAnsi="Arial"/>
          <w:sz w:val="17"/>
          <w:szCs w:val="17"/>
          <w:i w:val="1"/>
          <w:iCs w:val="1"/>
          <w:color w:val="auto"/>
        </w:rPr>
        <w:t>provided, however</w:t>
      </w:r>
      <w:r>
        <w:rPr>
          <w:rFonts w:ascii="Arial" w:cs="Arial" w:eastAsia="Arial" w:hAnsi="Arial"/>
          <w:sz w:val="17"/>
          <w:szCs w:val="17"/>
          <w:color w:val="auto"/>
        </w:rPr>
        <w:t xml:space="preserve">, that a separate CUSIP number may be assigned for any Additional Notes with a different amount of interest payable on the first Interest Payment Date after issuance than is payable on the Initial Notes of the applicable series, if required by DTC (or another Depositary));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if such Additional Notes are not fungible with the outstanding Notes of the applicable series for U.S. federal income tax purposes, such Additional Notes shall have one or more separate CUSIP numbers.</w:t>
      </w:r>
    </w:p>
    <w:p>
      <w:pPr>
        <w:spacing w:after="0" w:line="176" w:lineRule="exact"/>
        <w:rPr>
          <w:rFonts w:ascii="Arial" w:cs="Arial" w:eastAsia="Arial" w:hAnsi="Arial"/>
          <w:sz w:val="17"/>
          <w:szCs w:val="17"/>
          <w:color w:val="auto"/>
        </w:rPr>
      </w:pPr>
    </w:p>
    <w:p>
      <w:pPr>
        <w:ind w:right="500" w:firstLine="436"/>
        <w:spacing w:after="0" w:line="263" w:lineRule="auto"/>
        <w:tabs>
          <w:tab w:leader="none" w:pos="695" w:val="left"/>
        </w:tabs>
        <w:numPr>
          <w:ilvl w:val="0"/>
          <w:numId w:val="67"/>
        </w:numPr>
        <w:rPr>
          <w:rFonts w:ascii="Arial" w:cs="Arial" w:eastAsia="Arial" w:hAnsi="Arial"/>
          <w:sz w:val="18"/>
          <w:szCs w:val="18"/>
          <w:color w:val="auto"/>
        </w:rPr>
      </w:pPr>
      <w:r>
        <w:rPr>
          <w:rFonts w:ascii="Arial" w:cs="Arial" w:eastAsia="Arial" w:hAnsi="Arial"/>
          <w:sz w:val="18"/>
          <w:szCs w:val="18"/>
          <w:color w:val="auto"/>
        </w:rPr>
        <w:t>Such Additional Notes of such series may be consolidated and form a single series with, and shall have the same terms as to ranking, redemption, waivers, amendments or otherwise, as the Initial Notes of the applicable series and shall vote together as one class on all matters with respect to the Notes of such series.</w:t>
      </w:r>
    </w:p>
    <w:p>
      <w:pPr>
        <w:spacing w:after="0" w:line="183" w:lineRule="exact"/>
        <w:rPr>
          <w:rFonts w:ascii="Arial" w:cs="Arial" w:eastAsia="Arial" w:hAnsi="Arial"/>
          <w:sz w:val="18"/>
          <w:szCs w:val="18"/>
          <w:color w:val="auto"/>
        </w:rPr>
      </w:pPr>
    </w:p>
    <w:p>
      <w:pPr>
        <w:ind w:right="20" w:firstLine="436"/>
        <w:spacing w:after="0" w:line="255" w:lineRule="auto"/>
        <w:tabs>
          <w:tab w:leader="none" w:pos="685" w:val="left"/>
        </w:tabs>
        <w:numPr>
          <w:ilvl w:val="0"/>
          <w:numId w:val="67"/>
        </w:numPr>
        <w:rPr>
          <w:rFonts w:ascii="Arial" w:cs="Arial" w:eastAsia="Arial" w:hAnsi="Arial"/>
          <w:sz w:val="18"/>
          <w:szCs w:val="18"/>
          <w:color w:val="auto"/>
        </w:rPr>
      </w:pPr>
      <w:r>
        <w:rPr>
          <w:rFonts w:ascii="Arial" w:cs="Arial" w:eastAsia="Arial" w:hAnsi="Arial"/>
          <w:sz w:val="18"/>
          <w:szCs w:val="18"/>
          <w:color w:val="auto"/>
        </w:rPr>
        <w:t>The Company may, to the extent permitted by law, directly or indirectly (regardless of whether such Notes are surrendered to the Company), purchase Notes in the open market, negotiated transactions or otherwise, whether by the Company or one or more of its Subsidiaries or through a private or public tender or exchange offer or through counterparties to private agreements, including by cash-settled swaps or other derivatives. The Company shall cause any Notes so purchased (other than Notes purchased pursuant to cash-settled swaps or other derivatives) to be surrendered to the Trustee for cancellation, together with a Company Order to cancel such Notes, and such Notes shall no longer be considered outstanding under the Indenture upon their purchase.</w:t>
      </w:r>
    </w:p>
    <w:p>
      <w:pPr>
        <w:spacing w:after="0" w:line="19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3.04. </w:t>
      </w:r>
      <w:r>
        <w:rPr>
          <w:rFonts w:ascii="Arial" w:cs="Arial" w:eastAsia="Arial" w:hAnsi="Arial"/>
          <w:sz w:val="18"/>
          <w:szCs w:val="18"/>
          <w:i w:val="1"/>
          <w:iCs w:val="1"/>
          <w:color w:val="auto"/>
        </w:rPr>
        <w:t>No Sinking Fund.</w:t>
      </w:r>
      <w:r>
        <w:rPr>
          <w:rFonts w:ascii="Arial" w:cs="Arial" w:eastAsia="Arial" w:hAnsi="Arial"/>
          <w:sz w:val="18"/>
          <w:szCs w:val="18"/>
          <w:color w:val="auto"/>
        </w:rPr>
        <w:t xml:space="preserve"> The Notes shall not be subject to any sinking fund.</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3.05. </w:t>
      </w:r>
      <w:r>
        <w:rPr>
          <w:rFonts w:ascii="Arial" w:cs="Arial" w:eastAsia="Arial" w:hAnsi="Arial"/>
          <w:sz w:val="18"/>
          <w:szCs w:val="18"/>
          <w:i w:val="1"/>
          <w:iCs w:val="1"/>
          <w:color w:val="auto"/>
        </w:rPr>
        <w:t>Satisfaction and Discharge</w:t>
      </w:r>
      <w:r>
        <w:rPr>
          <w:rFonts w:ascii="Arial" w:cs="Arial" w:eastAsia="Arial" w:hAnsi="Arial"/>
          <w:sz w:val="18"/>
          <w:szCs w:val="18"/>
          <w:color w:val="auto"/>
        </w:rPr>
        <w:t>. The provisions of Section 401 of the Base Indenture shall apply to the Notes.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3.06. </w:t>
      </w:r>
      <w:r>
        <w:rPr>
          <w:rFonts w:ascii="Arial" w:cs="Arial" w:eastAsia="Arial" w:hAnsi="Arial"/>
          <w:sz w:val="18"/>
          <w:szCs w:val="18"/>
          <w:i w:val="1"/>
          <w:iCs w:val="1"/>
          <w:color w:val="auto"/>
        </w:rPr>
        <w:t>Additional Amounts.</w:t>
      </w:r>
      <w:r>
        <w:rPr>
          <w:rFonts w:ascii="Arial" w:cs="Arial" w:eastAsia="Arial" w:hAnsi="Arial"/>
          <w:sz w:val="18"/>
          <w:szCs w:val="18"/>
          <w:color w:val="auto"/>
        </w:rPr>
        <w:t xml:space="preserve"> The provisions of Section 1005 and 1108 of the Base Indenture shall apply to the Notes.</w:t>
      </w:r>
    </w:p>
    <w:p>
      <w:pPr>
        <w:spacing w:after="0" w:line="200" w:lineRule="exact"/>
        <w:rPr>
          <w:sz w:val="20"/>
          <w:szCs w:val="20"/>
          <w:color w:val="auto"/>
        </w:rPr>
      </w:pPr>
    </w:p>
    <w:p>
      <w:pPr>
        <w:spacing w:after="0" w:line="237" w:lineRule="exact"/>
        <w:rPr>
          <w:sz w:val="20"/>
          <w:szCs w:val="20"/>
          <w:color w:val="auto"/>
        </w:rPr>
      </w:pPr>
    </w:p>
    <w:p>
      <w:pPr>
        <w:jc w:val="center"/>
        <w:spacing w:after="0"/>
        <w:rPr>
          <w:sz w:val="20"/>
          <w:szCs w:val="20"/>
          <w:color w:val="auto"/>
        </w:rPr>
      </w:pPr>
      <w:r>
        <w:rPr>
          <w:rFonts w:ascii="Arial" w:cs="Arial" w:eastAsia="Arial" w:hAnsi="Arial"/>
          <w:sz w:val="18"/>
          <w:szCs w:val="18"/>
          <w:b w:val="1"/>
          <w:bCs w:val="1"/>
          <w:u w:val="single" w:color="auto"/>
          <w:color w:val="auto"/>
        </w:rPr>
        <w:t>ARTICLE IV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REDEMPTION OF SECURITIES</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4.01. </w:t>
      </w:r>
      <w:r>
        <w:rPr>
          <w:rFonts w:ascii="Arial" w:cs="Arial" w:eastAsia="Arial" w:hAnsi="Arial"/>
          <w:sz w:val="18"/>
          <w:szCs w:val="18"/>
          <w:i w:val="1"/>
          <w:iCs w:val="1"/>
          <w:color w:val="auto"/>
        </w:rPr>
        <w:t>Optional Redemption.</w:t>
      </w:r>
    </w:p>
    <w:p>
      <w:pPr>
        <w:spacing w:after="0" w:line="225" w:lineRule="exact"/>
        <w:rPr>
          <w:sz w:val="20"/>
          <w:szCs w:val="20"/>
          <w:color w:val="auto"/>
        </w:rPr>
      </w:pPr>
    </w:p>
    <w:p>
      <w:pPr>
        <w:ind w:right="960" w:firstLine="436"/>
        <w:spacing w:after="0" w:line="277" w:lineRule="auto"/>
        <w:tabs>
          <w:tab w:leader="none" w:pos="685" w:val="left"/>
        </w:tabs>
        <w:numPr>
          <w:ilvl w:val="0"/>
          <w:numId w:val="68"/>
        </w:numPr>
        <w:rPr>
          <w:rFonts w:ascii="Arial" w:cs="Arial" w:eastAsia="Arial" w:hAnsi="Arial"/>
          <w:sz w:val="18"/>
          <w:szCs w:val="18"/>
          <w:color w:val="auto"/>
        </w:rPr>
      </w:pPr>
      <w:r>
        <w:rPr>
          <w:rFonts w:ascii="Arial" w:cs="Arial" w:eastAsia="Arial" w:hAnsi="Arial"/>
          <w:sz w:val="18"/>
          <w:szCs w:val="18"/>
          <w:color w:val="auto"/>
        </w:rPr>
        <w:t>Subject to Section 1.02 hereof, the provisions of Article XI of the Base Indenture, as supplemented by the provisions of this Third Supplemental Indenture, shall apply to the Notes.</w:t>
      </w:r>
    </w:p>
    <w:p>
      <w:pPr>
        <w:spacing w:after="0" w:line="170" w:lineRule="exact"/>
        <w:rPr>
          <w:rFonts w:ascii="Arial" w:cs="Arial" w:eastAsia="Arial" w:hAnsi="Arial"/>
          <w:sz w:val="18"/>
          <w:szCs w:val="18"/>
          <w:color w:val="auto"/>
        </w:rPr>
      </w:pPr>
    </w:p>
    <w:p>
      <w:pPr>
        <w:ind w:right="100" w:firstLine="436"/>
        <w:spacing w:after="0" w:line="279" w:lineRule="auto"/>
        <w:tabs>
          <w:tab w:leader="none" w:pos="695" w:val="left"/>
        </w:tabs>
        <w:numPr>
          <w:ilvl w:val="0"/>
          <w:numId w:val="68"/>
        </w:numPr>
        <w:rPr>
          <w:rFonts w:ascii="Arial" w:cs="Arial" w:eastAsia="Arial" w:hAnsi="Arial"/>
          <w:sz w:val="17"/>
          <w:szCs w:val="17"/>
          <w:color w:val="auto"/>
        </w:rPr>
      </w:pPr>
      <w:r>
        <w:rPr>
          <w:rFonts w:ascii="Arial" w:cs="Arial" w:eastAsia="Arial" w:hAnsi="Arial"/>
          <w:sz w:val="17"/>
          <w:szCs w:val="17"/>
          <w:color w:val="auto"/>
        </w:rPr>
        <w:t>Prior to the 2029 Par Call Date, the Company may redeem the 2029 Notes at its option, in whole or in part, at any time and from time to time, at a redemption price (expressed as a percentage of principal amount and rounded to three decimal places) equal to the greater of: (1)(a) the sum of the present values of the remaining scheduled payments of principal and interest thereon discounted to the redemption date (assuming the 2029 Notes matured on the 2029 Par Call Date) on a semi-annual basis (assuming a 360-day year consisting of twelve 30-day</w:t>
      </w:r>
    </w:p>
    <w:p>
      <w:pPr>
        <w:spacing w:after="0" w:line="10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10</w:t>
      </w:r>
    </w:p>
    <w:p>
      <w:pPr>
        <w:sectPr>
          <w:pgSz w:w="11900" w:h="16838" w:orient="portrait"/>
          <w:cols w:equalWidth="0" w:num="1">
            <w:col w:w="11000"/>
          </w:cols>
          <w:pgMar w:left="440" w:top="274" w:right="459" w:bottom="1440" w:gutter="0" w:footer="0" w:header="0"/>
        </w:sectPr>
      </w:pPr>
    </w:p>
    <w:bookmarkStart w:id="53" w:name="page54"/>
    <w:bookmarkEnd w:id="53"/>
    <w:p>
      <w:pPr>
        <w:ind w:right="80"/>
        <w:spacing w:after="0" w:line="279"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months) at the Treasury Rate plus 25 basis points less (b) interest accrued to the date of redemption, and (2) 100% of the principal amount of the 2029 Notes to be redeemed, plus, in either case, accrued and unpaid interest thereon to the redemption date. On or after the 2029 Par Call Date, the Company may redeem the 2029 Notes, in whole or in part, at any time and from time to time, at a redemption price equal to 100% of the principal amount of the 2029 Notes being redeemed plus accrued and unpaid interest thereon to the redemption date.</w:t>
      </w:r>
    </w:p>
    <w:p>
      <w:pPr>
        <w:spacing w:after="0" w:line="171" w:lineRule="exact"/>
        <w:rPr>
          <w:sz w:val="20"/>
          <w:szCs w:val="20"/>
          <w:color w:val="auto"/>
        </w:rPr>
      </w:pPr>
    </w:p>
    <w:p>
      <w:pPr>
        <w:ind w:firstLine="436"/>
        <w:spacing w:after="0" w:line="271" w:lineRule="auto"/>
        <w:tabs>
          <w:tab w:leader="none" w:pos="685" w:val="left"/>
        </w:tabs>
        <w:numPr>
          <w:ilvl w:val="0"/>
          <w:numId w:val="69"/>
        </w:numPr>
        <w:rPr>
          <w:rFonts w:ascii="Arial" w:cs="Arial" w:eastAsia="Arial" w:hAnsi="Arial"/>
          <w:sz w:val="17"/>
          <w:szCs w:val="17"/>
          <w:color w:val="auto"/>
        </w:rPr>
      </w:pPr>
      <w:r>
        <w:rPr>
          <w:rFonts w:ascii="Arial" w:cs="Arial" w:eastAsia="Arial" w:hAnsi="Arial"/>
          <w:sz w:val="17"/>
          <w:szCs w:val="17"/>
          <w:color w:val="auto"/>
        </w:rPr>
        <w:t>Prior to the 2033 Par Call Date, the Company may redeem the 2033 Notes at its option, in whole or in part, at any time and from time to time, at a redemption price (expressed as a percentage of principal amount and rounded to three decimal places) equal to the greater of: (1)(a) the sum of the present values of the remaining scheduled payments of principal and interest thereon discounted to the redemption date (assuming the 2033 Notes matured on the 2033 Par Call Date) on a semi-annual basis (assuming a 360-day year consisting of twelve 30-day months) at the Treasury Rate plus 30 basis points less (b) interest accrued to the date of redemption, and (2) 100% of the principal amount of the 2033 Notes to be redeemed, plus, in either case, accrued and unpaid interest thereon to the redemption date. On or after the 2033 Par Call Date, the Company may redeem the 2033 Notes, in whole or in part, at any time and from time to time, at a redemption price equal to 100% of the principal amount of the 2033 Notes being redeemed plus accrued and unpaid interest thereon to the redemption date.</w:t>
      </w:r>
    </w:p>
    <w:p>
      <w:pPr>
        <w:spacing w:after="0" w:line="178" w:lineRule="exact"/>
        <w:rPr>
          <w:rFonts w:ascii="Arial" w:cs="Arial" w:eastAsia="Arial" w:hAnsi="Arial"/>
          <w:sz w:val="17"/>
          <w:szCs w:val="17"/>
          <w:color w:val="auto"/>
        </w:rPr>
      </w:pPr>
    </w:p>
    <w:p>
      <w:pPr>
        <w:ind w:right="520" w:firstLine="436"/>
        <w:spacing w:after="0" w:line="308" w:lineRule="auto"/>
        <w:tabs>
          <w:tab w:leader="none" w:pos="695" w:val="left"/>
        </w:tabs>
        <w:numPr>
          <w:ilvl w:val="0"/>
          <w:numId w:val="69"/>
        </w:numPr>
        <w:rPr>
          <w:rFonts w:ascii="Arial" w:cs="Arial" w:eastAsia="Arial" w:hAnsi="Arial"/>
          <w:sz w:val="17"/>
          <w:szCs w:val="17"/>
          <w:color w:val="auto"/>
        </w:rPr>
      </w:pPr>
      <w:r>
        <w:rPr>
          <w:rFonts w:ascii="Arial" w:cs="Arial" w:eastAsia="Arial" w:hAnsi="Arial"/>
          <w:sz w:val="17"/>
          <w:szCs w:val="17"/>
          <w:color w:val="auto"/>
        </w:rPr>
        <w:t>The Company’s actions and determinations in determining the redemption price shall be conclusive and binding for all purposes, absent manifest error. The Trustee shall have no duty to calculate or verify the Company’s calculations of the redemption price.</w:t>
      </w:r>
    </w:p>
    <w:p>
      <w:pPr>
        <w:spacing w:after="0" w:line="146" w:lineRule="exact"/>
        <w:rPr>
          <w:rFonts w:ascii="Arial" w:cs="Arial" w:eastAsia="Arial" w:hAnsi="Arial"/>
          <w:sz w:val="17"/>
          <w:szCs w:val="17"/>
          <w:color w:val="auto"/>
        </w:rPr>
      </w:pPr>
    </w:p>
    <w:p>
      <w:pPr>
        <w:ind w:firstLine="436"/>
        <w:spacing w:after="0" w:line="268" w:lineRule="auto"/>
        <w:tabs>
          <w:tab w:leader="none" w:pos="685" w:val="left"/>
        </w:tabs>
        <w:numPr>
          <w:ilvl w:val="0"/>
          <w:numId w:val="69"/>
        </w:numPr>
        <w:rPr>
          <w:rFonts w:ascii="Arial" w:cs="Arial" w:eastAsia="Arial" w:hAnsi="Arial"/>
          <w:sz w:val="17"/>
          <w:szCs w:val="17"/>
          <w:color w:val="auto"/>
        </w:rPr>
      </w:pPr>
      <w:r>
        <w:rPr>
          <w:rFonts w:ascii="Arial" w:cs="Arial" w:eastAsia="Arial" w:hAnsi="Arial"/>
          <w:sz w:val="17"/>
          <w:szCs w:val="17"/>
          <w:color w:val="auto"/>
        </w:rPr>
        <w:t>Notice of any redemption will be mailed or electronically delivered (or otherwise transmitted in accordance with the Depositary’s procedures) at least 10 days but not more than 60 days before the redemption date to each holder of the Notes to be redeemed (with a copy to the Trustee). Any redemption or notice may, at the Company’s discretion, be subject to one or more conditions precedent and, at the Company’s discretion, the redemption date may be delayed until such time as any or all such conditions shall be satisfied (or waived by the Company in its sole discretion), or the redemption date may not occur at all and such notice may be rescinded if all such conditions shall not have been satisfied (or waived by the Company in its sole discretion).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w:t>
      </w:r>
    </w:p>
    <w:p>
      <w:pPr>
        <w:spacing w:after="0" w:line="186" w:lineRule="exact"/>
        <w:rPr>
          <w:rFonts w:ascii="Arial" w:cs="Arial" w:eastAsia="Arial" w:hAnsi="Arial"/>
          <w:sz w:val="17"/>
          <w:szCs w:val="17"/>
          <w:color w:val="auto"/>
        </w:rPr>
      </w:pPr>
    </w:p>
    <w:p>
      <w:pPr>
        <w:ind w:right="20" w:firstLine="436"/>
        <w:spacing w:after="0" w:line="255" w:lineRule="auto"/>
        <w:tabs>
          <w:tab w:leader="none" w:pos="665" w:val="left"/>
        </w:tabs>
        <w:numPr>
          <w:ilvl w:val="0"/>
          <w:numId w:val="69"/>
        </w:numPr>
        <w:rPr>
          <w:rFonts w:ascii="Arial" w:cs="Arial" w:eastAsia="Arial" w:hAnsi="Arial"/>
          <w:sz w:val="18"/>
          <w:szCs w:val="18"/>
          <w:color w:val="auto"/>
        </w:rPr>
      </w:pPr>
      <w:r>
        <w:rPr>
          <w:rFonts w:ascii="Arial" w:cs="Arial" w:eastAsia="Arial" w:hAnsi="Arial"/>
          <w:sz w:val="18"/>
          <w:szCs w:val="18"/>
          <w:color w:val="auto"/>
        </w:rPr>
        <w:t>In the case of a partial redemption, selection of the Notes for redemption will be made pro rata, by lot or by such other method as the Trustee in its sole discretion deems appropriate and fair. No Notes of a principal amount of $2,000 or less will be redeemed in part. If any Note is to be redeemed in part only, the notice of redemption that relates to the Note will state the portion of the principal amount of the Note to be redeemed. A new Note in a principal amount equal to the unredeemed portion of the Note will be issued in the name of the holder of the Note upon surrender for cancellation of the original Note. For so long as the Notes are held by DTC (or another depositary), the redemption of the Notes shall be done in accordance with the policies and procedures of the Depositary.</w:t>
      </w:r>
    </w:p>
    <w:p>
      <w:pPr>
        <w:spacing w:after="0" w:line="192" w:lineRule="exact"/>
        <w:rPr>
          <w:rFonts w:ascii="Arial" w:cs="Arial" w:eastAsia="Arial" w:hAnsi="Arial"/>
          <w:sz w:val="18"/>
          <w:szCs w:val="18"/>
          <w:color w:val="auto"/>
        </w:rPr>
      </w:pPr>
    </w:p>
    <w:p>
      <w:pPr>
        <w:ind w:right="60" w:firstLine="436"/>
        <w:spacing w:after="0" w:line="277" w:lineRule="auto"/>
        <w:tabs>
          <w:tab w:leader="none" w:pos="695" w:val="left"/>
        </w:tabs>
        <w:numPr>
          <w:ilvl w:val="0"/>
          <w:numId w:val="69"/>
        </w:numPr>
        <w:rPr>
          <w:rFonts w:ascii="Arial" w:cs="Arial" w:eastAsia="Arial" w:hAnsi="Arial"/>
          <w:sz w:val="18"/>
          <w:szCs w:val="18"/>
          <w:color w:val="auto"/>
        </w:rPr>
      </w:pPr>
      <w:r>
        <w:rPr>
          <w:rFonts w:ascii="Arial" w:cs="Arial" w:eastAsia="Arial" w:hAnsi="Arial"/>
          <w:sz w:val="18"/>
          <w:szCs w:val="18"/>
          <w:color w:val="auto"/>
        </w:rPr>
        <w:t>Unless we default in payment of the redemption price, on and after the redemption date interest will cease to accrue on the applicable series of Notes, or portions thereof, called for redemption.</w:t>
      </w:r>
    </w:p>
    <w:p>
      <w:pPr>
        <w:spacing w:after="0" w:line="170" w:lineRule="exact"/>
        <w:rPr>
          <w:rFonts w:ascii="Arial" w:cs="Arial" w:eastAsia="Arial" w:hAnsi="Arial"/>
          <w:sz w:val="18"/>
          <w:szCs w:val="18"/>
          <w:color w:val="auto"/>
        </w:rPr>
      </w:pPr>
    </w:p>
    <w:p>
      <w:pPr>
        <w:ind w:right="20" w:firstLine="436"/>
        <w:spacing w:after="0" w:line="296" w:lineRule="auto"/>
        <w:tabs>
          <w:tab w:leader="none" w:pos="695" w:val="left"/>
        </w:tabs>
        <w:numPr>
          <w:ilvl w:val="0"/>
          <w:numId w:val="69"/>
        </w:numPr>
        <w:rPr>
          <w:rFonts w:ascii="Arial" w:cs="Arial" w:eastAsia="Arial" w:hAnsi="Arial"/>
          <w:sz w:val="16"/>
          <w:szCs w:val="16"/>
          <w:color w:val="auto"/>
        </w:rPr>
      </w:pPr>
      <w:r>
        <w:rPr>
          <w:rFonts w:ascii="Arial" w:cs="Arial" w:eastAsia="Arial" w:hAnsi="Arial"/>
          <w:sz w:val="16"/>
          <w:szCs w:val="16"/>
          <w:color w:val="auto"/>
        </w:rPr>
        <w:t>If any redemption date would otherwise be a day that is not a Business Day, the related payment of principal and interest will be made on the next succeeding Business Day as if it were made on the date such payment was due, and no interest will accrue on the amounts so payable for the period from and after such date to the next succeeding Business Day. Notwithstanding the foregoing, installments of interest on Notes that are due and payable on Interest Payment Dates falling on or prior to a redemption date shall be payable on the Interest Payment Date to the registered Holders as of the close of business on the relevant Record Date in accordance with the provisions of the Notes and the Indenture.</w:t>
      </w:r>
    </w:p>
    <w:p>
      <w:pPr>
        <w:spacing w:after="0" w:line="161" w:lineRule="exact"/>
        <w:rPr>
          <w:rFonts w:ascii="Arial" w:cs="Arial" w:eastAsia="Arial" w:hAnsi="Arial"/>
          <w:sz w:val="16"/>
          <w:szCs w:val="16"/>
          <w:color w:val="auto"/>
        </w:rPr>
      </w:pPr>
    </w:p>
    <w:p>
      <w:pPr>
        <w:ind w:right="340" w:firstLine="436"/>
        <w:spacing w:after="0" w:line="263" w:lineRule="auto"/>
        <w:tabs>
          <w:tab w:leader="none" w:pos="655" w:val="left"/>
        </w:tabs>
        <w:numPr>
          <w:ilvl w:val="0"/>
          <w:numId w:val="69"/>
        </w:numPr>
        <w:rPr>
          <w:rFonts w:ascii="Arial" w:cs="Arial" w:eastAsia="Arial" w:hAnsi="Arial"/>
          <w:sz w:val="18"/>
          <w:szCs w:val="18"/>
          <w:color w:val="auto"/>
        </w:rPr>
      </w:pPr>
      <w:r>
        <w:rPr>
          <w:rFonts w:ascii="Arial" w:cs="Arial" w:eastAsia="Arial" w:hAnsi="Arial"/>
          <w:sz w:val="18"/>
          <w:szCs w:val="18"/>
          <w:color w:val="auto"/>
        </w:rPr>
        <w:t>On or before the redemption date for the Notes, the Company shall deposit with the Trustee or a Paying Agent funds sufficient to pay the redemption price of the Notes to be redeemed on the redemption date, and (except if the redemption date shall be an Interest Payment Date) accrued interest, if any.</w:t>
      </w:r>
    </w:p>
    <w:p>
      <w:pPr>
        <w:spacing w:after="0" w:line="184"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4.02. </w:t>
      </w:r>
      <w:r>
        <w:rPr>
          <w:rFonts w:ascii="Arial" w:cs="Arial" w:eastAsia="Arial" w:hAnsi="Arial"/>
          <w:sz w:val="18"/>
          <w:szCs w:val="18"/>
          <w:i w:val="1"/>
          <w:iCs w:val="1"/>
          <w:color w:val="auto"/>
        </w:rPr>
        <w:t>Purchase of Notes upon a Change of Control Repurchase Event</w:t>
      </w:r>
      <w:r>
        <w:rPr>
          <w:rFonts w:ascii="Arial" w:cs="Arial" w:eastAsia="Arial" w:hAnsi="Arial"/>
          <w:sz w:val="18"/>
          <w:szCs w:val="18"/>
          <w:color w:val="auto"/>
        </w:rPr>
        <w:t>.</w:t>
      </w:r>
    </w:p>
    <w:p>
      <w:pPr>
        <w:spacing w:after="0" w:line="225" w:lineRule="exact"/>
        <w:rPr>
          <w:sz w:val="20"/>
          <w:szCs w:val="20"/>
          <w:color w:val="auto"/>
        </w:rPr>
      </w:pPr>
    </w:p>
    <w:p>
      <w:pPr>
        <w:ind w:firstLine="436"/>
        <w:spacing w:after="0" w:line="291" w:lineRule="auto"/>
        <w:tabs>
          <w:tab w:leader="none" w:pos="685" w:val="left"/>
        </w:tabs>
        <w:numPr>
          <w:ilvl w:val="0"/>
          <w:numId w:val="70"/>
        </w:numPr>
        <w:rPr>
          <w:rFonts w:ascii="Arial" w:cs="Arial" w:eastAsia="Arial" w:hAnsi="Arial"/>
          <w:sz w:val="16"/>
          <w:szCs w:val="16"/>
          <w:color w:val="auto"/>
        </w:rPr>
      </w:pPr>
      <w:r>
        <w:rPr>
          <w:rFonts w:ascii="Arial" w:cs="Arial" w:eastAsia="Arial" w:hAnsi="Arial"/>
          <w:sz w:val="16"/>
          <w:szCs w:val="16"/>
          <w:color w:val="auto"/>
        </w:rPr>
        <w:t>If a Change of Control Repurchase Event occurs with respect to any series of Notes, unless the Company shall have exercised its option to redeem the Notes of such series pursuant to Section 4.01 of this Third Supplemental Indenture, each Holder of the Notes of such series shall have the right to require the Company to repurchase all or any part (equal to $2,000 and multiples of $1,000 in excess thereof) of that Holder’s Notes of such series at a repurchase price in cash equal to 101% of the aggregate principal amount of the Notes to be repurchased, plus any accrued and unpaid interest on the Notes of such series to, but excluding, the repurchase date. Within 30 days following any Change of Control Repurchase Event with respect to a series of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6"/>
          <w:szCs w:val="16"/>
          <w:u w:val="single" w:color="auto"/>
          <w:color w:val="auto"/>
        </w:rPr>
        <w:t>Change of Control Notice</w:t>
      </w:r>
      <w:r>
        <w:rPr>
          <w:rFonts w:ascii="Arial" w:cs="Arial" w:eastAsia="Arial" w:hAnsi="Arial"/>
          <w:sz w:val="16"/>
          <w:szCs w:val="16"/>
          <w:color w:val="auto"/>
        </w:rPr>
        <w:t>”) to each Holder</w:t>
      </w:r>
    </w:p>
    <w:p>
      <w:pPr>
        <w:sectPr>
          <w:pgSz w:w="11900" w:h="16838" w:orient="portrait"/>
          <w:cols w:equalWidth="0" w:num="1">
            <w:col w:w="11000"/>
          </w:cols>
          <w:pgMar w:left="440" w:top="274" w:right="459" w:bottom="1440" w:gutter="0" w:footer="0" w:header="0"/>
        </w:sectPr>
      </w:pPr>
    </w:p>
    <w:p>
      <w:pPr>
        <w:spacing w:after="0" w:line="99" w:lineRule="exact"/>
        <w:rPr>
          <w:sz w:val="20"/>
          <w:szCs w:val="20"/>
          <w:color w:val="auto"/>
        </w:rPr>
      </w:pPr>
    </w:p>
    <w:p>
      <w:pPr>
        <w:jc w:val="center"/>
        <w:ind w:right="-19"/>
        <w:spacing w:after="0"/>
        <w:rPr>
          <w:sz w:val="20"/>
          <w:szCs w:val="20"/>
          <w:color w:val="auto"/>
        </w:rPr>
      </w:pPr>
      <w:r>
        <w:rPr>
          <w:rFonts w:ascii="Arial" w:cs="Arial" w:eastAsia="Arial" w:hAnsi="Arial"/>
          <w:sz w:val="16"/>
          <w:szCs w:val="16"/>
          <w:color w:val="auto"/>
        </w:rPr>
        <w:t>11</w:t>
      </w:r>
    </w:p>
    <w:p>
      <w:pPr>
        <w:sectPr>
          <w:pgSz w:w="11900" w:h="16838" w:orient="portrait"/>
          <w:cols w:equalWidth="0" w:num="1">
            <w:col w:w="11000"/>
          </w:cols>
          <w:pgMar w:left="440" w:top="274" w:right="459" w:bottom="1440" w:gutter="0" w:footer="0" w:header="0"/>
          <w:type w:val="continuous"/>
        </w:sectPr>
      </w:pPr>
    </w:p>
    <w:bookmarkStart w:id="54" w:name="page55"/>
    <w:bookmarkEnd w:id="54"/>
    <w:p>
      <w:pPr>
        <w:ind w:right="120"/>
        <w:spacing w:after="0" w:line="273"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such series of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the Notes of such series on the repurchase date specified in the notice at the option of the Holders of such series of Notes,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10 days and no later than 60 days from the date such notice is delivered. The Change of Control Notice shall, if delivered prior to the date of consummation of the Change of Control, state that the Company’s obligation to repurchase the Notes of the applicable series is conditioned on a Change of Control Repurchase Event occurring on or prior to the Change of Control Payment Date.</w:t>
      </w:r>
    </w:p>
    <w:p>
      <w:pPr>
        <w:spacing w:after="0" w:line="178" w:lineRule="exact"/>
        <w:rPr>
          <w:sz w:val="20"/>
          <w:szCs w:val="20"/>
          <w:color w:val="auto"/>
        </w:rPr>
      </w:pPr>
    </w:p>
    <w:p>
      <w:pPr>
        <w:ind w:left="700" w:hanging="264"/>
        <w:spacing w:after="0"/>
        <w:tabs>
          <w:tab w:leader="none" w:pos="700" w:val="left"/>
        </w:tabs>
        <w:numPr>
          <w:ilvl w:val="0"/>
          <w:numId w:val="71"/>
        </w:numPr>
        <w:rPr>
          <w:rFonts w:ascii="Arial" w:cs="Arial" w:eastAsia="Arial" w:hAnsi="Arial"/>
          <w:sz w:val="18"/>
          <w:szCs w:val="18"/>
          <w:color w:val="auto"/>
        </w:rPr>
      </w:pPr>
      <w:r>
        <w:rPr>
          <w:rFonts w:ascii="Arial" w:cs="Arial" w:eastAsia="Arial" w:hAnsi="Arial"/>
          <w:sz w:val="18"/>
          <w:szCs w:val="18"/>
          <w:color w:val="auto"/>
        </w:rPr>
        <w:t>On the Change of Control Payment Date, the Company shall, to the extent lawful:</w:t>
      </w:r>
    </w:p>
    <w:p>
      <w:pPr>
        <w:spacing w:after="0" w:line="117" w:lineRule="exact"/>
        <w:rPr>
          <w:rFonts w:ascii="Arial" w:cs="Arial" w:eastAsia="Arial" w:hAnsi="Arial"/>
          <w:sz w:val="18"/>
          <w:szCs w:val="18"/>
          <w:color w:val="auto"/>
        </w:rPr>
      </w:pPr>
    </w:p>
    <w:p>
      <w:pPr>
        <w:ind w:left="1080" w:hanging="221"/>
        <w:spacing w:after="0"/>
        <w:tabs>
          <w:tab w:leader="none" w:pos="1080" w:val="left"/>
        </w:tabs>
        <w:numPr>
          <w:ilvl w:val="1"/>
          <w:numId w:val="71"/>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180" w:firstLine="419"/>
        <w:spacing w:after="0" w:line="277" w:lineRule="auto"/>
        <w:tabs>
          <w:tab w:leader="none" w:pos="112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62" w:lineRule="exact"/>
        <w:rPr>
          <w:rFonts w:ascii="Arial" w:cs="Arial" w:eastAsia="Arial" w:hAnsi="Arial"/>
          <w:sz w:val="18"/>
          <w:szCs w:val="18"/>
          <w:color w:val="auto"/>
        </w:rPr>
      </w:pPr>
    </w:p>
    <w:p>
      <w:pPr>
        <w:ind w:left="440" w:right="200" w:firstLine="419"/>
        <w:spacing w:after="0" w:line="277" w:lineRule="auto"/>
        <w:tabs>
          <w:tab w:leader="none" w:pos="1178" w:val="left"/>
        </w:tabs>
        <w:numPr>
          <w:ilvl w:val="1"/>
          <w:numId w:val="71"/>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Notes being repurchased by the Company.</w:t>
      </w:r>
    </w:p>
    <w:p>
      <w:pPr>
        <w:spacing w:after="0" w:line="170" w:lineRule="exact"/>
        <w:rPr>
          <w:rFonts w:ascii="Arial" w:cs="Arial" w:eastAsia="Arial" w:hAnsi="Arial"/>
          <w:sz w:val="18"/>
          <w:szCs w:val="18"/>
          <w:color w:val="auto"/>
        </w:rPr>
      </w:pPr>
    </w:p>
    <w:p>
      <w:pPr>
        <w:ind w:right="80" w:firstLine="436"/>
        <w:spacing w:after="0" w:line="263"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The Paying Agent or tender agent shall promptly deliver to each Holder of Notes properly tendered the repurchase price for the Notes, and the Trustee, upon receipt of a Company Order, shall promptly authenticate and mail (or cause to be transferred by book-entry) to each Holder a new Note equal in principal amount to any unpurchased portion of any Notes surrendered.</w:t>
      </w:r>
    </w:p>
    <w:p>
      <w:pPr>
        <w:spacing w:after="0" w:line="183" w:lineRule="exact"/>
        <w:rPr>
          <w:rFonts w:ascii="Arial" w:cs="Arial" w:eastAsia="Arial" w:hAnsi="Arial"/>
          <w:sz w:val="18"/>
          <w:szCs w:val="18"/>
          <w:color w:val="auto"/>
        </w:rPr>
      </w:pPr>
    </w:p>
    <w:p>
      <w:pPr>
        <w:ind w:right="20" w:firstLine="436"/>
        <w:spacing w:after="0" w:line="259" w:lineRule="auto"/>
        <w:tabs>
          <w:tab w:leader="none" w:pos="695" w:val="left"/>
        </w:tabs>
        <w:numPr>
          <w:ilvl w:val="0"/>
          <w:numId w:val="71"/>
        </w:numPr>
        <w:rPr>
          <w:rFonts w:ascii="Arial" w:cs="Arial" w:eastAsia="Arial" w:hAnsi="Arial"/>
          <w:sz w:val="18"/>
          <w:szCs w:val="18"/>
          <w:color w:val="auto"/>
        </w:rPr>
      </w:pPr>
      <w:r>
        <w:rPr>
          <w:rFonts w:ascii="Arial" w:cs="Arial" w:eastAsia="Arial" w:hAnsi="Arial"/>
          <w:sz w:val="18"/>
          <w:szCs w:val="18"/>
          <w:color w:val="auto"/>
        </w:rPr>
        <w:t>Notwithstanding the foregoing in this Section 4.02, the Company shall not be required to make a Change of Control Offer in connection with a Change of Control Repurchase Event if a third party makes such an offer in connection with such Change of Control Repurchase Event in the manner and at the times required and otherwise in compliance with the requirements for such a Change of Control Offer made by the Company, and such third party purchases all Notes properly tendered and not withdrawn under its offer.</w:t>
      </w:r>
    </w:p>
    <w:p>
      <w:pPr>
        <w:spacing w:after="0" w:line="186" w:lineRule="exact"/>
        <w:rPr>
          <w:rFonts w:ascii="Arial" w:cs="Arial" w:eastAsia="Arial" w:hAnsi="Arial"/>
          <w:sz w:val="18"/>
          <w:szCs w:val="18"/>
          <w:color w:val="auto"/>
        </w:rPr>
      </w:pPr>
    </w:p>
    <w:p>
      <w:pPr>
        <w:ind w:right="20" w:firstLine="436"/>
        <w:spacing w:after="0" w:line="254" w:lineRule="auto"/>
        <w:tabs>
          <w:tab w:leader="none" w:pos="685" w:val="left"/>
        </w:tabs>
        <w:numPr>
          <w:ilvl w:val="0"/>
          <w:numId w:val="71"/>
        </w:numPr>
        <w:rPr>
          <w:rFonts w:ascii="Arial" w:cs="Arial" w:eastAsia="Arial" w:hAnsi="Arial"/>
          <w:sz w:val="18"/>
          <w:szCs w:val="18"/>
          <w:color w:val="auto"/>
        </w:rPr>
      </w:pPr>
      <w:r>
        <w:rPr>
          <w:rFonts w:ascii="Arial" w:cs="Arial" w:eastAsia="Arial" w:hAnsi="Arial"/>
          <w:sz w:val="18"/>
          <w:szCs w:val="18"/>
          <w:color w:val="auto"/>
        </w:rPr>
        <w:t>If Holders of not less than 95% in aggregate principal amount of a series of Notes then outstanding validly tender and do not withdraw such Notes in a Change of Control Offer and the Company, or any third party making a Change of Control Offer in lieu of the Company pursuant to Section 4.02(d) above, purchases all of the Notes validly tendered and not withdrawn by such Holders, the Company shall have the right, upon not less than 10 days nor more than 60 days’ prior written notice to the Holders of such series of Notes (with a copy to the Trustee), given not more than 30 days following such purchase pursuant to the Change of Control Offer described in Section 4.02(b) above, to redeem all Notes of such series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91" w:lineRule="exact"/>
        <w:rPr>
          <w:rFonts w:ascii="Arial" w:cs="Arial" w:eastAsia="Arial" w:hAnsi="Arial"/>
          <w:sz w:val="18"/>
          <w:szCs w:val="18"/>
          <w:color w:val="auto"/>
        </w:rPr>
      </w:pPr>
    </w:p>
    <w:p>
      <w:pPr>
        <w:ind w:firstLine="436"/>
        <w:spacing w:after="0" w:line="273" w:lineRule="auto"/>
        <w:tabs>
          <w:tab w:leader="none" w:pos="665" w:val="left"/>
        </w:tabs>
        <w:numPr>
          <w:ilvl w:val="0"/>
          <w:numId w:val="71"/>
        </w:numPr>
        <w:rPr>
          <w:rFonts w:ascii="Arial" w:cs="Arial" w:eastAsia="Arial" w:hAnsi="Arial"/>
          <w:sz w:val="17"/>
          <w:szCs w:val="17"/>
          <w:color w:val="auto"/>
        </w:rPr>
      </w:pPr>
      <w:r>
        <w:rPr>
          <w:rFonts w:ascii="Arial" w:cs="Arial" w:eastAsia="Arial" w:hAnsi="Arial"/>
          <w:sz w:val="17"/>
          <w:szCs w:val="17"/>
          <w:color w:val="auto"/>
        </w:rPr>
        <w:t>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4.02, the Company shall comply with those securities laws and regulations and shall not be deemed to have breached its obligations under this Section 4.02 by virtue thereof; provided that the Company otherwise uses commercially reasonable efforts to permit Holders to exercise their rights and to fulfill its obligations in the time and in the manner specified in this Section 4.02 to the extent permitted by such securities laws or regulations.</w:t>
      </w:r>
    </w:p>
    <w:p>
      <w:pPr>
        <w:spacing w:after="0" w:line="110"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12</w:t>
      </w:r>
    </w:p>
    <w:p>
      <w:pPr>
        <w:sectPr>
          <w:pgSz w:w="11900" w:h="16838" w:orient="portrait"/>
          <w:cols w:equalWidth="0" w:num="1">
            <w:col w:w="11000"/>
          </w:cols>
          <w:pgMar w:left="440" w:top="274" w:right="459" w:bottom="1440" w:gutter="0" w:footer="0" w:header="0"/>
        </w:sectPr>
      </w:pPr>
    </w:p>
    <w:bookmarkStart w:id="55" w:name="page56"/>
    <w:bookmarkEnd w:id="55"/>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V</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COVENANTS AND REMEDIES</w:t>
      </w:r>
    </w:p>
    <w:p>
      <w:pPr>
        <w:spacing w:after="0" w:line="211"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5.01. </w:t>
      </w:r>
      <w:r>
        <w:rPr>
          <w:rFonts w:ascii="Arial" w:cs="Arial" w:eastAsia="Arial" w:hAnsi="Arial"/>
          <w:sz w:val="18"/>
          <w:szCs w:val="18"/>
          <w:i w:val="1"/>
          <w:iCs w:val="1"/>
          <w:color w:val="auto"/>
        </w:rPr>
        <w:t>Limitation on Liens.</w:t>
      </w:r>
    </w:p>
    <w:p>
      <w:pPr>
        <w:spacing w:after="0" w:line="225" w:lineRule="exact"/>
        <w:rPr>
          <w:sz w:val="20"/>
          <w:szCs w:val="20"/>
          <w:color w:val="auto"/>
        </w:rPr>
      </w:pPr>
    </w:p>
    <w:p>
      <w:pPr>
        <w:ind w:left="-20" w:right="20" w:firstLine="436"/>
        <w:spacing w:after="0" w:line="272" w:lineRule="auto"/>
        <w:tabs>
          <w:tab w:leader="none" w:pos="665" w:val="left"/>
        </w:tabs>
        <w:numPr>
          <w:ilvl w:val="0"/>
          <w:numId w:val="72"/>
        </w:numPr>
        <w:rPr>
          <w:rFonts w:ascii="Arial" w:cs="Arial" w:eastAsia="Arial" w:hAnsi="Arial"/>
          <w:sz w:val="17"/>
          <w:szCs w:val="17"/>
          <w:color w:val="auto"/>
        </w:rPr>
      </w:pPr>
      <w:r>
        <w:rPr>
          <w:rFonts w:ascii="Arial" w:cs="Arial" w:eastAsia="Arial" w:hAnsi="Arial"/>
          <w:sz w:val="17"/>
          <w:szCs w:val="17"/>
          <w:color w:val="auto"/>
        </w:rPr>
        <w:t>The Company shall not, and shall not permit any Guarantors to, or any of the Restricted Subsidiaries to, create or incur any Lien upon any Property of the Company, any Guarantor or any of the Restricted Subsidiaries (whether now existing or owned or hereafter created or acquired), in order to secure any Indebtedness or guarantees of the Company, any Guarantor or any of the Restricted Subsidiaries unless prior to or at the same time, the Notes (together with, at the Company’s option, any other Indebtedness or guarantees of the Company, the Guarantors or any of the Restricted Subsidiaries ranking equally in right of payment with the Notes) are equally and ratably secured with or, at the Company’s option, prior to, such secured Indebtedness or guarantees, until such time as such Indebtedness or guarantees are no longer secured by such Lien or such Property is no longer owned by the Company, a Guarantor or any of the Restricted Subsidiaries.</w:t>
      </w:r>
    </w:p>
    <w:p>
      <w:pPr>
        <w:spacing w:after="0" w:line="177" w:lineRule="exact"/>
        <w:rPr>
          <w:rFonts w:ascii="Arial" w:cs="Arial" w:eastAsia="Arial" w:hAnsi="Arial"/>
          <w:sz w:val="17"/>
          <w:szCs w:val="17"/>
          <w:color w:val="auto"/>
        </w:rPr>
      </w:pPr>
    </w:p>
    <w:p>
      <w:pPr>
        <w:ind w:left="680" w:hanging="264"/>
        <w:spacing w:after="0"/>
        <w:tabs>
          <w:tab w:leader="none" w:pos="680" w:val="left"/>
        </w:tabs>
        <w:numPr>
          <w:ilvl w:val="0"/>
          <w:numId w:val="72"/>
        </w:numPr>
        <w:rPr>
          <w:rFonts w:ascii="Arial" w:cs="Arial" w:eastAsia="Arial" w:hAnsi="Arial"/>
          <w:sz w:val="18"/>
          <w:szCs w:val="18"/>
          <w:color w:val="auto"/>
        </w:rPr>
      </w:pPr>
      <w:r>
        <w:rPr>
          <w:rFonts w:ascii="Arial" w:cs="Arial" w:eastAsia="Arial" w:hAnsi="Arial"/>
          <w:sz w:val="18"/>
          <w:szCs w:val="18"/>
          <w:color w:val="auto"/>
        </w:rPr>
        <w:t>The foregoing restriction in Section 5.01(a) above shall not apply to:</w:t>
      </w:r>
    </w:p>
    <w:p>
      <w:pPr>
        <w:spacing w:after="0" w:line="117" w:lineRule="exact"/>
        <w:rPr>
          <w:rFonts w:ascii="Arial" w:cs="Arial" w:eastAsia="Arial" w:hAnsi="Arial"/>
          <w:sz w:val="18"/>
          <w:szCs w:val="18"/>
          <w:color w:val="auto"/>
        </w:rPr>
      </w:pPr>
    </w:p>
    <w:p>
      <w:pPr>
        <w:ind w:left="420" w:right="60" w:firstLine="419"/>
        <w:spacing w:after="0" w:line="277" w:lineRule="auto"/>
        <w:tabs>
          <w:tab w:leader="none" w:pos="1058" w:val="left"/>
        </w:tabs>
        <w:numPr>
          <w:ilvl w:val="1"/>
          <w:numId w:val="72"/>
        </w:numPr>
        <w:rPr>
          <w:rFonts w:ascii="Arial" w:cs="Arial" w:eastAsia="Arial" w:hAnsi="Arial"/>
          <w:sz w:val="18"/>
          <w:szCs w:val="18"/>
          <w:color w:val="auto"/>
        </w:rPr>
      </w:pPr>
      <w:r>
        <w:rPr>
          <w:rFonts w:ascii="Arial" w:cs="Arial" w:eastAsia="Arial" w:hAnsi="Arial"/>
          <w:sz w:val="18"/>
          <w:szCs w:val="18"/>
          <w:color w:val="auto"/>
        </w:rPr>
        <w:t xml:space="preserve">Liens existing with respect to any Person at the time such Person becomes a direct or indirect Subsidiary of the Company or a Guarantor, </w:t>
      </w:r>
      <w:r>
        <w:rPr>
          <w:rFonts w:ascii="Arial" w:cs="Arial" w:eastAsia="Arial" w:hAnsi="Arial"/>
          <w:sz w:val="18"/>
          <w:szCs w:val="18"/>
          <w:i w:val="1"/>
          <w:iCs w:val="1"/>
          <w:color w:val="auto"/>
        </w:rPr>
        <w:t xml:space="preserve">provided </w:t>
      </w:r>
      <w:r>
        <w:rPr>
          <w:rFonts w:ascii="Arial" w:cs="Arial" w:eastAsia="Arial" w:hAnsi="Arial"/>
          <w:sz w:val="18"/>
          <w:szCs w:val="18"/>
          <w:color w:val="auto"/>
        </w:rPr>
        <w:t>that such Lien was not incurred in anticipation of such Person becoming a Subsidiary;</w:t>
      </w:r>
    </w:p>
    <w:p>
      <w:pPr>
        <w:spacing w:after="0" w:line="62" w:lineRule="exact"/>
        <w:rPr>
          <w:rFonts w:ascii="Arial" w:cs="Arial" w:eastAsia="Arial" w:hAnsi="Arial"/>
          <w:sz w:val="18"/>
          <w:szCs w:val="18"/>
          <w:color w:val="auto"/>
        </w:rPr>
      </w:pPr>
    </w:p>
    <w:p>
      <w:pPr>
        <w:ind w:left="420" w:right="240" w:firstLine="419"/>
        <w:spacing w:after="0" w:line="342" w:lineRule="auto"/>
        <w:tabs>
          <w:tab w:leader="none" w:pos="1108" w:val="left"/>
        </w:tabs>
        <w:numPr>
          <w:ilvl w:val="1"/>
          <w:numId w:val="72"/>
        </w:numPr>
        <w:rPr>
          <w:rFonts w:ascii="Arial" w:cs="Arial" w:eastAsia="Arial" w:hAnsi="Arial"/>
          <w:sz w:val="16"/>
          <w:szCs w:val="16"/>
          <w:color w:val="auto"/>
        </w:rPr>
      </w:pPr>
      <w:r>
        <w:rPr>
          <w:rFonts w:ascii="Arial" w:cs="Arial" w:eastAsia="Arial" w:hAnsi="Arial"/>
          <w:sz w:val="16"/>
          <w:szCs w:val="16"/>
          <w:color w:val="auto"/>
        </w:rPr>
        <w:t xml:space="preserve">Liens existing on Property at the time of acquisition thereof or at the time of acquisition by the Company, any Guarantor or any of the Restricted Subsidiaries of any Person then owning such Property;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such acquisition;</w:t>
      </w:r>
    </w:p>
    <w:p>
      <w:pPr>
        <w:spacing w:after="0" w:line="15" w:lineRule="exact"/>
        <w:rPr>
          <w:rFonts w:ascii="Arial" w:cs="Arial" w:eastAsia="Arial" w:hAnsi="Arial"/>
          <w:sz w:val="16"/>
          <w:szCs w:val="16"/>
          <w:color w:val="auto"/>
        </w:rPr>
      </w:pPr>
    </w:p>
    <w:p>
      <w:pPr>
        <w:ind w:left="420" w:right="220" w:firstLine="419"/>
        <w:spacing w:after="0" w:line="277" w:lineRule="auto"/>
        <w:tabs>
          <w:tab w:leader="none" w:pos="1158" w:val="left"/>
        </w:tabs>
        <w:numPr>
          <w:ilvl w:val="1"/>
          <w:numId w:val="72"/>
        </w:numPr>
        <w:rPr>
          <w:rFonts w:ascii="Arial" w:cs="Arial" w:eastAsia="Arial" w:hAnsi="Arial"/>
          <w:sz w:val="18"/>
          <w:szCs w:val="18"/>
          <w:color w:val="auto"/>
        </w:rPr>
      </w:pPr>
      <w:r>
        <w:rPr>
          <w:rFonts w:ascii="Arial" w:cs="Arial" w:eastAsia="Arial" w:hAnsi="Arial"/>
          <w:sz w:val="18"/>
          <w:szCs w:val="18"/>
          <w:color w:val="auto"/>
        </w:rPr>
        <w:t>Liens securing Indebtedness of the Company, any Guarantor or any of the Restricted Subsidiaries owing to the Company or any of its Subsidiaries;</w:t>
      </w:r>
    </w:p>
    <w:p>
      <w:pPr>
        <w:spacing w:after="0" w:line="62" w:lineRule="exact"/>
        <w:rPr>
          <w:rFonts w:ascii="Arial" w:cs="Arial" w:eastAsia="Arial" w:hAnsi="Arial"/>
          <w:sz w:val="18"/>
          <w:szCs w:val="18"/>
          <w:color w:val="auto"/>
        </w:rPr>
      </w:pPr>
    </w:p>
    <w:p>
      <w:pPr>
        <w:ind w:left="1140" w:hanging="301"/>
        <w:spacing w:after="0"/>
        <w:tabs>
          <w:tab w:leader="none" w:pos="1140" w:val="left"/>
        </w:tabs>
        <w:numPr>
          <w:ilvl w:val="1"/>
          <w:numId w:val="72"/>
        </w:numPr>
        <w:rPr>
          <w:rFonts w:ascii="Arial" w:cs="Arial" w:eastAsia="Arial" w:hAnsi="Arial"/>
          <w:sz w:val="18"/>
          <w:szCs w:val="18"/>
          <w:color w:val="auto"/>
        </w:rPr>
      </w:pPr>
      <w:r>
        <w:rPr>
          <w:rFonts w:ascii="Arial" w:cs="Arial" w:eastAsia="Arial" w:hAnsi="Arial"/>
          <w:sz w:val="18"/>
          <w:szCs w:val="18"/>
          <w:color w:val="auto"/>
        </w:rPr>
        <w:t>Liens existing on the date of issuance of the Initial Notes (excluding any Additional Notes);</w:t>
      </w:r>
    </w:p>
    <w:p>
      <w:pPr>
        <w:spacing w:after="0" w:line="117" w:lineRule="exact"/>
        <w:rPr>
          <w:rFonts w:ascii="Arial" w:cs="Arial" w:eastAsia="Arial" w:hAnsi="Arial"/>
          <w:sz w:val="18"/>
          <w:szCs w:val="18"/>
          <w:color w:val="auto"/>
        </w:rPr>
      </w:pPr>
    </w:p>
    <w:p>
      <w:pPr>
        <w:jc w:val="both"/>
        <w:ind w:left="420" w:right="20" w:firstLine="419"/>
        <w:spacing w:after="0" w:line="301" w:lineRule="auto"/>
        <w:tabs>
          <w:tab w:leader="none" w:pos="1098" w:val="left"/>
        </w:tabs>
        <w:numPr>
          <w:ilvl w:val="1"/>
          <w:numId w:val="72"/>
        </w:numPr>
        <w:rPr>
          <w:rFonts w:ascii="Arial" w:cs="Arial" w:eastAsia="Arial" w:hAnsi="Arial"/>
          <w:sz w:val="16"/>
          <w:szCs w:val="16"/>
          <w:color w:val="auto"/>
        </w:rPr>
      </w:pPr>
      <w:r>
        <w:rPr>
          <w:rFonts w:ascii="Arial" w:cs="Arial" w:eastAsia="Arial" w:hAnsi="Arial"/>
          <w:sz w:val="16"/>
          <w:szCs w:val="16"/>
          <w:color w:val="auto"/>
        </w:rPr>
        <w:t xml:space="preserve">Liens on Property of a Person existing at the time such Person is merged into or consolidated with the Company, any Guarantor or any of the Restricted Subsidiaries, at the time such Person becomes a Subsidiary of the Company or any Guarantor, or at the time of a sale, lease or other disposition of all or substantially all of the Properties of a Person to the Company, any Guarantor or any of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that such Lien was not incurred in anticipation of the merger, consolidation, or sale, lease, other disposition or other such transaction;</w:t>
      </w:r>
    </w:p>
    <w:p>
      <w:pPr>
        <w:spacing w:after="0" w:line="49" w:lineRule="exact"/>
        <w:rPr>
          <w:rFonts w:ascii="Arial" w:cs="Arial" w:eastAsia="Arial" w:hAnsi="Arial"/>
          <w:sz w:val="16"/>
          <w:szCs w:val="16"/>
          <w:color w:val="auto"/>
        </w:rPr>
      </w:pPr>
    </w:p>
    <w:p>
      <w:pPr>
        <w:ind w:left="1140" w:hanging="301"/>
        <w:spacing w:after="0"/>
        <w:tabs>
          <w:tab w:leader="none" w:pos="1140" w:val="left"/>
        </w:tabs>
        <w:numPr>
          <w:ilvl w:val="1"/>
          <w:numId w:val="72"/>
        </w:numPr>
        <w:rPr>
          <w:rFonts w:ascii="Arial" w:cs="Arial" w:eastAsia="Arial" w:hAnsi="Arial"/>
          <w:sz w:val="18"/>
          <w:szCs w:val="18"/>
          <w:color w:val="auto"/>
        </w:rPr>
      </w:pPr>
      <w:r>
        <w:rPr>
          <w:rFonts w:ascii="Arial" w:cs="Arial" w:eastAsia="Arial" w:hAnsi="Arial"/>
          <w:sz w:val="18"/>
          <w:szCs w:val="18"/>
          <w:color w:val="auto"/>
        </w:rPr>
        <w:t>Liens created in connection with a project financed with, and created to secure, a Non-recourse Obligation;</w:t>
      </w:r>
    </w:p>
    <w:p>
      <w:pPr>
        <w:spacing w:after="0" w:line="117" w:lineRule="exact"/>
        <w:rPr>
          <w:rFonts w:ascii="Arial" w:cs="Arial" w:eastAsia="Arial" w:hAnsi="Arial"/>
          <w:sz w:val="18"/>
          <w:szCs w:val="18"/>
          <w:color w:val="auto"/>
        </w:rPr>
      </w:pPr>
    </w:p>
    <w:p>
      <w:pPr>
        <w:ind w:left="1200" w:hanging="361"/>
        <w:spacing w:after="0"/>
        <w:tabs>
          <w:tab w:leader="none" w:pos="1200" w:val="left"/>
        </w:tabs>
        <w:numPr>
          <w:ilvl w:val="1"/>
          <w:numId w:val="72"/>
        </w:numPr>
        <w:rPr>
          <w:rFonts w:ascii="Arial" w:cs="Arial" w:eastAsia="Arial" w:hAnsi="Arial"/>
          <w:sz w:val="18"/>
          <w:szCs w:val="18"/>
          <w:color w:val="auto"/>
        </w:rPr>
      </w:pPr>
      <w:r>
        <w:rPr>
          <w:rFonts w:ascii="Arial" w:cs="Arial" w:eastAsia="Arial" w:hAnsi="Arial"/>
          <w:sz w:val="18"/>
          <w:szCs w:val="18"/>
          <w:color w:val="auto"/>
        </w:rPr>
        <w:t>Liens created to secure each series of the Notes;</w:t>
      </w:r>
    </w:p>
    <w:p>
      <w:pPr>
        <w:spacing w:after="0" w:line="117" w:lineRule="exact"/>
        <w:rPr>
          <w:rFonts w:ascii="Arial" w:cs="Arial" w:eastAsia="Arial" w:hAnsi="Arial"/>
          <w:sz w:val="18"/>
          <w:szCs w:val="18"/>
          <w:color w:val="auto"/>
        </w:rPr>
      </w:pPr>
    </w:p>
    <w:p>
      <w:pPr>
        <w:ind w:left="420" w:firstLine="419"/>
        <w:spacing w:after="0" w:line="255" w:lineRule="auto"/>
        <w:tabs>
          <w:tab w:leader="none" w:pos="1248" w:val="left"/>
        </w:tabs>
        <w:numPr>
          <w:ilvl w:val="1"/>
          <w:numId w:val="72"/>
        </w:numPr>
        <w:rPr>
          <w:rFonts w:ascii="Arial" w:cs="Arial" w:eastAsia="Arial" w:hAnsi="Arial"/>
          <w:sz w:val="18"/>
          <w:szCs w:val="18"/>
          <w:color w:val="auto"/>
        </w:rPr>
      </w:pPr>
      <w:r>
        <w:rPr>
          <w:rFonts w:ascii="Arial" w:cs="Arial" w:eastAsia="Arial" w:hAnsi="Arial"/>
          <w:sz w:val="18"/>
          <w:szCs w:val="18"/>
          <w:color w:val="auto"/>
        </w:rPr>
        <w:t>Liens imposed by law or arising by operation of law, such as materialmens’, workmen’s or repairmen’s, carriers’, warehousemen’s and mechanic’s Liens and other similar Liens, in each case for sums not yet overdue by more than 90 calendar days or being contested in good faith by appropriate proceedings or other Liens arising out of judgments or awards against such Person with respect to which such Person shall then be proceeding with an appeal or other proceedings for review and Liens arising solely by virtue of any statutory or common law provision relating to banker’s Liens, rights of set-off or similar rights and remedies as to deposit accounts or other funds maintained with a creditor depository institution;</w:t>
      </w:r>
    </w:p>
    <w:p>
      <w:pPr>
        <w:spacing w:after="0" w:line="84" w:lineRule="exact"/>
        <w:rPr>
          <w:rFonts w:ascii="Arial" w:cs="Arial" w:eastAsia="Arial" w:hAnsi="Arial"/>
          <w:sz w:val="18"/>
          <w:szCs w:val="18"/>
          <w:color w:val="auto"/>
        </w:rPr>
      </w:pPr>
    </w:p>
    <w:p>
      <w:pPr>
        <w:ind w:left="1140" w:hanging="301"/>
        <w:spacing w:after="0"/>
        <w:tabs>
          <w:tab w:leader="none" w:pos="1140" w:val="left"/>
        </w:tabs>
        <w:numPr>
          <w:ilvl w:val="1"/>
          <w:numId w:val="72"/>
        </w:numPr>
        <w:rPr>
          <w:rFonts w:ascii="Arial" w:cs="Arial" w:eastAsia="Arial" w:hAnsi="Arial"/>
          <w:sz w:val="17"/>
          <w:szCs w:val="17"/>
          <w:color w:val="auto"/>
        </w:rPr>
      </w:pPr>
      <w:r>
        <w:rPr>
          <w:rFonts w:ascii="Arial" w:cs="Arial" w:eastAsia="Arial" w:hAnsi="Arial"/>
          <w:sz w:val="17"/>
          <w:szCs w:val="17"/>
          <w:color w:val="auto"/>
        </w:rPr>
        <w:t>Liens for taxes, assessments or other governmental charges or levies on Property not yet due or payable or subject to penalties for</w:t>
      </w:r>
    </w:p>
    <w:p>
      <w:pPr>
        <w:spacing w:after="0" w:line="35" w:lineRule="exact"/>
        <w:rPr>
          <w:sz w:val="20"/>
          <w:szCs w:val="20"/>
          <w:color w:val="auto"/>
        </w:rPr>
      </w:pPr>
    </w:p>
    <w:p>
      <w:pPr>
        <w:ind w:left="420"/>
        <w:spacing w:after="0"/>
        <w:rPr>
          <w:sz w:val="20"/>
          <w:szCs w:val="20"/>
          <w:color w:val="auto"/>
        </w:rPr>
      </w:pPr>
      <w:r>
        <w:rPr>
          <w:rFonts w:ascii="Arial" w:cs="Arial" w:eastAsia="Arial" w:hAnsi="Arial"/>
          <w:sz w:val="18"/>
          <w:szCs w:val="18"/>
          <w:color w:val="auto"/>
        </w:rPr>
        <w:t>non-payment or which are being contested in good faith by appropriate proceedings;</w:t>
      </w:r>
    </w:p>
    <w:p>
      <w:pPr>
        <w:spacing w:after="0" w:line="143" w:lineRule="exact"/>
        <w:rPr>
          <w:sz w:val="20"/>
          <w:szCs w:val="20"/>
          <w:color w:val="auto"/>
        </w:rPr>
      </w:pPr>
    </w:p>
    <w:p>
      <w:pPr>
        <w:ind w:left="5400"/>
        <w:spacing w:after="0"/>
        <w:rPr>
          <w:sz w:val="20"/>
          <w:szCs w:val="20"/>
          <w:color w:val="auto"/>
        </w:rPr>
      </w:pPr>
      <w:r>
        <w:rPr>
          <w:rFonts w:ascii="Arial" w:cs="Arial" w:eastAsia="Arial" w:hAnsi="Arial"/>
          <w:sz w:val="18"/>
          <w:szCs w:val="18"/>
          <w:color w:val="auto"/>
        </w:rPr>
        <w:t>13</w:t>
      </w:r>
    </w:p>
    <w:p>
      <w:pPr>
        <w:sectPr>
          <w:pgSz w:w="11900" w:h="16838" w:orient="portrait"/>
          <w:cols w:equalWidth="0" w:num="1">
            <w:col w:w="10980"/>
          </w:cols>
          <w:pgMar w:left="460" w:top="270" w:right="459" w:bottom="1440" w:gutter="0" w:footer="0" w:header="0"/>
        </w:sectPr>
      </w:pPr>
    </w:p>
    <w:bookmarkStart w:id="56" w:name="page57"/>
    <w:bookmarkEnd w:id="56"/>
    <w:p>
      <w:pPr>
        <w:ind w:right="20" w:firstLine="419"/>
        <w:spacing w:after="0" w:line="277" w:lineRule="auto"/>
        <w:tabs>
          <w:tab w:leader="none" w:pos="678" w:val="left"/>
        </w:tabs>
        <w:numPr>
          <w:ilvl w:val="0"/>
          <w:numId w:val="73"/>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Liens to secure the performance of obligations with respect to statutory or regulatory requirements, bids, trade contracts, leases, statutory obligations, surety and appeal bonds, performance or return of money bonds and other obligations of a like nature;</w:t>
      </w:r>
    </w:p>
    <w:p>
      <w:pPr>
        <w:spacing w:after="0" w:line="62" w:lineRule="exact"/>
        <w:rPr>
          <w:rFonts w:ascii="Arial" w:cs="Arial" w:eastAsia="Arial" w:hAnsi="Arial"/>
          <w:sz w:val="18"/>
          <w:szCs w:val="18"/>
          <w:color w:val="auto"/>
        </w:rPr>
      </w:pPr>
    </w:p>
    <w:p>
      <w:pPr>
        <w:ind w:firstLine="419"/>
        <w:spacing w:after="0" w:line="296" w:lineRule="auto"/>
        <w:tabs>
          <w:tab w:leader="none" w:pos="728" w:val="left"/>
        </w:tabs>
        <w:numPr>
          <w:ilvl w:val="0"/>
          <w:numId w:val="73"/>
        </w:numPr>
        <w:rPr>
          <w:rFonts w:ascii="Arial" w:cs="Arial" w:eastAsia="Arial" w:hAnsi="Arial"/>
          <w:sz w:val="16"/>
          <w:szCs w:val="16"/>
          <w:color w:val="auto"/>
        </w:rPr>
      </w:pPr>
      <w:r>
        <w:rPr>
          <w:rFonts w:ascii="Arial" w:cs="Arial" w:eastAsia="Arial" w:hAnsi="Arial"/>
          <w:sz w:val="16"/>
          <w:szCs w:val="16"/>
          <w:color w:val="auto"/>
        </w:rPr>
        <w:t>pledges or deposits under workmen’s compensation, unemployment insurance, or similar legislation and Liens of judgments thereunder which are not currently dischargeable, or deposits to secure public or statutory obligations, or deposits in connection with obtaining or maintaining self-insurance or to obtain the benefits of any law, regulation or arrangement pertaining to workmen’s compensation, unemployment insurance, old age pensions, social security or similar matters, or deposits of cash or obligations of the United States of America to secure surety, appeal or customs bonds, or deposits in litigation or other proceedings such as, but not limited to, interpleader proceedings;</w:t>
      </w:r>
    </w:p>
    <w:p>
      <w:pPr>
        <w:spacing w:after="0" w:line="53" w:lineRule="exact"/>
        <w:rPr>
          <w:rFonts w:ascii="Arial" w:cs="Arial" w:eastAsia="Arial" w:hAnsi="Arial"/>
          <w:sz w:val="16"/>
          <w:szCs w:val="16"/>
          <w:color w:val="auto"/>
        </w:rPr>
      </w:pPr>
    </w:p>
    <w:p>
      <w:pPr>
        <w:jc w:val="both"/>
        <w:ind w:right="120" w:firstLine="419"/>
        <w:spacing w:after="0" w:line="311" w:lineRule="auto"/>
        <w:tabs>
          <w:tab w:leader="none" w:pos="778" w:val="left"/>
        </w:tabs>
        <w:numPr>
          <w:ilvl w:val="0"/>
          <w:numId w:val="73"/>
        </w:numPr>
        <w:rPr>
          <w:rFonts w:ascii="Arial" w:cs="Arial" w:eastAsia="Arial" w:hAnsi="Arial"/>
          <w:sz w:val="16"/>
          <w:szCs w:val="16"/>
          <w:color w:val="auto"/>
        </w:rPr>
      </w:pPr>
      <w:r>
        <w:rPr>
          <w:rFonts w:ascii="Arial" w:cs="Arial" w:eastAsia="Arial" w:hAnsi="Arial"/>
          <w:sz w:val="16"/>
          <w:szCs w:val="16"/>
          <w:color w:val="auto"/>
        </w:rPr>
        <w:t>Liens consisting of easements, rights-of-way, zoning restrictions, restrictions on the use of real property, and defects and irregularities in the title thereto, landlords’ Liens and other similar Liens none of which interfere materially with the use of the Property covered thereby in the ordinary course of business and which do not, in the Company’s opinion, materially detract from the value of such Properties;</w:t>
      </w:r>
    </w:p>
    <w:p>
      <w:pPr>
        <w:spacing w:after="0" w:line="40" w:lineRule="exact"/>
        <w:rPr>
          <w:rFonts w:ascii="Arial" w:cs="Arial" w:eastAsia="Arial" w:hAnsi="Arial"/>
          <w:sz w:val="16"/>
          <w:szCs w:val="16"/>
          <w:color w:val="auto"/>
        </w:rPr>
      </w:pPr>
    </w:p>
    <w:p>
      <w:pPr>
        <w:ind w:right="320" w:firstLine="419"/>
        <w:spacing w:after="0" w:line="257" w:lineRule="auto"/>
        <w:tabs>
          <w:tab w:leader="none" w:pos="828"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in favor of the United States of America or any state, territory or possession thereof (or the District of Columbia), or any department, agency, instrumentality or political subdivision of the United States of America or any state, territory or possession thereof (or the District of Columbia), to secure partial, progress, advance or other payments pursuant to any contract or statute or to secure any Indebtedness incurred for the purpose of financing all or any part of the purchase price or the cost of constructing or improving the Property subject to such Liens;</w:t>
      </w:r>
    </w:p>
    <w:p>
      <w:pPr>
        <w:spacing w:after="0" w:line="79" w:lineRule="exact"/>
        <w:rPr>
          <w:rFonts w:ascii="Arial" w:cs="Arial" w:eastAsia="Arial" w:hAnsi="Arial"/>
          <w:sz w:val="18"/>
          <w:szCs w:val="18"/>
          <w:color w:val="auto"/>
        </w:rPr>
      </w:pPr>
    </w:p>
    <w:p>
      <w:pPr>
        <w:ind w:right="100" w:firstLine="419"/>
        <w:spacing w:after="0" w:line="290" w:lineRule="auto"/>
        <w:tabs>
          <w:tab w:leader="none" w:pos="818" w:val="left"/>
        </w:tabs>
        <w:numPr>
          <w:ilvl w:val="0"/>
          <w:numId w:val="73"/>
        </w:numPr>
        <w:rPr>
          <w:rFonts w:ascii="Arial" w:cs="Arial" w:eastAsia="Arial" w:hAnsi="Arial"/>
          <w:sz w:val="16"/>
          <w:szCs w:val="16"/>
          <w:color w:val="auto"/>
        </w:rPr>
      </w:pPr>
      <w:r>
        <w:rPr>
          <w:rFonts w:ascii="Arial" w:cs="Arial" w:eastAsia="Arial" w:hAnsi="Arial"/>
          <w:sz w:val="16"/>
          <w:szCs w:val="16"/>
          <w:color w:val="auto"/>
        </w:rPr>
        <w:t xml:space="preserve">Liens securing Indebtedness incurred to finance the construction, acquisition (including acquisition through merger or consolidation), purchase or lease of, or repairs, improvements or additions to, Property (including shares of capital stock), plant or equipment of the Company, any Guarantor or the Restricted Subsidiaries;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however, that the Lien shall not extend to any other Property owned by the Company, any Guarantor or any of the Restricted Subsidiaries at the time the Lien is incurred (other than Property affixed or appurtenant thereto), and the Indebtedness (other than any interest thereon) secured by the Lien shall not be incurred more than 18 months after the later of the acquisition, completion of construction, repair, improvement, addition or commencement of full operation of the Property subject to the Lien; </w:t>
      </w:r>
      <w:r>
        <w:rPr>
          <w:rFonts w:ascii="Arial" w:cs="Arial" w:eastAsia="Arial" w:hAnsi="Arial"/>
          <w:sz w:val="16"/>
          <w:szCs w:val="16"/>
          <w:i w:val="1"/>
          <w:iCs w:val="1"/>
          <w:color w:val="auto"/>
        </w:rPr>
        <w:t>provided</w:t>
      </w:r>
      <w:r>
        <w:rPr>
          <w:rFonts w:ascii="Arial" w:cs="Arial" w:eastAsia="Arial" w:hAnsi="Arial"/>
          <w:sz w:val="16"/>
          <w:szCs w:val="16"/>
          <w:color w:val="auto"/>
        </w:rPr>
        <w:t xml:space="preserve"> </w:t>
      </w:r>
      <w:r>
        <w:rPr>
          <w:rFonts w:ascii="Arial" w:cs="Arial" w:eastAsia="Arial" w:hAnsi="Arial"/>
          <w:sz w:val="16"/>
          <w:szCs w:val="16"/>
          <w:i w:val="1"/>
          <w:iCs w:val="1"/>
          <w:color w:val="auto"/>
        </w:rPr>
        <w:t>further</w:t>
      </w:r>
      <w:r>
        <w:rPr>
          <w:rFonts w:ascii="Arial" w:cs="Arial" w:eastAsia="Arial" w:hAnsi="Arial"/>
          <w:sz w:val="16"/>
          <w:szCs w:val="16"/>
          <w:color w:val="auto"/>
        </w:rPr>
        <w:t>, however, that individual financings of equipment or other fixed or capital assets otherwise permitted to be secured under the Indenture</w:t>
      </w:r>
      <w:r>
        <w:rPr>
          <w:rFonts w:ascii="Arial" w:cs="Arial" w:eastAsia="Arial" w:hAnsi="Arial"/>
          <w:sz w:val="16"/>
          <w:szCs w:val="16"/>
          <w:i w:val="1"/>
          <w:iCs w:val="1"/>
          <w:color w:val="auto"/>
        </w:rPr>
        <w:t xml:space="preserve"> </w:t>
      </w:r>
      <w:r>
        <w:rPr>
          <w:rFonts w:ascii="Arial" w:cs="Arial" w:eastAsia="Arial" w:hAnsi="Arial"/>
          <w:sz w:val="16"/>
          <w:szCs w:val="16"/>
          <w:color w:val="auto"/>
        </w:rPr>
        <w:t>provided by any Person (or its Affiliates) may be cross-collateralized to other such financings provided by such Person (or its Affiliates);</w:t>
      </w:r>
    </w:p>
    <w:p>
      <w:pPr>
        <w:spacing w:after="0" w:line="57" w:lineRule="exact"/>
        <w:rPr>
          <w:rFonts w:ascii="Arial" w:cs="Arial" w:eastAsia="Arial" w:hAnsi="Arial"/>
          <w:sz w:val="16"/>
          <w:szCs w:val="16"/>
          <w:color w:val="auto"/>
        </w:rPr>
      </w:pPr>
    </w:p>
    <w:p>
      <w:pPr>
        <w:ind w:right="560" w:firstLine="419"/>
        <w:spacing w:after="0" w:line="277" w:lineRule="auto"/>
        <w:tabs>
          <w:tab w:leader="none" w:pos="768"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incurred to secure cash or investment management or custodial services in the ordinary course of business or on insurance policies and the proceeds thereof securing the financing of the premiums with respect thereto;</w:t>
      </w:r>
    </w:p>
    <w:p>
      <w:pPr>
        <w:spacing w:after="0" w:line="62" w:lineRule="exact"/>
        <w:rPr>
          <w:rFonts w:ascii="Arial" w:cs="Arial" w:eastAsia="Arial" w:hAnsi="Arial"/>
          <w:sz w:val="18"/>
          <w:szCs w:val="18"/>
          <w:color w:val="auto"/>
        </w:rPr>
      </w:pPr>
    </w:p>
    <w:p>
      <w:pPr>
        <w:ind w:right="460" w:firstLine="419"/>
        <w:spacing w:after="0" w:line="277" w:lineRule="auto"/>
        <w:tabs>
          <w:tab w:leader="none" w:pos="818"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securing Hedging Obligations designed for protection from fluctuations in interest rates, currencies, equities or the price of commodities and not for speculative purposes;</w:t>
      </w:r>
    </w:p>
    <w:p>
      <w:pPr>
        <w:spacing w:after="0" w:line="62" w:lineRule="exact"/>
        <w:rPr>
          <w:rFonts w:ascii="Arial" w:cs="Arial" w:eastAsia="Arial" w:hAnsi="Arial"/>
          <w:sz w:val="18"/>
          <w:szCs w:val="18"/>
          <w:color w:val="auto"/>
        </w:rPr>
      </w:pPr>
    </w:p>
    <w:p>
      <w:pPr>
        <w:ind w:firstLine="419"/>
        <w:spacing w:after="0" w:line="277" w:lineRule="auto"/>
        <w:tabs>
          <w:tab w:leader="none" w:pos="868"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securing reimbursement obligations with respect to commercial letters of credit in the ordinary course of business that encumber cash, documents and other Property relating to such letters of credit and proceeds thereof;</w:t>
      </w:r>
    </w:p>
    <w:p>
      <w:pPr>
        <w:spacing w:after="0" w:line="62" w:lineRule="exact"/>
        <w:rPr>
          <w:rFonts w:ascii="Arial" w:cs="Arial" w:eastAsia="Arial" w:hAnsi="Arial"/>
          <w:sz w:val="18"/>
          <w:szCs w:val="18"/>
          <w:color w:val="auto"/>
        </w:rPr>
      </w:pPr>
    </w:p>
    <w:p>
      <w:pPr>
        <w:ind w:right="180" w:firstLine="419"/>
        <w:spacing w:after="0" w:line="263" w:lineRule="auto"/>
        <w:tabs>
          <w:tab w:leader="none" w:pos="918" w:val="left"/>
        </w:tabs>
        <w:numPr>
          <w:ilvl w:val="0"/>
          <w:numId w:val="73"/>
        </w:numPr>
        <w:rPr>
          <w:rFonts w:ascii="Arial" w:cs="Arial" w:eastAsia="Arial" w:hAnsi="Arial"/>
          <w:sz w:val="18"/>
          <w:szCs w:val="18"/>
          <w:color w:val="auto"/>
        </w:rPr>
      </w:pPr>
      <w:r>
        <w:rPr>
          <w:rFonts w:ascii="Arial" w:cs="Arial" w:eastAsia="Arial" w:hAnsi="Arial"/>
          <w:sz w:val="18"/>
          <w:szCs w:val="18"/>
          <w:color w:val="auto"/>
        </w:rPr>
        <w:t>in connection with the sale or transfer of any equity interests or other assets in a consolidation, merger or sale of assets transaction permitted under the Indenture, customary rights and restrictions contained in agreements relating to such sale or transfer pending the completion thereof;</w:t>
      </w:r>
    </w:p>
    <w:p>
      <w:pPr>
        <w:spacing w:after="0" w:line="75" w:lineRule="exact"/>
        <w:rPr>
          <w:rFonts w:ascii="Arial" w:cs="Arial" w:eastAsia="Arial" w:hAnsi="Arial"/>
          <w:sz w:val="18"/>
          <w:szCs w:val="18"/>
          <w:color w:val="auto"/>
        </w:rPr>
      </w:pPr>
    </w:p>
    <w:p>
      <w:pPr>
        <w:ind w:left="820" w:hanging="401"/>
        <w:spacing w:after="0"/>
        <w:tabs>
          <w:tab w:leader="none" w:pos="820" w:val="left"/>
        </w:tabs>
        <w:numPr>
          <w:ilvl w:val="0"/>
          <w:numId w:val="73"/>
        </w:numPr>
        <w:rPr>
          <w:rFonts w:ascii="Arial" w:cs="Arial" w:eastAsia="Arial" w:hAnsi="Arial"/>
          <w:sz w:val="18"/>
          <w:szCs w:val="18"/>
          <w:color w:val="auto"/>
        </w:rPr>
      </w:pPr>
      <w:r>
        <w:rPr>
          <w:rFonts w:ascii="Arial" w:cs="Arial" w:eastAsia="Arial" w:hAnsi="Arial"/>
          <w:sz w:val="18"/>
          <w:szCs w:val="18"/>
          <w:color w:val="auto"/>
        </w:rPr>
        <w:t>Liens on Property incurred in connection with any transaction permitted under Section 5.02 below; or</w:t>
      </w:r>
    </w:p>
    <w:p>
      <w:pPr>
        <w:spacing w:after="0" w:line="158" w:lineRule="exact"/>
        <w:rPr>
          <w:sz w:val="20"/>
          <w:szCs w:val="20"/>
          <w:color w:val="auto"/>
        </w:rPr>
      </w:pPr>
    </w:p>
    <w:p>
      <w:pPr>
        <w:jc w:val="center"/>
        <w:ind w:right="420"/>
        <w:spacing w:after="0"/>
        <w:rPr>
          <w:sz w:val="20"/>
          <w:szCs w:val="20"/>
          <w:color w:val="auto"/>
        </w:rPr>
      </w:pPr>
      <w:r>
        <w:rPr>
          <w:rFonts w:ascii="Arial" w:cs="Arial" w:eastAsia="Arial" w:hAnsi="Arial"/>
          <w:sz w:val="18"/>
          <w:szCs w:val="18"/>
          <w:color w:val="auto"/>
        </w:rPr>
        <w:t>14</w:t>
      </w:r>
    </w:p>
    <w:p>
      <w:pPr>
        <w:sectPr>
          <w:pgSz w:w="11900" w:h="16838" w:orient="portrait"/>
          <w:cols w:equalWidth="0" w:num="1">
            <w:col w:w="10560"/>
          </w:cols>
          <w:pgMar w:left="880" w:top="274" w:right="459" w:bottom="1440" w:gutter="0" w:footer="0" w:header="0"/>
        </w:sectPr>
      </w:pPr>
    </w:p>
    <w:bookmarkStart w:id="57" w:name="page58"/>
    <w:bookmarkEnd w:id="57"/>
    <w:p>
      <w:pPr>
        <w:ind w:left="440" w:right="100" w:firstLine="419"/>
        <w:spacing w:after="0" w:line="257" w:lineRule="auto"/>
        <w:tabs>
          <w:tab w:leader="none" w:pos="1208" w:val="left"/>
        </w:tabs>
        <w:numPr>
          <w:ilvl w:val="1"/>
          <w:numId w:val="7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extensions, renewals, refinancing or replacements of any Lien referred to in clauses (i) through (xix) above without increase of the principal of the Indebtedness secured by such Lien (except to the extent of any fees or other costs associated with any such extension, renewal or replacement); provided, however, that any Liens permitted by any of clauses (i) through (xix) above shall not extend to or cover any Property of the Company, any Guarantor or any of the Restricted Subsidiaries, as the case may be, other than the Property specified in such clauses and improvements to such Property.</w:t>
      </w:r>
    </w:p>
    <w:p>
      <w:pPr>
        <w:spacing w:after="0" w:line="187" w:lineRule="exact"/>
        <w:rPr>
          <w:rFonts w:ascii="Arial" w:cs="Arial" w:eastAsia="Arial" w:hAnsi="Arial"/>
          <w:sz w:val="18"/>
          <w:szCs w:val="18"/>
          <w:color w:val="auto"/>
        </w:rPr>
      </w:pPr>
    </w:p>
    <w:p>
      <w:pPr>
        <w:ind w:right="20" w:firstLine="436"/>
        <w:spacing w:after="0" w:line="270" w:lineRule="auto"/>
        <w:tabs>
          <w:tab w:leader="none" w:pos="685" w:val="left"/>
        </w:tabs>
        <w:numPr>
          <w:ilvl w:val="0"/>
          <w:numId w:val="75"/>
        </w:numPr>
        <w:rPr>
          <w:rFonts w:ascii="Arial" w:cs="Arial" w:eastAsia="Arial" w:hAnsi="Arial"/>
          <w:sz w:val="17"/>
          <w:szCs w:val="17"/>
          <w:color w:val="auto"/>
        </w:rPr>
      </w:pPr>
      <w:r>
        <w:rPr>
          <w:rFonts w:ascii="Arial" w:cs="Arial" w:eastAsia="Arial" w:hAnsi="Arial"/>
          <w:sz w:val="17"/>
          <w:szCs w:val="17"/>
          <w:color w:val="auto"/>
        </w:rPr>
        <w:t xml:space="preserve">Notwithstanding the restrictions set forth in Section 5.01(a) above, the Company, any Guarantor and the Restricted Subsidiaries shall be permitted to incur Indebtedness secured by Liens which would otherwise be subject to the restrictions set forth in Section 5.01(a) above without equally and ratably securing the Notes;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after giving effect to such Indebtedness and the retirement of any Indebtedness secured by Liens (other than Liens described in clauses (i) through (xx) of Section 5.01(b) above) that is being retired substantially concurrently with such incurrence, the aggregate amount of all Indebtedness secured by Liens (not including Liens permitted under clauses (i) through (xx) of Section 5.01(b) above), together with all Attributable Debt outstanding pursuant to Section 5.02(b) below, does not exceed 15% of the Company’s and any Guarantor’s Consolidated Net Tangible Assets, taken as a whole. The Company, any Guarantor and the Restricted Subsidiaries also may, without equally and ratably securing the Notes, create or incur Liens that extend, renew, substitute or replace (including successive extensions, renewals, substitutions or replacements), in whole or in part, any Lien permitted pursuant to the preceding sentence.</w:t>
      </w:r>
    </w:p>
    <w:p>
      <w:pPr>
        <w:spacing w:after="0" w:line="18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5.02. </w:t>
      </w:r>
      <w:r>
        <w:rPr>
          <w:rFonts w:ascii="Arial" w:cs="Arial" w:eastAsia="Arial" w:hAnsi="Arial"/>
          <w:sz w:val="18"/>
          <w:szCs w:val="18"/>
          <w:i w:val="1"/>
          <w:iCs w:val="1"/>
          <w:color w:val="auto"/>
        </w:rPr>
        <w:t>Limitation on Sale and Leaseback Transactions.</w:t>
      </w:r>
    </w:p>
    <w:p>
      <w:pPr>
        <w:spacing w:after="0" w:line="225" w:lineRule="exact"/>
        <w:rPr>
          <w:sz w:val="20"/>
          <w:szCs w:val="20"/>
          <w:color w:val="auto"/>
        </w:rPr>
      </w:pPr>
    </w:p>
    <w:p>
      <w:pPr>
        <w:ind w:right="100" w:firstLine="436"/>
        <w:spacing w:after="0" w:line="277" w:lineRule="auto"/>
        <w:tabs>
          <w:tab w:leader="none" w:pos="685" w:val="left"/>
        </w:tabs>
        <w:numPr>
          <w:ilvl w:val="0"/>
          <w:numId w:val="76"/>
        </w:numPr>
        <w:rPr>
          <w:rFonts w:ascii="Arial" w:cs="Arial" w:eastAsia="Arial" w:hAnsi="Arial"/>
          <w:sz w:val="18"/>
          <w:szCs w:val="18"/>
          <w:color w:val="auto"/>
        </w:rPr>
      </w:pPr>
      <w:r>
        <w:rPr>
          <w:rFonts w:ascii="Arial" w:cs="Arial" w:eastAsia="Arial" w:hAnsi="Arial"/>
          <w:sz w:val="18"/>
          <w:szCs w:val="18"/>
          <w:color w:val="auto"/>
        </w:rPr>
        <w:t>The Company and any Guarantor shall not, and shall not permit any Guarantor or any of the Restricted Subsidiaries to, enter into any sale and leaseback transaction for the sale and leasing back of any Property, whether now owned or hereafter acquired, unless:</w:t>
      </w:r>
    </w:p>
    <w:p>
      <w:pPr>
        <w:spacing w:after="0" w:line="62" w:lineRule="exact"/>
        <w:rPr>
          <w:rFonts w:ascii="Arial" w:cs="Arial" w:eastAsia="Arial" w:hAnsi="Arial"/>
          <w:sz w:val="18"/>
          <w:szCs w:val="18"/>
          <w:color w:val="auto"/>
        </w:rPr>
      </w:pPr>
    </w:p>
    <w:p>
      <w:pPr>
        <w:ind w:left="1080" w:hanging="221"/>
        <w:spacing w:after="0"/>
        <w:tabs>
          <w:tab w:leader="none" w:pos="1080" w:val="left"/>
        </w:tabs>
        <w:numPr>
          <w:ilvl w:val="1"/>
          <w:numId w:val="76"/>
        </w:numPr>
        <w:rPr>
          <w:rFonts w:ascii="Arial" w:cs="Arial" w:eastAsia="Arial" w:hAnsi="Arial"/>
          <w:sz w:val="18"/>
          <w:szCs w:val="18"/>
          <w:color w:val="auto"/>
        </w:rPr>
      </w:pPr>
      <w:r>
        <w:rPr>
          <w:rFonts w:ascii="Arial" w:cs="Arial" w:eastAsia="Arial" w:hAnsi="Arial"/>
          <w:sz w:val="18"/>
          <w:szCs w:val="18"/>
          <w:color w:val="auto"/>
        </w:rPr>
        <w:t>such transaction was entered into prior to the date of issuance of the Initial Notes of each series;</w:t>
      </w:r>
    </w:p>
    <w:p>
      <w:pPr>
        <w:spacing w:after="0" w:line="117" w:lineRule="exact"/>
        <w:rPr>
          <w:rFonts w:ascii="Arial" w:cs="Arial" w:eastAsia="Arial" w:hAnsi="Arial"/>
          <w:sz w:val="18"/>
          <w:szCs w:val="18"/>
          <w:color w:val="auto"/>
        </w:rPr>
      </w:pPr>
    </w:p>
    <w:p>
      <w:pPr>
        <w:ind w:left="440" w:right="200" w:firstLine="419"/>
        <w:spacing w:after="0" w:line="277" w:lineRule="auto"/>
        <w:tabs>
          <w:tab w:leader="none" w:pos="1128" w:val="left"/>
        </w:tabs>
        <w:numPr>
          <w:ilvl w:val="1"/>
          <w:numId w:val="76"/>
        </w:numPr>
        <w:rPr>
          <w:rFonts w:ascii="Arial" w:cs="Arial" w:eastAsia="Arial" w:hAnsi="Arial"/>
          <w:sz w:val="18"/>
          <w:szCs w:val="18"/>
          <w:color w:val="auto"/>
        </w:rPr>
      </w:pPr>
      <w:r>
        <w:rPr>
          <w:rFonts w:ascii="Arial" w:cs="Arial" w:eastAsia="Arial" w:hAnsi="Arial"/>
          <w:sz w:val="18"/>
          <w:szCs w:val="18"/>
          <w:color w:val="auto"/>
        </w:rPr>
        <w:t>such transaction was for the sale and leasing back to the Company, any Guarantor or any of the Company’s or the Guarantor’s wholly-owned Subsidiaries of any Property by the Company, any Guarantor or any of the Restricted Subsidiaries;</w:t>
      </w:r>
    </w:p>
    <w:p>
      <w:pPr>
        <w:spacing w:after="0" w:line="62" w:lineRule="exact"/>
        <w:rPr>
          <w:rFonts w:ascii="Arial" w:cs="Arial" w:eastAsia="Arial" w:hAnsi="Arial"/>
          <w:sz w:val="18"/>
          <w:szCs w:val="18"/>
          <w:color w:val="auto"/>
        </w:rPr>
      </w:pPr>
    </w:p>
    <w:p>
      <w:pPr>
        <w:ind w:left="440" w:right="500" w:firstLine="419"/>
        <w:spacing w:after="0" w:line="277" w:lineRule="auto"/>
        <w:tabs>
          <w:tab w:leader="none" w:pos="1178" w:val="left"/>
        </w:tabs>
        <w:numPr>
          <w:ilvl w:val="1"/>
          <w:numId w:val="76"/>
        </w:numPr>
        <w:rPr>
          <w:rFonts w:ascii="Arial" w:cs="Arial" w:eastAsia="Arial" w:hAnsi="Arial"/>
          <w:sz w:val="18"/>
          <w:szCs w:val="18"/>
          <w:color w:val="auto"/>
        </w:rPr>
      </w:pPr>
      <w:r>
        <w:rPr>
          <w:rFonts w:ascii="Arial" w:cs="Arial" w:eastAsia="Arial" w:hAnsi="Arial"/>
          <w:sz w:val="18"/>
          <w:szCs w:val="18"/>
          <w:color w:val="auto"/>
        </w:rPr>
        <w:t>such transaction involves a lease for not more than five years (or which may be terminated by the Company, any Guarantor or the Restricted Subsidiaries within a period of not more than five years);</w:t>
      </w:r>
    </w:p>
    <w:p>
      <w:pPr>
        <w:spacing w:after="0" w:line="62" w:lineRule="exact"/>
        <w:rPr>
          <w:rFonts w:ascii="Arial" w:cs="Arial" w:eastAsia="Arial" w:hAnsi="Arial"/>
          <w:sz w:val="18"/>
          <w:szCs w:val="18"/>
          <w:color w:val="auto"/>
        </w:rPr>
      </w:pPr>
    </w:p>
    <w:p>
      <w:pPr>
        <w:ind w:left="1160" w:hanging="301"/>
        <w:spacing w:after="0"/>
        <w:tabs>
          <w:tab w:leader="none" w:pos="1160" w:val="left"/>
        </w:tabs>
        <w:numPr>
          <w:ilvl w:val="1"/>
          <w:numId w:val="76"/>
        </w:numPr>
        <w:rPr>
          <w:rFonts w:ascii="Arial" w:cs="Arial" w:eastAsia="Arial" w:hAnsi="Arial"/>
          <w:sz w:val="18"/>
          <w:szCs w:val="18"/>
          <w:color w:val="auto"/>
        </w:rPr>
      </w:pPr>
      <w:r>
        <w:rPr>
          <w:rFonts w:ascii="Arial" w:cs="Arial" w:eastAsia="Arial" w:hAnsi="Arial"/>
          <w:sz w:val="18"/>
          <w:szCs w:val="18"/>
          <w:color w:val="auto"/>
        </w:rPr>
        <w:t>such transaction involves the sale and leaseback of the Company’s property listed below:</w:t>
      </w:r>
    </w:p>
    <w:p>
      <w:pPr>
        <w:spacing w:after="0" w:line="117" w:lineRule="exact"/>
        <w:rPr>
          <w:sz w:val="20"/>
          <w:szCs w:val="20"/>
          <w:color w:val="auto"/>
        </w:rPr>
      </w:pPr>
    </w:p>
    <w:p>
      <w:pPr>
        <w:ind w:left="1200"/>
        <w:spacing w:after="0"/>
        <w:rPr>
          <w:sz w:val="20"/>
          <w:szCs w:val="20"/>
          <w:color w:val="auto"/>
        </w:rPr>
      </w:pPr>
      <w:r>
        <w:rPr>
          <w:rFonts w:ascii="Arial" w:cs="Arial" w:eastAsia="Arial" w:hAnsi="Arial"/>
          <w:sz w:val="18"/>
          <w:szCs w:val="18"/>
          <w:color w:val="auto"/>
        </w:rPr>
        <w:t>Marvell Semiconductor, Inc. — Marvell Lane, Santa Clara, CA 95054</w:t>
      </w:r>
    </w:p>
    <w:p>
      <w:pPr>
        <w:spacing w:after="0" w:line="117" w:lineRule="exact"/>
        <w:rPr>
          <w:sz w:val="20"/>
          <w:szCs w:val="20"/>
          <w:color w:val="auto"/>
        </w:rPr>
      </w:pPr>
    </w:p>
    <w:p>
      <w:pPr>
        <w:ind w:left="1200"/>
        <w:spacing w:after="0"/>
        <w:rPr>
          <w:sz w:val="20"/>
          <w:szCs w:val="20"/>
          <w:color w:val="auto"/>
        </w:rPr>
      </w:pPr>
      <w:r>
        <w:rPr>
          <w:rFonts w:ascii="Arial" w:cs="Arial" w:eastAsia="Arial" w:hAnsi="Arial"/>
          <w:sz w:val="18"/>
          <w:szCs w:val="18"/>
          <w:color w:val="auto"/>
        </w:rPr>
        <w:t>Marvell Technology (Shanghai) Ltd. — Keyuan Rd. Pudong District, Shanghai, China 201203</w:t>
      </w:r>
    </w:p>
    <w:p>
      <w:pPr>
        <w:spacing w:after="0" w:line="117" w:lineRule="exact"/>
        <w:rPr>
          <w:sz w:val="20"/>
          <w:szCs w:val="20"/>
          <w:color w:val="auto"/>
        </w:rPr>
      </w:pPr>
    </w:p>
    <w:p>
      <w:pPr>
        <w:ind w:left="440" w:right="40" w:firstLine="419"/>
        <w:spacing w:after="0" w:line="286" w:lineRule="auto"/>
        <w:tabs>
          <w:tab w:leader="none" w:pos="1118" w:val="left"/>
        </w:tabs>
        <w:numPr>
          <w:ilvl w:val="0"/>
          <w:numId w:val="77"/>
        </w:numPr>
        <w:rPr>
          <w:rFonts w:ascii="Arial" w:cs="Arial" w:eastAsia="Arial" w:hAnsi="Arial"/>
          <w:sz w:val="17"/>
          <w:szCs w:val="17"/>
          <w:color w:val="auto"/>
        </w:rPr>
      </w:pPr>
      <w:r>
        <w:rPr>
          <w:rFonts w:ascii="Arial" w:cs="Arial" w:eastAsia="Arial" w:hAnsi="Arial"/>
          <w:sz w:val="17"/>
          <w:szCs w:val="17"/>
          <w:color w:val="auto"/>
        </w:rPr>
        <w:t>the Company, any Guarantor or any of the Restricted Subsidiaries would be entitled to incur Indebtedness secured by a Lien with respect to such sale and leaseback transaction without equally and ratably securing the Notes pursuant to Section 5.01(b) of this Third Supplemental Indenture (except with respect to a Lien permitted by Section 5.01(b)(xix) of this Third Supplemental Indenture); or</w:t>
      </w:r>
    </w:p>
    <w:p>
      <w:pPr>
        <w:spacing w:after="0" w:line="57" w:lineRule="exact"/>
        <w:rPr>
          <w:rFonts w:ascii="Arial" w:cs="Arial" w:eastAsia="Arial" w:hAnsi="Arial"/>
          <w:sz w:val="17"/>
          <w:szCs w:val="17"/>
          <w:color w:val="auto"/>
        </w:rPr>
      </w:pPr>
    </w:p>
    <w:p>
      <w:pPr>
        <w:ind w:left="440" w:firstLine="419"/>
        <w:spacing w:after="0" w:line="272" w:lineRule="auto"/>
        <w:tabs>
          <w:tab w:leader="none" w:pos="1168" w:val="left"/>
        </w:tabs>
        <w:numPr>
          <w:ilvl w:val="0"/>
          <w:numId w:val="77"/>
        </w:numPr>
        <w:rPr>
          <w:rFonts w:ascii="Arial" w:cs="Arial" w:eastAsia="Arial" w:hAnsi="Arial"/>
          <w:sz w:val="17"/>
          <w:szCs w:val="17"/>
          <w:color w:val="auto"/>
        </w:rPr>
      </w:pPr>
      <w:r>
        <w:rPr>
          <w:rFonts w:ascii="Arial" w:cs="Arial" w:eastAsia="Arial" w:hAnsi="Arial"/>
          <w:sz w:val="17"/>
          <w:szCs w:val="17"/>
          <w:color w:val="auto"/>
        </w:rPr>
        <w:t xml:space="preserve">the Company, any Guarantor or any of the Restricted Subsidiaries applies (or to the extent the proceeds are received directly by any of the Restricted Subsidiaries, such Restricted Subsidiary applies) an amount equal to the net proceeds from the sale of such Property to the purchase of other Property or assets used or useful in the Company’s, such Guarantor’s or such Restricted Subsidiary’s business or to the retirement of the Company’s, such Guarantor’s or such Restricted Subsidiary’s Indebtedness that is pari passu in right of payment with the Notes within 365 days before or after the effective date of any such sale and leaseback transaction;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in lieu of applying such amount to the retirement of pari passu Indebtedness, the Company may deliver Notes with an aggregate outstanding amount equal to such net proceeds to the Trustee for cancellation as provided in Section 3.03 of this Third Supplemental Indenture.</w:t>
      </w:r>
    </w:p>
    <w:p>
      <w:pPr>
        <w:spacing w:after="0" w:line="11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15</w:t>
      </w:r>
    </w:p>
    <w:p>
      <w:pPr>
        <w:sectPr>
          <w:pgSz w:w="11900" w:h="16838" w:orient="portrait"/>
          <w:cols w:equalWidth="0" w:num="1">
            <w:col w:w="11000"/>
          </w:cols>
          <w:pgMar w:left="440" w:top="274" w:right="459" w:bottom="1440" w:gutter="0" w:footer="0" w:header="0"/>
        </w:sectPr>
      </w:pPr>
    </w:p>
    <w:bookmarkStart w:id="58" w:name="page59"/>
    <w:bookmarkEnd w:id="58"/>
    <w:p>
      <w:pPr>
        <w:ind w:left="-20" w:right="40" w:firstLine="436"/>
        <w:spacing w:after="0" w:line="275" w:lineRule="auto"/>
        <w:tabs>
          <w:tab w:leader="none" w:pos="675" w:val="left"/>
        </w:tabs>
        <w:numPr>
          <w:ilvl w:val="0"/>
          <w:numId w:val="78"/>
        </w:numPr>
        <w:rPr>
          <w:rFonts w:ascii="Arial" w:cs="Arial" w:eastAsia="Arial" w:hAnsi="Arial"/>
          <w:sz w:val="17"/>
          <w:szCs w:val="17"/>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Notwithstanding the restrictions set forth in Section 5.02(a) above, the Company, any Guarantor and the Restricted Subsidiaries may enter into any sale and leaseback transaction that would otherwise be subject to the restrictions set forth in Section 5.02(a) above, if after giving effect thereto the aggregate amount of all Attributable Debt with respect to such transactions (not including Attributable Debt permitted under clauses (i) through (vi) of Section 5.02(a) above), together with all Indebtedness outstanding pursuant to Section 5.01(c) of this Third Supplemental Indenture, does not exceed 15% of the Company’s and any Guarantor’s Consolidated Net Tangible Assets, taken as a whole.</w:t>
      </w:r>
    </w:p>
    <w:p>
      <w:pPr>
        <w:spacing w:after="0" w:line="176" w:lineRule="exact"/>
        <w:rPr>
          <w:sz w:val="20"/>
          <w:szCs w:val="20"/>
          <w:color w:val="auto"/>
        </w:rPr>
      </w:pPr>
    </w:p>
    <w:p>
      <w:pPr>
        <w:ind w:left="420"/>
        <w:spacing w:after="0"/>
        <w:rPr>
          <w:sz w:val="20"/>
          <w:szCs w:val="20"/>
          <w:color w:val="auto"/>
        </w:rPr>
      </w:pPr>
      <w:r>
        <w:rPr>
          <w:rFonts w:ascii="Arial" w:cs="Arial" w:eastAsia="Arial" w:hAnsi="Arial"/>
          <w:sz w:val="18"/>
          <w:szCs w:val="18"/>
          <w:color w:val="auto"/>
        </w:rPr>
        <w:t xml:space="preserve">Section 5.03. </w:t>
      </w:r>
      <w:r>
        <w:rPr>
          <w:rFonts w:ascii="Arial" w:cs="Arial" w:eastAsia="Arial" w:hAnsi="Arial"/>
          <w:sz w:val="18"/>
          <w:szCs w:val="18"/>
          <w:i w:val="1"/>
          <w:iCs w:val="1"/>
          <w:color w:val="auto"/>
        </w:rPr>
        <w:t>Events of Default.</w:t>
      </w:r>
    </w:p>
    <w:p>
      <w:pPr>
        <w:spacing w:after="0" w:line="225" w:lineRule="exact"/>
        <w:rPr>
          <w:sz w:val="20"/>
          <w:szCs w:val="20"/>
          <w:color w:val="auto"/>
        </w:rPr>
      </w:pPr>
    </w:p>
    <w:p>
      <w:pPr>
        <w:ind w:left="-20" w:right="340" w:firstLine="987"/>
        <w:spacing w:after="0" w:line="277" w:lineRule="auto"/>
        <w:tabs>
          <w:tab w:leader="none" w:pos="1216" w:val="left"/>
        </w:tabs>
        <w:numPr>
          <w:ilvl w:val="1"/>
          <w:numId w:val="79"/>
        </w:numPr>
        <w:rPr>
          <w:rFonts w:ascii="Arial" w:cs="Arial" w:eastAsia="Arial" w:hAnsi="Arial"/>
          <w:sz w:val="18"/>
          <w:szCs w:val="18"/>
          <w:color w:val="auto"/>
        </w:rPr>
      </w:pPr>
      <w:r>
        <w:rPr>
          <w:rFonts w:ascii="Arial" w:cs="Arial" w:eastAsia="Arial" w:hAnsi="Arial"/>
          <w:sz w:val="18"/>
          <w:szCs w:val="18"/>
          <w:color w:val="auto"/>
        </w:rPr>
        <w:t>Section 501 of the Base Indenture shall not apply to the Notes. Instead, each of the following events shall be an “</w:t>
      </w:r>
      <w:r>
        <w:rPr>
          <w:rFonts w:ascii="Arial" w:cs="Arial" w:eastAsia="Arial" w:hAnsi="Arial"/>
          <w:sz w:val="18"/>
          <w:szCs w:val="18"/>
          <w:u w:val="single" w:color="auto"/>
          <w:color w:val="auto"/>
        </w:rPr>
        <w:t>Event of Default</w:t>
      </w:r>
      <w:r>
        <w:rPr>
          <w:rFonts w:ascii="Arial" w:cs="Arial" w:eastAsia="Arial" w:hAnsi="Arial"/>
          <w:sz w:val="18"/>
          <w:szCs w:val="18"/>
          <w:color w:val="auto"/>
        </w:rPr>
        <w:t>” with respect to each series of Notes:</w:t>
      </w:r>
    </w:p>
    <w:p>
      <w:pPr>
        <w:spacing w:after="0" w:line="62" w:lineRule="exact"/>
        <w:rPr>
          <w:rFonts w:ascii="Arial" w:cs="Arial" w:eastAsia="Arial" w:hAnsi="Arial"/>
          <w:sz w:val="18"/>
          <w:szCs w:val="18"/>
          <w:color w:val="auto"/>
        </w:rPr>
      </w:pPr>
    </w:p>
    <w:p>
      <w:pPr>
        <w:ind w:left="420" w:right="20" w:firstLine="419"/>
        <w:spacing w:after="0" w:line="277" w:lineRule="auto"/>
        <w:tabs>
          <w:tab w:leader="none" w:pos="1058" w:val="left"/>
        </w:tabs>
        <w:numPr>
          <w:ilvl w:val="0"/>
          <w:numId w:val="80"/>
        </w:numPr>
        <w:rPr>
          <w:rFonts w:ascii="Arial" w:cs="Arial" w:eastAsia="Arial" w:hAnsi="Arial"/>
          <w:sz w:val="18"/>
          <w:szCs w:val="18"/>
          <w:color w:val="auto"/>
        </w:rPr>
      </w:pPr>
      <w:r>
        <w:rPr>
          <w:rFonts w:ascii="Arial" w:cs="Arial" w:eastAsia="Arial" w:hAnsi="Arial"/>
          <w:sz w:val="18"/>
          <w:szCs w:val="18"/>
          <w:color w:val="auto"/>
        </w:rPr>
        <w:t>default in the payment of any installment of interest on any Note of such series when due and payable, and the continuance of that default for 30 days;</w:t>
      </w:r>
    </w:p>
    <w:p>
      <w:pPr>
        <w:spacing w:after="0" w:line="62" w:lineRule="exact"/>
        <w:rPr>
          <w:rFonts w:ascii="Arial" w:cs="Arial" w:eastAsia="Arial" w:hAnsi="Arial"/>
          <w:sz w:val="18"/>
          <w:szCs w:val="18"/>
          <w:color w:val="auto"/>
        </w:rPr>
      </w:pPr>
    </w:p>
    <w:p>
      <w:pPr>
        <w:ind w:left="420" w:right="480" w:firstLine="419"/>
        <w:spacing w:after="0" w:line="277" w:lineRule="auto"/>
        <w:tabs>
          <w:tab w:leader="none" w:pos="1108" w:val="left"/>
        </w:tabs>
        <w:numPr>
          <w:ilvl w:val="0"/>
          <w:numId w:val="80"/>
        </w:numPr>
        <w:rPr>
          <w:rFonts w:ascii="Arial" w:cs="Arial" w:eastAsia="Arial" w:hAnsi="Arial"/>
          <w:sz w:val="18"/>
          <w:szCs w:val="18"/>
          <w:color w:val="auto"/>
        </w:rPr>
      </w:pPr>
      <w:r>
        <w:rPr>
          <w:rFonts w:ascii="Arial" w:cs="Arial" w:eastAsia="Arial" w:hAnsi="Arial"/>
          <w:sz w:val="18"/>
          <w:szCs w:val="18"/>
          <w:color w:val="auto"/>
        </w:rPr>
        <w:t>default in the payment of the principal of, or any premium on, any Note of such series when due and payable (whether at its Stated Maturity, upon redemption or otherwise);</w:t>
      </w:r>
    </w:p>
    <w:p>
      <w:pPr>
        <w:spacing w:after="0" w:line="62" w:lineRule="exact"/>
        <w:rPr>
          <w:rFonts w:ascii="Arial" w:cs="Arial" w:eastAsia="Arial" w:hAnsi="Arial"/>
          <w:sz w:val="18"/>
          <w:szCs w:val="18"/>
          <w:color w:val="auto"/>
        </w:rPr>
      </w:pPr>
    </w:p>
    <w:p>
      <w:pPr>
        <w:ind w:left="420" w:right="200" w:firstLine="419"/>
        <w:spacing w:after="0" w:line="308" w:lineRule="auto"/>
        <w:tabs>
          <w:tab w:leader="none" w:pos="1158" w:val="left"/>
        </w:tabs>
        <w:numPr>
          <w:ilvl w:val="0"/>
          <w:numId w:val="80"/>
        </w:numPr>
        <w:rPr>
          <w:rFonts w:ascii="Arial" w:cs="Arial" w:eastAsia="Arial" w:hAnsi="Arial"/>
          <w:sz w:val="17"/>
          <w:szCs w:val="17"/>
          <w:color w:val="auto"/>
        </w:rPr>
      </w:pPr>
      <w:r>
        <w:rPr>
          <w:rFonts w:ascii="Arial" w:cs="Arial" w:eastAsia="Arial" w:hAnsi="Arial"/>
          <w:sz w:val="17"/>
          <w:szCs w:val="17"/>
          <w:color w:val="auto"/>
        </w:rPr>
        <w:t>a failure by the Company to repurchase Notes of such series tendered for repurchase following the occurrence of a Change of Control Repurchase Event with respect to such series of Notes in conformity with Section 4.02 of this Third Supplemental Indenture;</w:t>
      </w:r>
    </w:p>
    <w:p>
      <w:pPr>
        <w:spacing w:after="0" w:line="38" w:lineRule="exact"/>
        <w:rPr>
          <w:rFonts w:ascii="Arial" w:cs="Arial" w:eastAsia="Arial" w:hAnsi="Arial"/>
          <w:sz w:val="17"/>
          <w:szCs w:val="17"/>
          <w:color w:val="auto"/>
        </w:rPr>
      </w:pPr>
    </w:p>
    <w:p>
      <w:pPr>
        <w:jc w:val="both"/>
        <w:ind w:left="420" w:right="120" w:firstLine="419"/>
        <w:spacing w:after="0" w:line="311" w:lineRule="auto"/>
        <w:tabs>
          <w:tab w:leader="none" w:pos="1148" w:val="left"/>
        </w:tabs>
        <w:numPr>
          <w:ilvl w:val="0"/>
          <w:numId w:val="80"/>
        </w:numPr>
        <w:rPr>
          <w:rFonts w:ascii="Arial" w:cs="Arial" w:eastAsia="Arial" w:hAnsi="Arial"/>
          <w:sz w:val="16"/>
          <w:szCs w:val="16"/>
          <w:color w:val="auto"/>
        </w:rPr>
      </w:pPr>
      <w:r>
        <w:rPr>
          <w:rFonts w:ascii="Arial" w:cs="Arial" w:eastAsia="Arial" w:hAnsi="Arial"/>
          <w:sz w:val="16"/>
          <w:szCs w:val="16"/>
          <w:color w:val="auto"/>
        </w:rPr>
        <w:t>a failure to observe or perform any other covenant or agreement in respect of such series of Notes, which failure continues for 90 days after written notice to the Company by the Trustee or to the Company and the Trustee by the Holders of not less than 25% in principal amount of outstanding Notes of such series (including any Additional Notes of such series), requiring the Company to remedy the same;</w:t>
      </w:r>
    </w:p>
    <w:p>
      <w:pPr>
        <w:spacing w:after="0" w:line="40" w:lineRule="exact"/>
        <w:rPr>
          <w:rFonts w:ascii="Arial" w:cs="Arial" w:eastAsia="Arial" w:hAnsi="Arial"/>
          <w:sz w:val="16"/>
          <w:szCs w:val="16"/>
          <w:color w:val="auto"/>
        </w:rPr>
      </w:pPr>
    </w:p>
    <w:p>
      <w:pPr>
        <w:ind w:left="420" w:right="20" w:firstLine="419"/>
        <w:spacing w:after="0" w:line="271" w:lineRule="auto"/>
        <w:tabs>
          <w:tab w:leader="none" w:pos="1098" w:val="left"/>
        </w:tabs>
        <w:numPr>
          <w:ilvl w:val="0"/>
          <w:numId w:val="80"/>
        </w:numPr>
        <w:rPr>
          <w:rFonts w:ascii="Arial" w:cs="Arial" w:eastAsia="Arial" w:hAnsi="Arial"/>
          <w:sz w:val="17"/>
          <w:szCs w:val="17"/>
          <w:color w:val="auto"/>
        </w:rPr>
      </w:pPr>
      <w:r>
        <w:rPr>
          <w:rFonts w:ascii="Arial" w:cs="Arial" w:eastAsia="Arial" w:hAnsi="Arial"/>
          <w:sz w:val="17"/>
          <w:szCs w:val="17"/>
          <w:color w:val="auto"/>
        </w:rPr>
        <w:t xml:space="preserve">(A) a failure to make any payment at maturity, including any applicable grace period, on any of the Company’s Indebtedness (other than Indebtedness the Company owes to any of its Subsidiaries) outstanding in an amount in excess of $100,000,000 or (B) a default on any of the Company’s Indebtedness (other than Indebtedness the Company owes to any of its Subsidiaries), which default results in the acceleration of such Indebtedness in an amount in excess of $100,000,000 without such Indebtedness having been discharged or the acceleration having been cured, waived, rescinded or annulled, in the case of clause (A) or (B) above, for a period of 30 days after written notice thereof to the Company by the Trustee or to the Company and the Trustee by the Holders of not less than 25% in principal amount of outstanding Notes of a series (including any Additional Notes of such series); </w:t>
      </w:r>
      <w:r>
        <w:rPr>
          <w:rFonts w:ascii="Arial" w:cs="Arial" w:eastAsia="Arial" w:hAnsi="Arial"/>
          <w:sz w:val="17"/>
          <w:szCs w:val="17"/>
          <w:i w:val="1"/>
          <w:iCs w:val="1"/>
          <w:color w:val="auto"/>
        </w:rPr>
        <w:t>provided, however</w:t>
      </w:r>
      <w:r>
        <w:rPr>
          <w:rFonts w:ascii="Arial" w:cs="Arial" w:eastAsia="Arial" w:hAnsi="Arial"/>
          <w:sz w:val="17"/>
          <w:szCs w:val="17"/>
          <w:color w:val="auto"/>
        </w:rPr>
        <w:t>, that if any failure, default or acceleration referred to in clause (A) or (B) above ceases or is cured, waived, rescinded or annulled, then the Event of Default shall be deemed cured;</w:t>
      </w:r>
    </w:p>
    <w:p>
      <w:pPr>
        <w:spacing w:after="0" w:line="70" w:lineRule="exact"/>
        <w:rPr>
          <w:rFonts w:ascii="Arial" w:cs="Arial" w:eastAsia="Arial" w:hAnsi="Arial"/>
          <w:sz w:val="17"/>
          <w:szCs w:val="17"/>
          <w:color w:val="auto"/>
        </w:rPr>
      </w:pPr>
    </w:p>
    <w:p>
      <w:pPr>
        <w:ind w:left="420" w:right="180" w:firstLine="419"/>
        <w:spacing w:after="0" w:line="259" w:lineRule="auto"/>
        <w:tabs>
          <w:tab w:leader="none" w:pos="1148" w:val="left"/>
        </w:tabs>
        <w:numPr>
          <w:ilvl w:val="0"/>
          <w:numId w:val="80"/>
        </w:numPr>
        <w:rPr>
          <w:rFonts w:ascii="Arial" w:cs="Arial" w:eastAsia="Arial" w:hAnsi="Arial"/>
          <w:sz w:val="18"/>
          <w:szCs w:val="18"/>
          <w:color w:val="auto"/>
        </w:rPr>
      </w:pPr>
      <w:r>
        <w:rPr>
          <w:rFonts w:ascii="Arial" w:cs="Arial" w:eastAsia="Arial" w:hAnsi="Arial"/>
          <w:sz w:val="18"/>
          <w:szCs w:val="18"/>
          <w:color w:val="auto"/>
        </w:rPr>
        <w:t>the Company pursuant to or within the meaning of any Bankruptcy Law (A) commences a voluntary case; (B) consents to the entry of an order for relief against it in an involuntary case; (C) consents to the appointment of a Custodian of it or for all or substantially all of its property; (D) makes a general assignment for the benefit of its creditors; or (E) admits in writing its inability to generally pay its debts as such debts become due; or takes any comparable action under any foreign laws relating to insolvency;</w:t>
      </w:r>
    </w:p>
    <w:p>
      <w:pPr>
        <w:spacing w:after="0" w:line="78" w:lineRule="exact"/>
        <w:rPr>
          <w:rFonts w:ascii="Arial" w:cs="Arial" w:eastAsia="Arial" w:hAnsi="Arial"/>
          <w:sz w:val="18"/>
          <w:szCs w:val="18"/>
          <w:color w:val="auto"/>
        </w:rPr>
      </w:pPr>
    </w:p>
    <w:p>
      <w:pPr>
        <w:ind w:left="420" w:firstLine="419"/>
        <w:spacing w:after="0" w:line="311" w:lineRule="auto"/>
        <w:tabs>
          <w:tab w:leader="none" w:pos="1198" w:val="left"/>
        </w:tabs>
        <w:numPr>
          <w:ilvl w:val="0"/>
          <w:numId w:val="80"/>
        </w:numPr>
        <w:rPr>
          <w:rFonts w:ascii="Arial" w:cs="Arial" w:eastAsia="Arial" w:hAnsi="Arial"/>
          <w:sz w:val="16"/>
          <w:szCs w:val="16"/>
          <w:color w:val="auto"/>
        </w:rPr>
      </w:pPr>
      <w:r>
        <w:rPr>
          <w:rFonts w:ascii="Arial" w:cs="Arial" w:eastAsia="Arial" w:hAnsi="Arial"/>
          <w:sz w:val="16"/>
          <w:szCs w:val="16"/>
          <w:color w:val="auto"/>
        </w:rPr>
        <w:t>a court of competent jurisdiction enters an order or decree under any Bankruptcy Law that (A) is for relief against the Company in an involuntary case; (B) appoints a Custodian of the Company or for all or substantially all of its property; or (C) orders the winding up or liquidation of the Company; or any similar relief is granted under any foreign laws; and the order or decree remains unstayed and in effect for 60 days; and</w:t>
      </w:r>
    </w:p>
    <w:p>
      <w:pPr>
        <w:spacing w:after="0" w:line="8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16</w:t>
      </w:r>
    </w:p>
    <w:p>
      <w:pPr>
        <w:sectPr>
          <w:pgSz w:w="11900" w:h="16838" w:orient="portrait"/>
          <w:cols w:equalWidth="0" w:num="1">
            <w:col w:w="10980"/>
          </w:cols>
          <w:pgMar w:left="460" w:top="274" w:right="459" w:bottom="1440" w:gutter="0" w:footer="0" w:header="0"/>
        </w:sectPr>
      </w:pPr>
    </w:p>
    <w:bookmarkStart w:id="59" w:name="page60"/>
    <w:bookmarkEnd w:id="59"/>
    <w:p>
      <w:pPr>
        <w:jc w:val="both"/>
        <w:ind w:left="440" w:right="40" w:firstLine="419"/>
        <w:spacing w:after="0" w:line="301" w:lineRule="auto"/>
        <w:tabs>
          <w:tab w:leader="none" w:pos="1268" w:val="left"/>
        </w:tabs>
        <w:numPr>
          <w:ilvl w:val="1"/>
          <w:numId w:val="81"/>
        </w:numPr>
        <w:rPr>
          <w:rFonts w:ascii="Arial" w:cs="Arial" w:eastAsia="Arial" w:hAnsi="Arial"/>
          <w:sz w:val="16"/>
          <w:szCs w:val="16"/>
          <w:color w:val="auto"/>
        </w:rPr>
      </w:pPr>
      <w:r>
        <w:rPr>
          <w:rFonts w:ascii="Arial" w:cs="Arial" w:eastAsia="Arial" w:hAnsi="Arial"/>
          <w:sz w:val="16"/>
          <w:szCs w:val="16"/>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guarantee with respect to such series of Notes is not issued as required under Section 7.01 or any guarantee in respect of the Notes of that series ceases to be in full force and effect (except as contemplated by the terms of this Third Supplemental Indenture or such guarantee) or is declared null and void in a judicial proceeding or the Guarantor denies or disaffirms its obligations under this Third Supplemental Indenture or the guarantee, in each case unless the guarantee has been released pursuant to the terms of this Third Supplemental Indenture or such guarantee.</w:t>
      </w:r>
    </w:p>
    <w:p>
      <w:pPr>
        <w:spacing w:after="0" w:line="157" w:lineRule="exact"/>
        <w:rPr>
          <w:rFonts w:ascii="Arial" w:cs="Arial" w:eastAsia="Arial" w:hAnsi="Arial"/>
          <w:sz w:val="16"/>
          <w:szCs w:val="16"/>
          <w:color w:val="auto"/>
        </w:rPr>
      </w:pPr>
    </w:p>
    <w:p>
      <w:pPr>
        <w:ind w:right="100" w:firstLine="436"/>
        <w:spacing w:after="0" w:line="277" w:lineRule="auto"/>
        <w:tabs>
          <w:tab w:leader="none" w:pos="695" w:val="left"/>
        </w:tabs>
        <w:numPr>
          <w:ilvl w:val="0"/>
          <w:numId w:val="82"/>
        </w:numPr>
        <w:rPr>
          <w:rFonts w:ascii="Arial" w:cs="Arial" w:eastAsia="Arial" w:hAnsi="Arial"/>
          <w:sz w:val="18"/>
          <w:szCs w:val="18"/>
          <w:color w:val="auto"/>
        </w:rPr>
      </w:pPr>
      <w:r>
        <w:rPr>
          <w:rFonts w:ascii="Arial" w:cs="Arial" w:eastAsia="Arial" w:hAnsi="Arial"/>
          <w:sz w:val="18"/>
          <w:szCs w:val="18"/>
          <w:color w:val="auto"/>
        </w:rPr>
        <w:t>A notice of Default with respect to any Default given by the Trustee or Holders under this Section must specify the Default, demand that it be remedied and state that the notice is a “Notice of Default.”</w:t>
      </w:r>
    </w:p>
    <w:p>
      <w:pPr>
        <w:spacing w:after="0" w:line="170" w:lineRule="exact"/>
        <w:rPr>
          <w:sz w:val="20"/>
          <w:szCs w:val="20"/>
          <w:color w:val="auto"/>
        </w:rPr>
      </w:pPr>
    </w:p>
    <w:p>
      <w:pPr>
        <w:ind w:firstLine="440"/>
        <w:spacing w:after="0" w:line="308" w:lineRule="auto"/>
        <w:rPr>
          <w:sz w:val="20"/>
          <w:szCs w:val="20"/>
          <w:color w:val="auto"/>
        </w:rPr>
      </w:pPr>
      <w:r>
        <w:rPr>
          <w:rFonts w:ascii="Arial" w:cs="Arial" w:eastAsia="Arial" w:hAnsi="Arial"/>
          <w:sz w:val="17"/>
          <w:szCs w:val="17"/>
          <w:color w:val="auto"/>
        </w:rPr>
        <w:t xml:space="preserve">Section 5.04. </w:t>
      </w:r>
      <w:r>
        <w:rPr>
          <w:rFonts w:ascii="Arial" w:cs="Arial" w:eastAsia="Arial" w:hAnsi="Arial"/>
          <w:sz w:val="17"/>
          <w:szCs w:val="17"/>
          <w:i w:val="1"/>
          <w:iCs w:val="1"/>
          <w:color w:val="auto"/>
        </w:rPr>
        <w:t>References in Base Indenture.</w:t>
      </w:r>
      <w:r>
        <w:rPr>
          <w:rFonts w:ascii="Arial" w:cs="Arial" w:eastAsia="Arial" w:hAnsi="Arial"/>
          <w:sz w:val="17"/>
          <w:szCs w:val="17"/>
          <w:color w:val="auto"/>
        </w:rPr>
        <w:t xml:space="preserve"> References to “Section 501(4) or Section 501(5),” and “Section 501(3)” in the Base Indenture shall be deemed to refer to “Section 5.03(a)(vi) or Section 5.03(a)(vii)” and “Section 5.03(a)(iv)” of this Third Supplemental Indenture, respectively.</w:t>
      </w:r>
    </w:p>
    <w:p>
      <w:pPr>
        <w:spacing w:after="0" w:line="358" w:lineRule="exact"/>
        <w:rPr>
          <w:sz w:val="20"/>
          <w:szCs w:val="20"/>
          <w:color w:val="auto"/>
        </w:rPr>
      </w:pPr>
    </w:p>
    <w:p>
      <w:pPr>
        <w:ind w:left="4980"/>
        <w:spacing w:after="0"/>
        <w:rPr>
          <w:sz w:val="20"/>
          <w:szCs w:val="20"/>
          <w:color w:val="auto"/>
        </w:rPr>
      </w:pPr>
      <w:r>
        <w:rPr>
          <w:rFonts w:ascii="Arial" w:cs="Arial" w:eastAsia="Arial" w:hAnsi="Arial"/>
          <w:sz w:val="18"/>
          <w:szCs w:val="18"/>
          <w:b w:val="1"/>
          <w:bCs w:val="1"/>
          <w:u w:val="single" w:color="auto"/>
          <w:color w:val="auto"/>
        </w:rPr>
        <w:t>ARTICLE VI</w:t>
      </w:r>
    </w:p>
    <w:p>
      <w:pPr>
        <w:spacing w:after="0" w:line="27" w:lineRule="exact"/>
        <w:rPr>
          <w:sz w:val="20"/>
          <w:szCs w:val="20"/>
          <w:color w:val="auto"/>
        </w:rPr>
      </w:pPr>
    </w:p>
    <w:p>
      <w:pPr>
        <w:ind w:left="4920"/>
        <w:spacing w:after="0"/>
        <w:rPr>
          <w:sz w:val="20"/>
          <w:szCs w:val="20"/>
          <w:color w:val="auto"/>
        </w:rPr>
      </w:pPr>
      <w:r>
        <w:rPr>
          <w:rFonts w:ascii="Arial" w:cs="Arial" w:eastAsia="Arial" w:hAnsi="Arial"/>
          <w:sz w:val="18"/>
          <w:szCs w:val="18"/>
          <w:color w:val="auto"/>
        </w:rPr>
        <w:t>DEFEASANCE</w:t>
      </w:r>
    </w:p>
    <w:p>
      <w:pPr>
        <w:spacing w:after="0" w:line="211" w:lineRule="exact"/>
        <w:rPr>
          <w:sz w:val="20"/>
          <w:szCs w:val="20"/>
          <w:color w:val="auto"/>
        </w:rPr>
      </w:pPr>
    </w:p>
    <w:p>
      <w:pPr>
        <w:jc w:val="both"/>
        <w:ind w:right="460" w:firstLine="440"/>
        <w:spacing w:after="0" w:line="286" w:lineRule="auto"/>
        <w:rPr>
          <w:sz w:val="20"/>
          <w:szCs w:val="20"/>
          <w:color w:val="auto"/>
        </w:rPr>
      </w:pPr>
      <w:r>
        <w:rPr>
          <w:rFonts w:ascii="Arial" w:cs="Arial" w:eastAsia="Arial" w:hAnsi="Arial"/>
          <w:sz w:val="17"/>
          <w:szCs w:val="17"/>
          <w:color w:val="auto"/>
        </w:rPr>
        <w:t xml:space="preserve">Section 6.01. </w:t>
      </w:r>
      <w:r>
        <w:rPr>
          <w:rFonts w:ascii="Arial" w:cs="Arial" w:eastAsia="Arial" w:hAnsi="Arial"/>
          <w:sz w:val="17"/>
          <w:szCs w:val="17"/>
          <w:i w:val="1"/>
          <w:iCs w:val="1"/>
          <w:color w:val="auto"/>
        </w:rPr>
        <w:t>Covenant Defeasance</w:t>
      </w:r>
      <w:r>
        <w:rPr>
          <w:rFonts w:ascii="Arial" w:cs="Arial" w:eastAsia="Arial" w:hAnsi="Arial"/>
          <w:sz w:val="17"/>
          <w:szCs w:val="17"/>
          <w:color w:val="auto"/>
        </w:rPr>
        <w:t>. In addition to the covenants specified in Section 1303 of the Base Indenture, the Company may omit to comply with respect to a series of Notes with any term, provision or condition set forth in Sections 4.02, 5.01 and 5.02 of this Third Supplemental Indenture by complying with the requirements of Section 1303 of the Base Indenture in respect of such series.</w:t>
      </w:r>
    </w:p>
    <w:p>
      <w:pPr>
        <w:spacing w:after="0" w:line="377" w:lineRule="exact"/>
        <w:rPr>
          <w:sz w:val="20"/>
          <w:szCs w:val="20"/>
          <w:color w:val="auto"/>
        </w:rPr>
      </w:pPr>
    </w:p>
    <w:p>
      <w:pPr>
        <w:ind w:left="4940"/>
        <w:spacing w:after="0"/>
        <w:rPr>
          <w:sz w:val="20"/>
          <w:szCs w:val="20"/>
          <w:color w:val="auto"/>
        </w:rPr>
      </w:pPr>
      <w:r>
        <w:rPr>
          <w:rFonts w:ascii="Arial" w:cs="Arial" w:eastAsia="Arial" w:hAnsi="Arial"/>
          <w:sz w:val="18"/>
          <w:szCs w:val="18"/>
          <w:b w:val="1"/>
          <w:bCs w:val="1"/>
          <w:u w:val="single" w:color="auto"/>
          <w:color w:val="auto"/>
        </w:rPr>
        <w:t>ARTICLE VII</w:t>
      </w:r>
    </w:p>
    <w:p>
      <w:pPr>
        <w:spacing w:after="0" w:line="27" w:lineRule="exact"/>
        <w:rPr>
          <w:sz w:val="20"/>
          <w:szCs w:val="20"/>
          <w:color w:val="auto"/>
        </w:rPr>
      </w:pPr>
    </w:p>
    <w:p>
      <w:pPr>
        <w:ind w:left="4960"/>
        <w:spacing w:after="0"/>
        <w:rPr>
          <w:sz w:val="20"/>
          <w:szCs w:val="20"/>
          <w:color w:val="auto"/>
        </w:rPr>
      </w:pPr>
      <w:r>
        <w:rPr>
          <w:rFonts w:ascii="Arial" w:cs="Arial" w:eastAsia="Arial" w:hAnsi="Arial"/>
          <w:sz w:val="18"/>
          <w:szCs w:val="18"/>
          <w:color w:val="auto"/>
        </w:rPr>
        <w:t>GUARANTEE</w:t>
      </w:r>
    </w:p>
    <w:p>
      <w:pPr>
        <w:spacing w:after="0" w:line="211" w:lineRule="exact"/>
        <w:rPr>
          <w:sz w:val="20"/>
          <w:szCs w:val="20"/>
          <w:color w:val="auto"/>
        </w:rPr>
      </w:pPr>
    </w:p>
    <w:p>
      <w:pPr>
        <w:ind w:left="440"/>
        <w:spacing w:after="0"/>
        <w:rPr>
          <w:sz w:val="20"/>
          <w:szCs w:val="20"/>
          <w:color w:val="auto"/>
        </w:rPr>
      </w:pPr>
      <w:r>
        <w:rPr>
          <w:rFonts w:ascii="Arial" w:cs="Arial" w:eastAsia="Arial" w:hAnsi="Arial"/>
          <w:sz w:val="18"/>
          <w:szCs w:val="18"/>
          <w:color w:val="auto"/>
        </w:rPr>
        <w:t xml:space="preserve">Section 7.01. </w:t>
      </w:r>
      <w:r>
        <w:rPr>
          <w:rFonts w:ascii="Arial" w:cs="Arial" w:eastAsia="Arial" w:hAnsi="Arial"/>
          <w:sz w:val="18"/>
          <w:szCs w:val="18"/>
          <w:i w:val="1"/>
          <w:iCs w:val="1"/>
          <w:color w:val="auto"/>
        </w:rPr>
        <w:t>Guarantee.</w:t>
      </w:r>
    </w:p>
    <w:p>
      <w:pPr>
        <w:spacing w:after="0" w:line="225" w:lineRule="exact"/>
        <w:rPr>
          <w:sz w:val="20"/>
          <w:szCs w:val="20"/>
          <w:color w:val="auto"/>
        </w:rPr>
      </w:pPr>
    </w:p>
    <w:p>
      <w:pPr>
        <w:ind w:firstLine="436"/>
        <w:spacing w:after="0" w:line="291" w:lineRule="auto"/>
        <w:tabs>
          <w:tab w:leader="none" w:pos="685" w:val="left"/>
        </w:tabs>
        <w:numPr>
          <w:ilvl w:val="0"/>
          <w:numId w:val="83"/>
        </w:numPr>
        <w:rPr>
          <w:rFonts w:ascii="Arial" w:cs="Arial" w:eastAsia="Arial" w:hAnsi="Arial"/>
          <w:sz w:val="16"/>
          <w:szCs w:val="16"/>
          <w:color w:val="auto"/>
        </w:rPr>
      </w:pPr>
      <w:r>
        <w:rPr>
          <w:rFonts w:ascii="Arial" w:cs="Arial" w:eastAsia="Arial" w:hAnsi="Arial"/>
          <w:sz w:val="16"/>
          <w:szCs w:val="16"/>
          <w:color w:val="auto"/>
        </w:rPr>
        <w:t>Subject to the provisions of this Article VII, any future Guarantor that is required to provide a guarantee, upon execution of a supplemental indenture hereto (substantially in the form of Exhibit C), will fully, unconditionally and irrevocably guarantee, as primary obligor and not merely as surety, jointly and severally with each other Guarantor, to each Holder and the Trustee, the full and punctual payment when due, whether at maturity, by acceleration, by redemption or otherwise, of the principal of, premium, if any, and interest on the Notes and all other obligations and liabilities of the Company under this Third Supplemental Indenture (including, without limitation, interest accruing after the filing of any petition in bankruptcy, or the commencement of any insolvency, reorganization or like proceeding, relating to the Company or any Guarantor, whether or not a claim for post-filing or post-petition interest is allowed in such proceeding (all the foregoing being hereinafter collectively called the “</w:t>
      </w:r>
      <w:r>
        <w:rPr>
          <w:rFonts w:ascii="Arial" w:cs="Arial" w:eastAsia="Arial" w:hAnsi="Arial"/>
          <w:sz w:val="16"/>
          <w:szCs w:val="16"/>
          <w:u w:val="single" w:color="auto"/>
          <w:color w:val="auto"/>
        </w:rPr>
        <w:t>Guaranteed Obligations</w:t>
      </w:r>
      <w:r>
        <w:rPr>
          <w:rFonts w:ascii="Arial" w:cs="Arial" w:eastAsia="Arial" w:hAnsi="Arial"/>
          <w:sz w:val="16"/>
          <w:szCs w:val="16"/>
          <w:color w:val="auto"/>
        </w:rPr>
        <w:t>”).</w:t>
      </w:r>
    </w:p>
    <w:p>
      <w:pPr>
        <w:spacing w:after="0" w:line="166" w:lineRule="exact"/>
        <w:rPr>
          <w:rFonts w:ascii="Arial" w:cs="Arial" w:eastAsia="Arial" w:hAnsi="Arial"/>
          <w:sz w:val="16"/>
          <w:szCs w:val="16"/>
          <w:color w:val="auto"/>
        </w:rPr>
      </w:pPr>
    </w:p>
    <w:p>
      <w:pPr>
        <w:ind w:right="280" w:firstLine="436"/>
        <w:spacing w:after="0" w:line="277" w:lineRule="auto"/>
        <w:tabs>
          <w:tab w:leader="none" w:pos="695" w:val="left"/>
        </w:tabs>
        <w:numPr>
          <w:ilvl w:val="0"/>
          <w:numId w:val="83"/>
        </w:numPr>
        <w:rPr>
          <w:rFonts w:ascii="Arial" w:cs="Arial" w:eastAsia="Arial" w:hAnsi="Arial"/>
          <w:sz w:val="18"/>
          <w:szCs w:val="18"/>
          <w:color w:val="auto"/>
        </w:rPr>
      </w:pPr>
      <w:r>
        <w:rPr>
          <w:rFonts w:ascii="Arial" w:cs="Arial" w:eastAsia="Arial" w:hAnsi="Arial"/>
          <w:sz w:val="18"/>
          <w:szCs w:val="18"/>
          <w:color w:val="auto"/>
        </w:rPr>
        <w:t>The Guarantors shall include each existing and future domestic subsidiary of the Company that becomes a borrower or guarantor under the Revolving Credit Agreement or the 2024 and 2026 Term Loan Agreement, on a senior, unsecured basis.</w:t>
      </w:r>
    </w:p>
    <w:p>
      <w:pPr>
        <w:spacing w:after="0" w:line="170" w:lineRule="exact"/>
        <w:rPr>
          <w:rFonts w:ascii="Arial" w:cs="Arial" w:eastAsia="Arial" w:hAnsi="Arial"/>
          <w:sz w:val="18"/>
          <w:szCs w:val="18"/>
          <w:color w:val="auto"/>
        </w:rPr>
      </w:pPr>
    </w:p>
    <w:p>
      <w:pPr>
        <w:ind w:right="20" w:firstLine="436"/>
        <w:spacing w:after="0" w:line="275" w:lineRule="auto"/>
        <w:tabs>
          <w:tab w:leader="none" w:pos="685" w:val="left"/>
        </w:tabs>
        <w:numPr>
          <w:ilvl w:val="0"/>
          <w:numId w:val="83"/>
        </w:numPr>
        <w:rPr>
          <w:rFonts w:ascii="Arial" w:cs="Arial" w:eastAsia="Arial" w:hAnsi="Arial"/>
          <w:sz w:val="17"/>
          <w:szCs w:val="17"/>
          <w:color w:val="auto"/>
        </w:rPr>
      </w:pPr>
      <w:r>
        <w:rPr>
          <w:rFonts w:ascii="Arial" w:cs="Arial" w:eastAsia="Arial" w:hAnsi="Arial"/>
          <w:sz w:val="17"/>
          <w:szCs w:val="17"/>
          <w:color w:val="auto"/>
        </w:rPr>
        <w:t>Each Guarantor shall agree that the Guaranteed Obligations will rank equally in right of payment with all of such Guarantor’s existing and future senior, unsecured Indebtedness, will rank senior in right of payment to all of such Guarantor’s existing and future unsecured, subordinated Indebtedness, will be effectively subordinated to all of such Guarantor’s existing and future secured Indebtedness, to the extent of the value of the assets securing such Indebtedness, and will be structurally subordinated to all of the existing and future Indebtedness (including trade payables) of such Guarantor’s non-Guarantor Subsidiaries (other than Indebtedness and liabilities owed to such Guarantor, if any).</w:t>
      </w:r>
    </w:p>
    <w:p>
      <w:pPr>
        <w:spacing w:after="0" w:line="176" w:lineRule="exact"/>
        <w:rPr>
          <w:rFonts w:ascii="Arial" w:cs="Arial" w:eastAsia="Arial" w:hAnsi="Arial"/>
          <w:sz w:val="17"/>
          <w:szCs w:val="17"/>
          <w:color w:val="auto"/>
        </w:rPr>
      </w:pPr>
    </w:p>
    <w:p>
      <w:pPr>
        <w:ind w:right="120" w:firstLine="436"/>
        <w:spacing w:after="0" w:line="277" w:lineRule="auto"/>
        <w:tabs>
          <w:tab w:leader="none" w:pos="695" w:val="left"/>
        </w:tabs>
        <w:numPr>
          <w:ilvl w:val="0"/>
          <w:numId w:val="83"/>
        </w:numPr>
        <w:rPr>
          <w:rFonts w:ascii="Arial" w:cs="Arial" w:eastAsia="Arial" w:hAnsi="Arial"/>
          <w:sz w:val="18"/>
          <w:szCs w:val="18"/>
          <w:color w:val="auto"/>
        </w:rPr>
      </w:pPr>
      <w:r>
        <w:rPr>
          <w:rFonts w:ascii="Arial" w:cs="Arial" w:eastAsia="Arial" w:hAnsi="Arial"/>
          <w:sz w:val="18"/>
          <w:szCs w:val="18"/>
          <w:color w:val="auto"/>
        </w:rPr>
        <w:t>Each Guarantor shall agree that its guarantee set forth in this Section 7.01 shall remain in full force and effect notwithstanding the absence of the endorsement of any notation of such guarantee on the Notes.</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17</w:t>
      </w:r>
    </w:p>
    <w:p>
      <w:pPr>
        <w:sectPr>
          <w:pgSz w:w="11900" w:h="16838" w:orient="portrait"/>
          <w:cols w:equalWidth="0" w:num="1">
            <w:col w:w="10980"/>
          </w:cols>
          <w:pgMar w:left="440" w:top="274" w:right="479" w:bottom="1440" w:gutter="0" w:footer="0" w:header="0"/>
        </w:sectPr>
      </w:pPr>
    </w:p>
    <w:bookmarkStart w:id="60" w:name="page61"/>
    <w:bookmarkEnd w:id="60"/>
    <w:p>
      <w:pPr>
        <w:ind w:left="4" w:right="160" w:firstLine="436"/>
        <w:spacing w:after="0" w:line="263" w:lineRule="auto"/>
        <w:tabs>
          <w:tab w:leader="none" w:pos="689" w:val="left"/>
        </w:tabs>
        <w:numPr>
          <w:ilvl w:val="1"/>
          <w:numId w:val="84"/>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Guarantor shall further agree (to the extent permitted by law) that the Guaranteed Obligations may be extended or renewed, in whole or in part, without notice or further assent from it, and that it will remain bound under this Article VII notwithstanding any extension or renewal of any Guaranteed Obligation.</w:t>
      </w:r>
    </w:p>
    <w:p>
      <w:pPr>
        <w:spacing w:after="0" w:line="183" w:lineRule="exact"/>
        <w:rPr>
          <w:rFonts w:ascii="Arial" w:cs="Arial" w:eastAsia="Arial" w:hAnsi="Arial"/>
          <w:sz w:val="18"/>
          <w:szCs w:val="18"/>
          <w:color w:val="auto"/>
        </w:rPr>
      </w:pPr>
    </w:p>
    <w:p>
      <w:pPr>
        <w:ind w:left="4" w:right="260" w:firstLine="436"/>
        <w:spacing w:after="0" w:line="342" w:lineRule="auto"/>
        <w:tabs>
          <w:tab w:leader="none" w:pos="669" w:val="left"/>
        </w:tabs>
        <w:numPr>
          <w:ilvl w:val="1"/>
          <w:numId w:val="84"/>
        </w:numPr>
        <w:rPr>
          <w:rFonts w:ascii="Arial" w:cs="Arial" w:eastAsia="Arial" w:hAnsi="Arial"/>
          <w:sz w:val="16"/>
          <w:szCs w:val="16"/>
          <w:color w:val="auto"/>
        </w:rPr>
      </w:pPr>
      <w:r>
        <w:rPr>
          <w:rFonts w:ascii="Arial" w:cs="Arial" w:eastAsia="Arial" w:hAnsi="Arial"/>
          <w:sz w:val="16"/>
          <w:szCs w:val="16"/>
          <w:color w:val="auto"/>
        </w:rPr>
        <w:t>Each Guarantor shall waive presentation to, demand of payment from and protest to the Company of any of the Guaranteed Obligations and shall also waive notice of protest for nonpayment. Each Guarantor shall waive notice of any default under the Notes or the Guaranteed Obligations.</w:t>
      </w:r>
    </w:p>
    <w:p>
      <w:pPr>
        <w:spacing w:after="0" w:line="123" w:lineRule="exact"/>
        <w:rPr>
          <w:rFonts w:ascii="Arial" w:cs="Arial" w:eastAsia="Arial" w:hAnsi="Arial"/>
          <w:sz w:val="16"/>
          <w:szCs w:val="16"/>
          <w:color w:val="auto"/>
        </w:rPr>
      </w:pPr>
    </w:p>
    <w:p>
      <w:pPr>
        <w:ind w:left="4" w:firstLine="436"/>
        <w:spacing w:after="0" w:line="342" w:lineRule="auto"/>
        <w:tabs>
          <w:tab w:leader="none" w:pos="699" w:val="left"/>
        </w:tabs>
        <w:numPr>
          <w:ilvl w:val="1"/>
          <w:numId w:val="84"/>
        </w:numPr>
        <w:rPr>
          <w:rFonts w:ascii="Arial" w:cs="Arial" w:eastAsia="Arial" w:hAnsi="Arial"/>
          <w:sz w:val="16"/>
          <w:szCs w:val="16"/>
          <w:color w:val="auto"/>
        </w:rPr>
      </w:pPr>
      <w:r>
        <w:rPr>
          <w:rFonts w:ascii="Arial" w:cs="Arial" w:eastAsia="Arial" w:hAnsi="Arial"/>
          <w:sz w:val="16"/>
          <w:szCs w:val="16"/>
          <w:color w:val="auto"/>
        </w:rPr>
        <w:t>Each Guarantor shall further agree that its guarantee herein will constitute a guarantee of payment when due (and not a guarantee of collection) and shall waive any right to require that any resort be had by any Holder to any security held for payment of the Guaranteed Obligations.</w:t>
      </w:r>
    </w:p>
    <w:p>
      <w:pPr>
        <w:spacing w:after="0" w:line="123" w:lineRule="exact"/>
        <w:rPr>
          <w:rFonts w:ascii="Arial" w:cs="Arial" w:eastAsia="Arial" w:hAnsi="Arial"/>
          <w:sz w:val="16"/>
          <w:szCs w:val="16"/>
          <w:color w:val="auto"/>
        </w:rPr>
      </w:pPr>
    </w:p>
    <w:p>
      <w:pPr>
        <w:ind w:left="4" w:firstLine="436"/>
        <w:spacing w:after="0" w:line="284" w:lineRule="auto"/>
        <w:tabs>
          <w:tab w:leader="none" w:pos="699" w:val="left"/>
        </w:tabs>
        <w:numPr>
          <w:ilvl w:val="1"/>
          <w:numId w:val="84"/>
        </w:numPr>
        <w:rPr>
          <w:rFonts w:ascii="Arial" w:cs="Arial" w:eastAsia="Arial" w:hAnsi="Arial"/>
          <w:sz w:val="16"/>
          <w:szCs w:val="16"/>
          <w:color w:val="auto"/>
        </w:rPr>
      </w:pPr>
      <w:r>
        <w:rPr>
          <w:rFonts w:ascii="Arial" w:cs="Arial" w:eastAsia="Arial" w:hAnsi="Arial"/>
          <w:sz w:val="16"/>
          <w:szCs w:val="16"/>
          <w:color w:val="auto"/>
        </w:rPr>
        <w:t>Except as set forth in Section 7.02, the obligations of each Guarantor hereunder shall not be subject to any reduction, limitation, impairment or termination for any reason (other than payment of the Guaranteed Obligations in full), including any claim of waiver, release, surrender, alteration or compromise, and shall not be subject to any defense of setoff, counterclaim, recoupment or termination whatsoever or by reason of the invalidity, illegality or unenforceability of the Guaranteed Obligations or otherwise. Without limiting the generality of the foregoing, the Guaranteed Obligations of each Guarantor herein shall not be discharged or impaired or otherwise affected by (a) the failure of any Holder to assert any claim or demand or to enforce any right or remedy against the Company or any other person under this Third Supplemental Indenture, the Notes or any other agreement or otherwise; (b) any extension or renewal of any thereof; (c) any rescission, waiver, amendment or modification of any of the terms or provisions of this Third Supplemental Indenture, the Notes or any other agreement; (d) the release of any security held by any Holder for the Guaranteed Obligations;</w:t>
      </w:r>
    </w:p>
    <w:p>
      <w:pPr>
        <w:ind w:left="4" w:right="40" w:hanging="4"/>
        <w:spacing w:after="0" w:line="253" w:lineRule="auto"/>
        <w:tabs>
          <w:tab w:leader="none" w:pos="249" w:val="left"/>
        </w:tabs>
        <w:numPr>
          <w:ilvl w:val="0"/>
          <w:numId w:val="85"/>
        </w:numPr>
        <w:rPr>
          <w:rFonts w:ascii="Arial" w:cs="Arial" w:eastAsia="Arial" w:hAnsi="Arial"/>
          <w:sz w:val="18"/>
          <w:szCs w:val="18"/>
          <w:color w:val="auto"/>
        </w:rPr>
      </w:pPr>
      <w:r>
        <w:rPr>
          <w:rFonts w:ascii="Arial" w:cs="Arial" w:eastAsia="Arial" w:hAnsi="Arial"/>
          <w:sz w:val="18"/>
          <w:szCs w:val="18"/>
          <w:color w:val="auto"/>
        </w:rPr>
        <w:t>the failure of any Holder to exercise any right or remedy against any other Guarantor; (f) any change in the ownership of the Company; (g) any default, failure or delay, willful or otherwise, in the performance of the Guaranteed Obligations; or (h) any other act or thing or omission or delay to do any other act or thing that may or might in any manner or to any extent vary the risk of any Guarantor or would otherwise operate as a discharge of such Guarantor as a matter of law or equity.</w:t>
      </w:r>
    </w:p>
    <w:p>
      <w:pPr>
        <w:spacing w:after="0" w:line="192" w:lineRule="exact"/>
        <w:rPr>
          <w:rFonts w:ascii="Arial" w:cs="Arial" w:eastAsia="Arial" w:hAnsi="Arial"/>
          <w:sz w:val="18"/>
          <w:szCs w:val="18"/>
          <w:color w:val="auto"/>
        </w:rPr>
      </w:pPr>
    </w:p>
    <w:p>
      <w:pPr>
        <w:ind w:left="4" w:right="80" w:firstLine="436"/>
        <w:spacing w:after="0" w:line="257" w:lineRule="auto"/>
        <w:tabs>
          <w:tab w:leader="none" w:pos="659" w:val="left"/>
        </w:tabs>
        <w:numPr>
          <w:ilvl w:val="1"/>
          <w:numId w:val="85"/>
        </w:numPr>
        <w:rPr>
          <w:rFonts w:ascii="Arial" w:cs="Arial" w:eastAsia="Arial" w:hAnsi="Arial"/>
          <w:sz w:val="18"/>
          <w:szCs w:val="18"/>
          <w:color w:val="auto"/>
        </w:rPr>
      </w:pPr>
      <w:r>
        <w:rPr>
          <w:rFonts w:ascii="Arial" w:cs="Arial" w:eastAsia="Arial" w:hAnsi="Arial"/>
          <w:sz w:val="18"/>
          <w:szCs w:val="18"/>
          <w:color w:val="auto"/>
        </w:rPr>
        <w:t>Each Guarantor shall agree that its guarantee herein shall remain in full force and effect until payment in full of all the Guaranteed Obligations or such Guarantor is released from its guarantee in compliance with Section 7.02. Each Guarantor shall further agree that its guarantee herein shall continue to be effective or be reinstated, as the case may be, if at any time payment, or any part thereof, of principal of, premium, if any, interest on any of the Guaranteed Obligations is rescinded or must otherwise be restored by any Holder upon the bankruptcy or reorganization of the Company or otherwise.</w:t>
      </w:r>
    </w:p>
    <w:p>
      <w:pPr>
        <w:spacing w:after="0" w:line="187" w:lineRule="exact"/>
        <w:rPr>
          <w:rFonts w:ascii="Arial" w:cs="Arial" w:eastAsia="Arial" w:hAnsi="Arial"/>
          <w:sz w:val="18"/>
          <w:szCs w:val="18"/>
          <w:color w:val="auto"/>
        </w:rPr>
      </w:pPr>
    </w:p>
    <w:p>
      <w:pPr>
        <w:ind w:left="4" w:firstLine="436"/>
        <w:spacing w:after="0" w:line="291" w:lineRule="auto"/>
        <w:tabs>
          <w:tab w:leader="none" w:pos="659" w:val="left"/>
        </w:tabs>
        <w:numPr>
          <w:ilvl w:val="1"/>
          <w:numId w:val="85"/>
        </w:numPr>
        <w:rPr>
          <w:rFonts w:ascii="Arial" w:cs="Arial" w:eastAsia="Arial" w:hAnsi="Arial"/>
          <w:sz w:val="16"/>
          <w:szCs w:val="16"/>
          <w:color w:val="auto"/>
        </w:rPr>
      </w:pPr>
      <w:r>
        <w:rPr>
          <w:rFonts w:ascii="Arial" w:cs="Arial" w:eastAsia="Arial" w:hAnsi="Arial"/>
          <w:sz w:val="16"/>
          <w:szCs w:val="16"/>
          <w:color w:val="auto"/>
        </w:rPr>
        <w:t>In furtherance of the foregoing and not in limitation of any other right that any Holder has at law or in equity against any Guarantor by virtue hereof, upon the failure of the Company to pay any of the Guaranteed Obligations when and as the same shall become due, whether at maturity, by acceleration, by redemption or otherwise, each Guarantor shall promise to and will, upon receipt of written demand by the Trustee, forthwith pay, or cause to be paid, in cash, to the Holders or the Trustee on behalf of the Holders, an amount equal to the sum of (i) the unpaid amount of such Guaranteed Obligations then due and owing and (ii) accrued and unpaid interest on such Guaranteed Obligations then due and owing (but only to the extent not prohibited by law) (including interest accruing after the filing of any petition in bankruptcy or the commencement of any insolvency, reorganization or like proceeding relating to the Company or any Guarantor whether or not a claim for post-filing or post-petition interest is allowed in such proceeding).</w:t>
      </w:r>
    </w:p>
    <w:p>
      <w:pPr>
        <w:spacing w:after="0" w:line="166" w:lineRule="exact"/>
        <w:rPr>
          <w:rFonts w:ascii="Arial" w:cs="Arial" w:eastAsia="Arial" w:hAnsi="Arial"/>
          <w:sz w:val="16"/>
          <w:szCs w:val="16"/>
          <w:color w:val="auto"/>
        </w:rPr>
      </w:pPr>
    </w:p>
    <w:p>
      <w:pPr>
        <w:jc w:val="both"/>
        <w:ind w:left="4" w:firstLine="436"/>
        <w:spacing w:after="0" w:line="287" w:lineRule="auto"/>
        <w:tabs>
          <w:tab w:leader="none" w:pos="699" w:val="left"/>
        </w:tabs>
        <w:numPr>
          <w:ilvl w:val="1"/>
          <w:numId w:val="85"/>
        </w:numPr>
        <w:rPr>
          <w:rFonts w:ascii="Arial" w:cs="Arial" w:eastAsia="Arial" w:hAnsi="Arial"/>
          <w:sz w:val="16"/>
          <w:szCs w:val="16"/>
          <w:color w:val="auto"/>
        </w:rPr>
      </w:pPr>
      <w:r>
        <w:rPr>
          <w:rFonts w:ascii="Arial" w:cs="Arial" w:eastAsia="Arial" w:hAnsi="Arial"/>
          <w:sz w:val="16"/>
          <w:szCs w:val="16"/>
          <w:color w:val="auto"/>
        </w:rPr>
        <w:t>Each Guarantor shall further agree that, as between such Guarantor, on the one hand, and the Holders, on the other hand, (x) the maturity of the Guaranteed Obligations guaranteed hereby may be accelerated as provided in this Third Supplemental Indenture for the purposes of its guarantee herein, notwithstanding any stay, injunction or other prohibition preventing such acceleration in respect of the Guaranteed Obligations guaranteed hereby and</w:t>
      </w:r>
    </w:p>
    <w:p>
      <w:pPr>
        <w:spacing w:after="0" w:line="2" w:lineRule="exact"/>
        <w:rPr>
          <w:rFonts w:ascii="Arial" w:cs="Arial" w:eastAsia="Arial" w:hAnsi="Arial"/>
          <w:sz w:val="16"/>
          <w:szCs w:val="16"/>
          <w:color w:val="auto"/>
        </w:rPr>
      </w:pPr>
    </w:p>
    <w:p>
      <w:pPr>
        <w:ind w:left="4" w:right="140" w:hanging="4"/>
        <w:spacing w:after="0" w:line="260" w:lineRule="auto"/>
        <w:tabs>
          <w:tab w:leader="none" w:pos="259" w:val="left"/>
        </w:tabs>
        <w:numPr>
          <w:ilvl w:val="0"/>
          <w:numId w:val="86"/>
        </w:numPr>
        <w:rPr>
          <w:rFonts w:ascii="Arial" w:cs="Arial" w:eastAsia="Arial" w:hAnsi="Arial"/>
          <w:sz w:val="18"/>
          <w:szCs w:val="18"/>
          <w:color w:val="auto"/>
        </w:rPr>
      </w:pPr>
      <w:r>
        <w:rPr>
          <w:rFonts w:ascii="Arial" w:cs="Arial" w:eastAsia="Arial" w:hAnsi="Arial"/>
          <w:sz w:val="18"/>
          <w:szCs w:val="18"/>
          <w:color w:val="auto"/>
        </w:rPr>
        <w:t>in the event of any such declaration of acceleration of such Guaranteed Obligations, such Guaranteed Obligations (whether or not due and payable) shall forthwith become due and payable by the Guarantor for the purposes of its guarantee.</w:t>
      </w:r>
    </w:p>
    <w:p>
      <w:pPr>
        <w:spacing w:after="0" w:line="185" w:lineRule="exact"/>
        <w:rPr>
          <w:rFonts w:ascii="Arial" w:cs="Arial" w:eastAsia="Arial" w:hAnsi="Arial"/>
          <w:sz w:val="18"/>
          <w:szCs w:val="18"/>
          <w:color w:val="auto"/>
        </w:rPr>
      </w:pPr>
    </w:p>
    <w:p>
      <w:pPr>
        <w:ind w:left="4" w:right="100" w:firstLine="436"/>
        <w:spacing w:after="0" w:line="277" w:lineRule="auto"/>
        <w:tabs>
          <w:tab w:leader="none" w:pos="659" w:val="left"/>
        </w:tabs>
        <w:numPr>
          <w:ilvl w:val="1"/>
          <w:numId w:val="86"/>
        </w:numPr>
        <w:rPr>
          <w:rFonts w:ascii="Arial" w:cs="Arial" w:eastAsia="Arial" w:hAnsi="Arial"/>
          <w:sz w:val="18"/>
          <w:szCs w:val="18"/>
          <w:color w:val="auto"/>
        </w:rPr>
      </w:pPr>
      <w:r>
        <w:rPr>
          <w:rFonts w:ascii="Arial" w:cs="Arial" w:eastAsia="Arial" w:hAnsi="Arial"/>
          <w:sz w:val="18"/>
          <w:szCs w:val="18"/>
          <w:color w:val="auto"/>
        </w:rPr>
        <w:t>Each Guarantor shall also agree to pay any and all fees, costs and expenses (including attorneys’ fees and expenses) incurred by the Trustee or the Holders in enforcing any rights under this Section 7.01.</w:t>
      </w:r>
    </w:p>
    <w:p>
      <w:pPr>
        <w:spacing w:after="0" w:line="103" w:lineRule="exact"/>
        <w:rPr>
          <w:sz w:val="20"/>
          <w:szCs w:val="20"/>
          <w:color w:val="auto"/>
        </w:rPr>
      </w:pPr>
    </w:p>
    <w:p>
      <w:pPr>
        <w:jc w:val="center"/>
        <w:ind w:right="-3"/>
        <w:spacing w:after="0"/>
        <w:rPr>
          <w:sz w:val="20"/>
          <w:szCs w:val="20"/>
          <w:color w:val="auto"/>
        </w:rPr>
      </w:pPr>
      <w:r>
        <w:rPr>
          <w:rFonts w:ascii="Arial" w:cs="Arial" w:eastAsia="Arial" w:hAnsi="Arial"/>
          <w:sz w:val="18"/>
          <w:szCs w:val="18"/>
          <w:color w:val="auto"/>
        </w:rPr>
        <w:t>18</w:t>
      </w:r>
    </w:p>
    <w:p>
      <w:pPr>
        <w:sectPr>
          <w:pgSz w:w="11900" w:h="16838" w:orient="portrait"/>
          <w:cols w:equalWidth="0" w:num="1">
            <w:col w:w="11004"/>
          </w:cols>
          <w:pgMar w:left="436" w:top="274" w:right="459" w:bottom="1440" w:gutter="0" w:footer="0" w:header="0"/>
        </w:sectPr>
      </w:pPr>
    </w:p>
    <w:bookmarkStart w:id="61" w:name="page62"/>
    <w:bookmarkEnd w:id="61"/>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7.02. </w:t>
      </w:r>
      <w:r>
        <w:rPr>
          <w:rFonts w:ascii="Arial" w:cs="Arial" w:eastAsia="Arial" w:hAnsi="Arial"/>
          <w:sz w:val="18"/>
          <w:szCs w:val="18"/>
          <w:i w:val="1"/>
          <w:iCs w:val="1"/>
          <w:color w:val="auto"/>
        </w:rPr>
        <w:t>Limitation on Liability; Termination, Release and Discharge.</w:t>
      </w:r>
    </w:p>
    <w:p>
      <w:pPr>
        <w:spacing w:after="0" w:line="225" w:lineRule="exact"/>
        <w:rPr>
          <w:sz w:val="20"/>
          <w:szCs w:val="20"/>
          <w:color w:val="auto"/>
        </w:rPr>
      </w:pPr>
    </w:p>
    <w:p>
      <w:pPr>
        <w:ind w:firstLine="436"/>
        <w:spacing w:after="0" w:line="255" w:lineRule="auto"/>
        <w:tabs>
          <w:tab w:leader="none" w:pos="685" w:val="left"/>
        </w:tabs>
        <w:numPr>
          <w:ilvl w:val="0"/>
          <w:numId w:val="87"/>
        </w:numPr>
        <w:rPr>
          <w:rFonts w:ascii="Arial" w:cs="Arial" w:eastAsia="Arial" w:hAnsi="Arial"/>
          <w:sz w:val="18"/>
          <w:szCs w:val="18"/>
          <w:color w:val="auto"/>
        </w:rPr>
      </w:pPr>
      <w:r>
        <w:rPr>
          <w:rFonts w:ascii="Arial" w:cs="Arial" w:eastAsia="Arial" w:hAnsi="Arial"/>
          <w:sz w:val="18"/>
          <w:szCs w:val="18"/>
          <w:color w:val="auto"/>
        </w:rPr>
        <w:t>Any term or provision of this Third Supplemental Indenture to the contrary notwithstanding, the obligations of each Guarantor hereunder will be limited to the maximum amount as will, after giving effect to all other contingent and fixed liabilities of such Guarantor and after giving effect to any collections from or payments made by or on behalf of any other Guarantor in respect of the obligations of such other Guarantor under its guarantee or pursuant to its contribution obligations under this Third Supplemental Indenture, result in the obligations of such Guarantor under its guarantee not constituting a fraudulent conveyance or fraudulent transfer under federal, foreign, state or provincial law and not otherwise being void or voidable under any similar laws affecting the rights of creditors generally.</w:t>
      </w:r>
    </w:p>
    <w:p>
      <w:pPr>
        <w:spacing w:after="0" w:line="192" w:lineRule="exact"/>
        <w:rPr>
          <w:rFonts w:ascii="Arial" w:cs="Arial" w:eastAsia="Arial" w:hAnsi="Arial"/>
          <w:sz w:val="18"/>
          <w:szCs w:val="18"/>
          <w:color w:val="auto"/>
        </w:rPr>
      </w:pPr>
    </w:p>
    <w:p>
      <w:pPr>
        <w:ind w:right="480" w:firstLine="436"/>
        <w:spacing w:after="0" w:line="342" w:lineRule="auto"/>
        <w:tabs>
          <w:tab w:leader="none" w:pos="695" w:val="left"/>
        </w:tabs>
        <w:numPr>
          <w:ilvl w:val="0"/>
          <w:numId w:val="87"/>
        </w:numPr>
        <w:rPr>
          <w:rFonts w:ascii="Arial" w:cs="Arial" w:eastAsia="Arial" w:hAnsi="Arial"/>
          <w:sz w:val="16"/>
          <w:szCs w:val="16"/>
          <w:color w:val="auto"/>
        </w:rPr>
      </w:pPr>
      <w:r>
        <w:rPr>
          <w:rFonts w:ascii="Arial" w:cs="Arial" w:eastAsia="Arial" w:hAnsi="Arial"/>
          <w:sz w:val="16"/>
          <w:szCs w:val="16"/>
          <w:color w:val="auto"/>
        </w:rPr>
        <w:t>Any Guarantor will be released and discharged automatically and unconditionally from all its obligations under this Third Supplemental Indenture and its guarantee and will cease to be a Guarantor, without any further action required on the part of the Trustee or any Holder:</w:t>
      </w:r>
    </w:p>
    <w:p>
      <w:pPr>
        <w:spacing w:after="0" w:line="15" w:lineRule="exact"/>
        <w:rPr>
          <w:rFonts w:ascii="Arial" w:cs="Arial" w:eastAsia="Arial" w:hAnsi="Arial"/>
          <w:sz w:val="16"/>
          <w:szCs w:val="16"/>
          <w:color w:val="auto"/>
        </w:rPr>
      </w:pPr>
    </w:p>
    <w:p>
      <w:pPr>
        <w:ind w:left="440" w:right="160" w:firstLine="419"/>
        <w:spacing w:after="0" w:line="277" w:lineRule="auto"/>
        <w:tabs>
          <w:tab w:leader="none" w:pos="1078" w:val="left"/>
        </w:tabs>
        <w:numPr>
          <w:ilvl w:val="1"/>
          <w:numId w:val="87"/>
        </w:numPr>
        <w:rPr>
          <w:rFonts w:ascii="Arial" w:cs="Arial" w:eastAsia="Arial" w:hAnsi="Arial"/>
          <w:sz w:val="18"/>
          <w:szCs w:val="18"/>
          <w:color w:val="auto"/>
        </w:rPr>
      </w:pPr>
      <w:r>
        <w:rPr>
          <w:rFonts w:ascii="Arial" w:cs="Arial" w:eastAsia="Arial" w:hAnsi="Arial"/>
          <w:sz w:val="18"/>
          <w:szCs w:val="18"/>
          <w:color w:val="auto"/>
        </w:rPr>
        <w:t>if the Company exercises its legal defeasance or its covenant defeasance options with respect to the Notes or if its obligations under the Indenture are discharged in accordance with the terms of the Indenture;</w:t>
      </w:r>
    </w:p>
    <w:p>
      <w:pPr>
        <w:spacing w:after="0" w:line="62" w:lineRule="exact"/>
        <w:rPr>
          <w:rFonts w:ascii="Arial" w:cs="Arial" w:eastAsia="Arial" w:hAnsi="Arial"/>
          <w:sz w:val="18"/>
          <w:szCs w:val="18"/>
          <w:color w:val="auto"/>
        </w:rPr>
      </w:pPr>
    </w:p>
    <w:p>
      <w:pPr>
        <w:ind w:left="1120" w:hanging="261"/>
        <w:spacing w:after="0"/>
        <w:tabs>
          <w:tab w:leader="none" w:pos="1120" w:val="left"/>
        </w:tabs>
        <w:numPr>
          <w:ilvl w:val="1"/>
          <w:numId w:val="87"/>
        </w:numPr>
        <w:rPr>
          <w:rFonts w:ascii="Arial" w:cs="Arial" w:eastAsia="Arial" w:hAnsi="Arial"/>
          <w:sz w:val="18"/>
          <w:szCs w:val="18"/>
          <w:color w:val="auto"/>
        </w:rPr>
      </w:pPr>
      <w:r>
        <w:rPr>
          <w:rFonts w:ascii="Arial" w:cs="Arial" w:eastAsia="Arial" w:hAnsi="Arial"/>
          <w:sz w:val="18"/>
          <w:szCs w:val="18"/>
          <w:color w:val="auto"/>
        </w:rPr>
        <w:t>if no Event of Default has occurred and is then continuing, upon the liquidation or dissolution of such Guarantor; and</w:t>
      </w:r>
    </w:p>
    <w:p>
      <w:pPr>
        <w:spacing w:after="0" w:line="117" w:lineRule="exact"/>
        <w:rPr>
          <w:rFonts w:ascii="Arial" w:cs="Arial" w:eastAsia="Arial" w:hAnsi="Arial"/>
          <w:sz w:val="18"/>
          <w:szCs w:val="18"/>
          <w:color w:val="auto"/>
        </w:rPr>
      </w:pPr>
    </w:p>
    <w:p>
      <w:pPr>
        <w:ind w:left="440" w:right="20" w:firstLine="419"/>
        <w:spacing w:after="0" w:line="277" w:lineRule="auto"/>
        <w:tabs>
          <w:tab w:leader="none" w:pos="1178" w:val="left"/>
        </w:tabs>
        <w:numPr>
          <w:ilvl w:val="1"/>
          <w:numId w:val="87"/>
        </w:numPr>
        <w:rPr>
          <w:rFonts w:ascii="Arial" w:cs="Arial" w:eastAsia="Arial" w:hAnsi="Arial"/>
          <w:sz w:val="18"/>
          <w:szCs w:val="18"/>
          <w:color w:val="auto"/>
        </w:rPr>
      </w:pPr>
      <w:r>
        <w:rPr>
          <w:rFonts w:ascii="Arial" w:cs="Arial" w:eastAsia="Arial" w:hAnsi="Arial"/>
          <w:sz w:val="18"/>
          <w:szCs w:val="18"/>
          <w:color w:val="auto"/>
        </w:rPr>
        <w:t>upon the release or discharge of such Guarantor’s obligations under the Revolving Credit Agreement and the 2024 and 2026 Term Loan Agreement.</w:t>
      </w:r>
    </w:p>
    <w:p>
      <w:pPr>
        <w:spacing w:after="0" w:line="170" w:lineRule="exact"/>
        <w:rPr>
          <w:rFonts w:ascii="Arial" w:cs="Arial" w:eastAsia="Arial" w:hAnsi="Arial"/>
          <w:sz w:val="18"/>
          <w:szCs w:val="18"/>
          <w:color w:val="auto"/>
        </w:rPr>
      </w:pPr>
    </w:p>
    <w:p>
      <w:pPr>
        <w:ind w:right="340" w:firstLine="436"/>
        <w:spacing w:after="0" w:line="259" w:lineRule="auto"/>
        <w:tabs>
          <w:tab w:leader="none" w:pos="685" w:val="left"/>
        </w:tabs>
        <w:numPr>
          <w:ilvl w:val="0"/>
          <w:numId w:val="87"/>
        </w:numPr>
        <w:rPr>
          <w:rFonts w:ascii="Arial" w:cs="Arial" w:eastAsia="Arial" w:hAnsi="Arial"/>
          <w:sz w:val="18"/>
          <w:szCs w:val="18"/>
          <w:color w:val="auto"/>
        </w:rPr>
      </w:pPr>
      <w:r>
        <w:rPr>
          <w:rFonts w:ascii="Arial" w:cs="Arial" w:eastAsia="Arial" w:hAnsi="Arial"/>
          <w:sz w:val="18"/>
          <w:szCs w:val="18"/>
          <w:color w:val="auto"/>
        </w:rPr>
        <w:t>Upon delivery by the Company to the Trustee of an Officer’s Certificate and an Opinion of Counsel to the effect that any of the conditions described above has occurred, the Trustee shall, at the Company’s expense, execute any supplemental indenture or other documents reasonably requested by the Company in order to evidence the release of a Guarantor from its obligations under its guarantee and this Third Supplemental Indenture.</w:t>
      </w:r>
    </w:p>
    <w:p>
      <w:pPr>
        <w:spacing w:after="0" w:line="187" w:lineRule="exact"/>
        <w:rPr>
          <w:sz w:val="20"/>
          <w:szCs w:val="20"/>
          <w:color w:val="auto"/>
        </w:rPr>
      </w:pPr>
    </w:p>
    <w:p>
      <w:pPr>
        <w:ind w:right="160" w:firstLine="440"/>
        <w:spacing w:after="0" w:line="257" w:lineRule="auto"/>
        <w:rPr>
          <w:sz w:val="20"/>
          <w:szCs w:val="20"/>
          <w:color w:val="auto"/>
        </w:rPr>
      </w:pPr>
      <w:r>
        <w:rPr>
          <w:rFonts w:ascii="Arial" w:cs="Arial" w:eastAsia="Arial" w:hAnsi="Arial"/>
          <w:sz w:val="18"/>
          <w:szCs w:val="18"/>
          <w:color w:val="auto"/>
        </w:rPr>
        <w:t xml:space="preserve">Section 7.03. </w:t>
      </w:r>
      <w:r>
        <w:rPr>
          <w:rFonts w:ascii="Arial" w:cs="Arial" w:eastAsia="Arial" w:hAnsi="Arial"/>
          <w:sz w:val="18"/>
          <w:szCs w:val="18"/>
          <w:i w:val="1"/>
          <w:iCs w:val="1"/>
          <w:color w:val="auto"/>
        </w:rPr>
        <w:t>Right of Contribution.</w:t>
      </w:r>
      <w:r>
        <w:rPr>
          <w:rFonts w:ascii="Arial" w:cs="Arial" w:eastAsia="Arial" w:hAnsi="Arial"/>
          <w:sz w:val="18"/>
          <w:szCs w:val="18"/>
          <w:color w:val="auto"/>
        </w:rPr>
        <w:t xml:space="preserve"> Each Guarantor shall agree that to the extent that any Guarantor shall have paid more than its proportionate share of any payment made on the obligations under the guarantees, such Guarantor shall be entitled to seek and receive contribution from and against the Company or any other Guarantor who has not paid its proportionate share of such payment. The provisions of this Section 7.03 shall in no respect limit the obligations and liabilities of each Guarantor to the Trustee and the Holders and each Guarantor shall remain liable to the Trustee and the Holders for the full amount guaranteed by such Guarantor hereunder.</w:t>
      </w:r>
    </w:p>
    <w:p>
      <w:pPr>
        <w:spacing w:after="0" w:line="188" w:lineRule="exact"/>
        <w:rPr>
          <w:sz w:val="20"/>
          <w:szCs w:val="20"/>
          <w:color w:val="auto"/>
        </w:rPr>
      </w:pPr>
    </w:p>
    <w:p>
      <w:pPr>
        <w:ind w:right="40" w:firstLine="440"/>
        <w:spacing w:after="0" w:line="270" w:lineRule="auto"/>
        <w:rPr>
          <w:sz w:val="20"/>
          <w:szCs w:val="20"/>
          <w:color w:val="auto"/>
        </w:rPr>
      </w:pPr>
      <w:r>
        <w:rPr>
          <w:rFonts w:ascii="Arial" w:cs="Arial" w:eastAsia="Arial" w:hAnsi="Arial"/>
          <w:sz w:val="17"/>
          <w:szCs w:val="17"/>
          <w:color w:val="auto"/>
        </w:rPr>
        <w:t xml:space="preserve">Section 7.04. </w:t>
      </w:r>
      <w:r>
        <w:rPr>
          <w:rFonts w:ascii="Arial" w:cs="Arial" w:eastAsia="Arial" w:hAnsi="Arial"/>
          <w:sz w:val="17"/>
          <w:szCs w:val="17"/>
          <w:i w:val="1"/>
          <w:iCs w:val="1"/>
          <w:color w:val="auto"/>
        </w:rPr>
        <w:t>No Subrogation</w:t>
      </w:r>
      <w:r>
        <w:rPr>
          <w:rFonts w:ascii="Arial" w:cs="Arial" w:eastAsia="Arial" w:hAnsi="Arial"/>
          <w:sz w:val="17"/>
          <w:szCs w:val="17"/>
          <w:color w:val="auto"/>
        </w:rPr>
        <w:t>. Notwithstanding any payment or payments made by each Guarantor hereunder, no Guarantor shall be entitled to be subrogated to any of the rights of the Trustee or any Holder against the Company or any other Guarantor or guarantee or right of offset held by the Trustee or any Holder for the payment of the Guaranteed Obligations, nor shall any Guarantor seek or be entitled to seek any contribution or reimbursement from the Company or any other Guarantor in respect of payments made by such Guarantor hereunder, until all amounts owing to the Trustee and the Holders by the Company on account of the Guaranteed Obligations are paid in full. If any amount shall be paid to any Guarantor on account of such subrogation rights at any time when all of the Guaranteed Obligations shall not have been paid in full, such amount shall be held by such Guarantor in trust for the Trustee and the Holders, segregated from other funds of such Guarantor, and shall, forthwith upon receipt by such Guarantor, be turned over to the Trustee in the exact form received by such Guarantor (duly indorsed by such Guarantor to the Trustee, if required), to be applied against the Guaranteed Obligations.</w:t>
      </w:r>
    </w:p>
    <w:p>
      <w:pPr>
        <w:spacing w:after="0" w:line="113"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19</w:t>
      </w:r>
    </w:p>
    <w:p>
      <w:pPr>
        <w:sectPr>
          <w:pgSz w:w="11900" w:h="16838" w:orient="portrait"/>
          <w:cols w:equalWidth="0" w:num="1">
            <w:col w:w="10980"/>
          </w:cols>
          <w:pgMar w:left="440" w:top="274" w:right="479" w:bottom="1440" w:gutter="0" w:footer="0" w:header="0"/>
        </w:sectPr>
      </w:pPr>
    </w:p>
    <w:bookmarkStart w:id="62" w:name="page63"/>
    <w:bookmarkEnd w:id="62"/>
    <w:p>
      <w:pPr>
        <w:jc w:val="center"/>
        <w:spacing w:after="0"/>
        <w:rPr>
          <w:sz w:val="20"/>
          <w:szCs w:val="20"/>
          <w:color w:val="auto"/>
        </w:rPr>
      </w:pPr>
      <w:r>
        <w:rPr>
          <w:rFonts w:ascii="Arial" w:cs="Arial" w:eastAsia="Arial" w:hAnsi="Arial"/>
          <w:sz w:val="18"/>
          <w:szCs w:val="18"/>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VIII</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MISCELLANEOUS</w:t>
      </w:r>
    </w:p>
    <w:p>
      <w:pPr>
        <w:spacing w:after="0" w:line="211" w:lineRule="exact"/>
        <w:rPr>
          <w:sz w:val="20"/>
          <w:szCs w:val="20"/>
          <w:color w:val="auto"/>
        </w:rPr>
      </w:pPr>
    </w:p>
    <w:p>
      <w:pPr>
        <w:ind w:firstLine="440"/>
        <w:spacing w:after="0" w:line="269" w:lineRule="auto"/>
        <w:rPr>
          <w:sz w:val="20"/>
          <w:szCs w:val="20"/>
          <w:color w:val="auto"/>
        </w:rPr>
      </w:pPr>
      <w:r>
        <w:rPr>
          <w:rFonts w:ascii="Arial" w:cs="Arial" w:eastAsia="Arial" w:hAnsi="Arial"/>
          <w:sz w:val="17"/>
          <w:szCs w:val="17"/>
          <w:color w:val="auto"/>
        </w:rPr>
        <w:t xml:space="preserve">Section 8.01. </w:t>
      </w:r>
      <w:r>
        <w:rPr>
          <w:rFonts w:ascii="Arial" w:cs="Arial" w:eastAsia="Arial" w:hAnsi="Arial"/>
          <w:sz w:val="17"/>
          <w:szCs w:val="17"/>
          <w:i w:val="1"/>
          <w:iCs w:val="1"/>
          <w:color w:val="auto"/>
        </w:rPr>
        <w:t>Counterparts.</w:t>
      </w:r>
      <w:r>
        <w:rPr>
          <w:rFonts w:ascii="Arial" w:cs="Arial" w:eastAsia="Arial" w:hAnsi="Arial"/>
          <w:sz w:val="17"/>
          <w:szCs w:val="17"/>
          <w:color w:val="auto"/>
        </w:rPr>
        <w:t xml:space="preserve"> This Third Supplemental Indenture may be executed in any number of counterparts, each of which so executed shall be deemed to be an original, but all such counterparts shall together constitute but one and the same instrument. The Trustee shall have the right to accept and act upon any notice, instruction, or other communication, including any funds transfer instruction, (each, a “</w:t>
      </w:r>
      <w:r>
        <w:rPr>
          <w:rFonts w:ascii="Arial" w:cs="Arial" w:eastAsia="Arial" w:hAnsi="Arial"/>
          <w:sz w:val="17"/>
          <w:szCs w:val="17"/>
          <w:u w:val="single" w:color="auto"/>
          <w:color w:val="auto"/>
        </w:rPr>
        <w:t>Notice</w:t>
      </w:r>
      <w:r>
        <w:rPr>
          <w:rFonts w:ascii="Arial" w:cs="Arial" w:eastAsia="Arial" w:hAnsi="Arial"/>
          <w:sz w:val="17"/>
          <w:szCs w:val="17"/>
          <w:color w:val="auto"/>
        </w:rPr>
        <w:t>”) received pursuant to this Third Supplemental Indenture by electronic transmission (including by e-mail, facsimile transmission, web portal or other electronic methods) and shall not have any duty to confirm that the Person sending such Notice is, in fact, a person authorized to do so.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Third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79" w:lineRule="exact"/>
        <w:rPr>
          <w:sz w:val="20"/>
          <w:szCs w:val="20"/>
          <w:color w:val="auto"/>
        </w:rPr>
      </w:pPr>
    </w:p>
    <w:p>
      <w:pPr>
        <w:ind w:right="760" w:firstLine="440"/>
        <w:spacing w:after="0" w:line="277" w:lineRule="auto"/>
        <w:rPr>
          <w:sz w:val="20"/>
          <w:szCs w:val="20"/>
          <w:color w:val="auto"/>
        </w:rPr>
      </w:pPr>
      <w:r>
        <w:rPr>
          <w:rFonts w:ascii="Arial" w:cs="Arial" w:eastAsia="Arial" w:hAnsi="Arial"/>
          <w:sz w:val="18"/>
          <w:szCs w:val="18"/>
          <w:color w:val="auto"/>
        </w:rPr>
        <w:t xml:space="preserve">Section 8.02. </w:t>
      </w:r>
      <w:r>
        <w:rPr>
          <w:rFonts w:ascii="Arial" w:cs="Arial" w:eastAsia="Arial" w:hAnsi="Arial"/>
          <w:sz w:val="18"/>
          <w:szCs w:val="18"/>
          <w:i w:val="1"/>
          <w:iCs w:val="1"/>
          <w:color w:val="auto"/>
        </w:rPr>
        <w:t>Governing Law.</w:t>
      </w:r>
      <w:r>
        <w:rPr>
          <w:rFonts w:ascii="Arial" w:cs="Arial" w:eastAsia="Arial" w:hAnsi="Arial"/>
          <w:sz w:val="18"/>
          <w:szCs w:val="18"/>
          <w:color w:val="auto"/>
        </w:rPr>
        <w:t xml:space="preserve"> THIS THIRD SUPPLEMENTAL INDENTURE AND THE NOTES SHALL BE GOVERNED BY, AND CONSTRUED IN ACCORDANCE WITH, THE LAW OF THE STATE OF NEW YORK.</w:t>
      </w:r>
    </w:p>
    <w:p>
      <w:pPr>
        <w:spacing w:after="0" w:line="170" w:lineRule="exact"/>
        <w:rPr>
          <w:sz w:val="20"/>
          <w:szCs w:val="20"/>
          <w:color w:val="auto"/>
        </w:rPr>
      </w:pPr>
    </w:p>
    <w:p>
      <w:pPr>
        <w:ind w:right="180" w:firstLine="440"/>
        <w:spacing w:after="0" w:line="296" w:lineRule="auto"/>
        <w:rPr>
          <w:sz w:val="20"/>
          <w:szCs w:val="20"/>
          <w:color w:val="auto"/>
        </w:rPr>
      </w:pPr>
      <w:r>
        <w:rPr>
          <w:rFonts w:ascii="Arial" w:cs="Arial" w:eastAsia="Arial" w:hAnsi="Arial"/>
          <w:sz w:val="16"/>
          <w:szCs w:val="16"/>
          <w:color w:val="auto"/>
        </w:rPr>
        <w:t xml:space="preserve">Section 8.03. </w:t>
      </w:r>
      <w:r>
        <w:rPr>
          <w:rFonts w:ascii="Arial" w:cs="Arial" w:eastAsia="Arial" w:hAnsi="Arial"/>
          <w:sz w:val="16"/>
          <w:szCs w:val="16"/>
          <w:i w:val="1"/>
          <w:iCs w:val="1"/>
          <w:color w:val="auto"/>
        </w:rPr>
        <w:t>Recitals by the Company and the Guarantors</w:t>
      </w:r>
      <w:r>
        <w:rPr>
          <w:rFonts w:ascii="Arial" w:cs="Arial" w:eastAsia="Arial" w:hAnsi="Arial"/>
          <w:sz w:val="16"/>
          <w:szCs w:val="16"/>
          <w:color w:val="auto"/>
        </w:rPr>
        <w:t>. The recitals in this Third Supplemental Indenture are made by the Company and the Guarantors only and not by the Trustee, and the Trustee assumes no responsibility for their correctness. The Trustee makes no representations as to the validity or sufficiency of this Third Supplemental Indenture or of the Notes. The Trustee shall not be accountable for the use or application by the Company of the Notes. All of the provisions contained in the Base Indenture in respect of the rights, privileges, immunities, powers and duties of the Trustee shall be applicable in respect of the Notes and of this Third Supplemental Indenture as fully and with like effect as if set forth herein in full.</w:t>
      </w:r>
    </w:p>
    <w:p>
      <w:pPr>
        <w:spacing w:after="0" w:line="16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w:t>
      </w:r>
      <w:r>
        <w:rPr>
          <w:rFonts w:ascii="Arial" w:cs="Arial" w:eastAsia="Arial" w:hAnsi="Arial"/>
          <w:sz w:val="18"/>
          <w:szCs w:val="18"/>
          <w:i w:val="1"/>
          <w:iCs w:val="1"/>
          <w:color w:val="auto"/>
        </w:rPr>
        <w:t>Signature Pages Follow</w:t>
      </w:r>
      <w:r>
        <w:rPr>
          <w:rFonts w:ascii="Arial" w:cs="Arial" w:eastAsia="Arial" w:hAnsi="Arial"/>
          <w:sz w:val="18"/>
          <w:szCs w:val="18"/>
          <w:color w:val="auto"/>
        </w:rPr>
        <w:t>]</w:t>
      </w:r>
    </w:p>
    <w:p>
      <w:pPr>
        <w:spacing w:after="0" w:line="15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20</w:t>
      </w:r>
    </w:p>
    <w:p>
      <w:pPr>
        <w:sectPr>
          <w:pgSz w:w="11900" w:h="16838" w:orient="portrait"/>
          <w:cols w:equalWidth="0" w:num="1">
            <w:col w:w="11020"/>
          </w:cols>
          <w:pgMar w:left="440" w:top="270" w:right="439" w:bottom="1440" w:gutter="0" w:footer="0" w:header="0"/>
        </w:sectPr>
      </w:pPr>
    </w:p>
    <w:bookmarkStart w:id="63" w:name="page64"/>
    <w:bookmarkEnd w:id="63"/>
    <w:p>
      <w:pPr>
        <w:spacing w:after="0"/>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caused this Third Supplemental Indenture to be duly executed as of the date first written above.</w:t>
      </w:r>
    </w:p>
    <w:p>
      <w:pPr>
        <w:spacing w:after="0" w:line="260" w:lineRule="exact"/>
        <w:rPr>
          <w:sz w:val="20"/>
          <w:szCs w:val="20"/>
          <w:color w:val="auto"/>
        </w:rPr>
      </w:pPr>
    </w:p>
    <w:p>
      <w:pPr>
        <w:ind w:left="618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18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tbl>
      <w:tblPr>
        <w:tblLayout w:type="fixed"/>
        <w:tblInd w:w="6180" w:type="dxa"/>
        <w:tblCellMar>
          <w:top w:w="0" w:type="dxa"/>
          <w:left w:w="0" w:type="dxa"/>
          <w:bottom w:w="0" w:type="dxa"/>
          <w:right w:w="0" w:type="dxa"/>
        </w:tblCellMar>
      </w:tblPr>
      <w:tr>
        <w:trPr>
          <w:trHeight w:val="230"/>
        </w:trPr>
        <w:tc>
          <w:tcPr>
            <w:tcW w:w="520" w:type="dxa"/>
            <w:vAlign w:val="bottom"/>
          </w:tcPr>
          <w:p>
            <w:pPr>
              <w:spacing w:after="0"/>
              <w:rPr>
                <w:sz w:val="20"/>
                <w:szCs w:val="20"/>
                <w:color w:val="auto"/>
              </w:rPr>
            </w:pPr>
            <w:r>
              <w:rPr>
                <w:rFonts w:ascii="Arial" w:cs="Arial" w:eastAsia="Arial" w:hAnsi="Arial"/>
                <w:sz w:val="18"/>
                <w:szCs w:val="18"/>
                <w:color w:val="auto"/>
              </w:rPr>
              <w:t>By:</w:t>
            </w:r>
          </w:p>
        </w:tc>
        <w:tc>
          <w:tcPr>
            <w:tcW w:w="3880" w:type="dxa"/>
            <w:vAlign w:val="bottom"/>
            <w:tcBorders>
              <w:bottom w:val="single" w:sz="8" w:color="auto"/>
            </w:tcBorders>
          </w:tcPr>
          <w:p>
            <w:pPr>
              <w:ind w:left="60"/>
              <w:spacing w:after="0"/>
              <w:rPr>
                <w:sz w:val="20"/>
                <w:szCs w:val="20"/>
                <w:color w:val="auto"/>
              </w:rPr>
            </w:pPr>
            <w:r>
              <w:rPr>
                <w:rFonts w:ascii="Arial" w:cs="Arial" w:eastAsia="Arial" w:hAnsi="Arial"/>
                <w:sz w:val="18"/>
                <w:szCs w:val="18"/>
                <w:color w:val="auto"/>
              </w:rPr>
              <w:t>/s/ Mark Casper</w:t>
            </w:r>
          </w:p>
        </w:tc>
      </w:tr>
      <w:tr>
        <w:trPr>
          <w:trHeight w:val="195"/>
        </w:trPr>
        <w:tc>
          <w:tcPr>
            <w:tcW w:w="520" w:type="dxa"/>
            <w:vAlign w:val="bottom"/>
          </w:tcPr>
          <w:p>
            <w:pPr>
              <w:spacing w:after="0" w:line="195" w:lineRule="exact"/>
              <w:rPr>
                <w:sz w:val="20"/>
                <w:szCs w:val="20"/>
                <w:color w:val="auto"/>
              </w:rPr>
            </w:pPr>
            <w:r>
              <w:rPr>
                <w:rFonts w:ascii="Arial" w:cs="Arial" w:eastAsia="Arial" w:hAnsi="Arial"/>
                <w:sz w:val="18"/>
                <w:szCs w:val="18"/>
                <w:color w:val="auto"/>
                <w:w w:val="94"/>
              </w:rPr>
              <w:t>Name:</w:t>
            </w:r>
          </w:p>
        </w:tc>
        <w:tc>
          <w:tcPr>
            <w:tcW w:w="3880" w:type="dxa"/>
            <w:vAlign w:val="bottom"/>
          </w:tcPr>
          <w:p>
            <w:pPr>
              <w:ind w:left="60"/>
              <w:spacing w:after="0" w:line="195" w:lineRule="exact"/>
              <w:rPr>
                <w:sz w:val="20"/>
                <w:szCs w:val="20"/>
                <w:color w:val="auto"/>
              </w:rPr>
            </w:pPr>
            <w:r>
              <w:rPr>
                <w:rFonts w:ascii="Arial" w:cs="Arial" w:eastAsia="Arial" w:hAnsi="Arial"/>
                <w:sz w:val="18"/>
                <w:szCs w:val="18"/>
                <w:color w:val="auto"/>
              </w:rPr>
              <w:t>Mark Casper</w:t>
            </w:r>
          </w:p>
        </w:tc>
      </w:tr>
      <w:tr>
        <w:trPr>
          <w:trHeight w:val="216"/>
        </w:trPr>
        <w:tc>
          <w:tcPr>
            <w:tcW w:w="520" w:type="dxa"/>
            <w:vAlign w:val="bottom"/>
          </w:tcPr>
          <w:p>
            <w:pPr>
              <w:spacing w:after="0"/>
              <w:rPr>
                <w:sz w:val="20"/>
                <w:szCs w:val="20"/>
                <w:color w:val="auto"/>
              </w:rPr>
            </w:pPr>
            <w:r>
              <w:rPr>
                <w:rFonts w:ascii="Arial" w:cs="Arial" w:eastAsia="Arial" w:hAnsi="Arial"/>
                <w:sz w:val="18"/>
                <w:szCs w:val="18"/>
                <w:color w:val="auto"/>
              </w:rPr>
              <w:t>Title:</w:t>
            </w:r>
          </w:p>
        </w:tc>
        <w:tc>
          <w:tcPr>
            <w:tcW w:w="3880" w:type="dxa"/>
            <w:vAlign w:val="bottom"/>
          </w:tcPr>
          <w:p>
            <w:pPr>
              <w:ind w:left="60"/>
              <w:spacing w:after="0"/>
              <w:rPr>
                <w:sz w:val="20"/>
                <w:szCs w:val="20"/>
                <w:color w:val="auto"/>
              </w:rPr>
            </w:pPr>
            <w:r>
              <w:rPr>
                <w:rFonts w:ascii="Arial" w:cs="Arial" w:eastAsia="Arial" w:hAnsi="Arial"/>
                <w:sz w:val="18"/>
                <w:szCs w:val="18"/>
                <w:color w:val="auto"/>
                <w:w w:val="96"/>
              </w:rPr>
              <w:t>Executive Vice President, Chief Legal Officer and</w:t>
            </w:r>
          </w:p>
        </w:tc>
      </w:tr>
      <w:tr>
        <w:trPr>
          <w:trHeight w:val="230"/>
        </w:trPr>
        <w:tc>
          <w:tcPr>
            <w:tcW w:w="520" w:type="dxa"/>
            <w:vAlign w:val="bottom"/>
          </w:tcPr>
          <w:p>
            <w:pPr>
              <w:spacing w:after="0"/>
              <w:rPr>
                <w:sz w:val="20"/>
                <w:szCs w:val="20"/>
                <w:color w:val="auto"/>
              </w:rPr>
            </w:pPr>
          </w:p>
        </w:tc>
        <w:tc>
          <w:tcPr>
            <w:tcW w:w="3880" w:type="dxa"/>
            <w:vAlign w:val="bottom"/>
          </w:tcPr>
          <w:p>
            <w:pPr>
              <w:ind w:left="60"/>
              <w:spacing w:after="0"/>
              <w:rPr>
                <w:sz w:val="20"/>
                <w:szCs w:val="20"/>
                <w:color w:val="auto"/>
              </w:rPr>
            </w:pPr>
            <w:r>
              <w:rPr>
                <w:rFonts w:ascii="Arial" w:cs="Arial" w:eastAsia="Arial" w:hAnsi="Arial"/>
                <w:sz w:val="18"/>
                <w:szCs w:val="18"/>
                <w:color w:val="auto"/>
              </w:rPr>
              <w:t>Corporate Secretary</w:t>
            </w:r>
          </w:p>
        </w:tc>
      </w:tr>
    </w:tbl>
    <w:p>
      <w:pPr>
        <w:spacing w:after="0" w:line="202" w:lineRule="exact"/>
        <w:rPr>
          <w:sz w:val="20"/>
          <w:szCs w:val="20"/>
          <w:color w:val="auto"/>
        </w:rPr>
      </w:pPr>
    </w:p>
    <w:p>
      <w:pPr>
        <w:ind w:left="3280"/>
        <w:spacing w:after="0"/>
        <w:rPr>
          <w:sz w:val="20"/>
          <w:szCs w:val="20"/>
          <w:color w:val="auto"/>
        </w:rPr>
      </w:pPr>
      <w:r>
        <w:rPr>
          <w:rFonts w:ascii="Arial" w:cs="Arial" w:eastAsia="Arial" w:hAnsi="Arial"/>
          <w:sz w:val="18"/>
          <w:szCs w:val="18"/>
          <w:i w:val="1"/>
          <w:iCs w:val="1"/>
          <w:color w:val="auto"/>
        </w:rPr>
        <w:t>[Signature Page – Third Supplemental Indenture]</w:t>
      </w:r>
    </w:p>
    <w:p>
      <w:pPr>
        <w:sectPr>
          <w:pgSz w:w="11900" w:h="16838" w:orient="portrait"/>
          <w:cols w:equalWidth="0" w:num="1">
            <w:col w:w="10580"/>
          </w:cols>
          <w:pgMar w:left="880" w:top="274" w:right="439" w:bottom="1440" w:gutter="0" w:footer="0" w:header="0"/>
        </w:sectPr>
      </w:pPr>
    </w:p>
    <w:bookmarkStart w:id="64" w:name="page65"/>
    <w:bookmarkEnd w:id="64"/>
    <w:p>
      <w:pPr>
        <w:ind w:left="5620"/>
        <w:spacing w:after="0"/>
        <w:rPr>
          <w:sz w:val="20"/>
          <w:szCs w:val="20"/>
          <w:color w:val="auto"/>
        </w:rPr>
      </w:pPr>
      <w:r>
        <w:rPr>
          <w:rFonts w:ascii="Arial" w:cs="Arial" w:eastAsia="Arial" w:hAnsi="Arial"/>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U.S. BANK TRUST COMPANY, NATIONAL</w:t>
      </w:r>
    </w:p>
    <w:p>
      <w:pPr>
        <w:spacing w:after="0" w:line="39" w:lineRule="exact"/>
        <w:rPr>
          <w:sz w:val="20"/>
          <w:szCs w:val="20"/>
          <w:color w:val="auto"/>
        </w:rPr>
      </w:pPr>
    </w:p>
    <w:p>
      <w:pPr>
        <w:ind w:left="5620"/>
        <w:spacing w:after="0"/>
        <w:rPr>
          <w:sz w:val="20"/>
          <w:szCs w:val="20"/>
          <w:color w:val="auto"/>
        </w:rPr>
      </w:pPr>
      <w:r>
        <w:rPr>
          <w:rFonts w:ascii="Arial" w:cs="Arial" w:eastAsia="Arial" w:hAnsi="Arial"/>
          <w:sz w:val="18"/>
          <w:szCs w:val="18"/>
          <w:b w:val="1"/>
          <w:bCs w:val="1"/>
          <w:color w:val="auto"/>
        </w:rPr>
        <w:t>ASSOCIATION</w:t>
      </w:r>
      <w:r>
        <w:rPr>
          <w:rFonts w:ascii="Arial" w:cs="Arial" w:eastAsia="Arial" w:hAnsi="Arial"/>
          <w:sz w:val="18"/>
          <w:szCs w:val="18"/>
          <w:color w:val="auto"/>
        </w:rPr>
        <w:t>,</w:t>
      </w:r>
    </w:p>
    <w:p>
      <w:pPr>
        <w:spacing w:after="0" w:line="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By: /s/ Andrew Fung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3759835</wp:posOffset>
            </wp:positionH>
            <wp:positionV relativeFrom="paragraph">
              <wp:posOffset>14605</wp:posOffset>
            </wp:positionV>
            <wp:extent cx="2597150" cy="825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Name: Andrew Fung</w:t>
      </w:r>
    </w:p>
    <w:p>
      <w:pPr>
        <w:spacing w:after="0" w:line="9" w:lineRule="exact"/>
        <w:rPr>
          <w:sz w:val="20"/>
          <w:szCs w:val="20"/>
          <w:color w:val="auto"/>
        </w:rPr>
      </w:pPr>
    </w:p>
    <w:p>
      <w:pPr>
        <w:ind w:left="5620"/>
        <w:spacing w:after="0"/>
        <w:rPr>
          <w:sz w:val="20"/>
          <w:szCs w:val="20"/>
          <w:color w:val="auto"/>
        </w:rPr>
      </w:pPr>
      <w:r>
        <w:rPr>
          <w:rFonts w:ascii="Arial" w:cs="Arial" w:eastAsia="Arial" w:hAnsi="Arial"/>
          <w:sz w:val="18"/>
          <w:szCs w:val="18"/>
          <w:color w:val="auto"/>
        </w:rPr>
        <w:t>Title: Vice President</w:t>
      </w:r>
    </w:p>
    <w:p>
      <w:pPr>
        <w:spacing w:after="0" w:line="157" w:lineRule="exact"/>
        <w:rPr>
          <w:sz w:val="20"/>
          <w:szCs w:val="20"/>
          <w:color w:val="auto"/>
        </w:rPr>
      </w:pPr>
    </w:p>
    <w:p>
      <w:pPr>
        <w:jc w:val="center"/>
        <w:ind w:right="120"/>
        <w:spacing w:after="0"/>
        <w:rPr>
          <w:sz w:val="20"/>
          <w:szCs w:val="20"/>
          <w:color w:val="auto"/>
        </w:rPr>
      </w:pPr>
      <w:r>
        <w:rPr>
          <w:rFonts w:ascii="Arial" w:cs="Arial" w:eastAsia="Arial" w:hAnsi="Arial"/>
          <w:sz w:val="16"/>
          <w:szCs w:val="16"/>
          <w:i w:val="1"/>
          <w:iCs w:val="1"/>
          <w:color w:val="auto"/>
        </w:rPr>
        <w:t>[Signature Page – Third Supplemental Indenture]</w:t>
      </w:r>
    </w:p>
    <w:p>
      <w:pPr>
        <w:sectPr>
          <w:pgSz w:w="11900" w:h="16838" w:orient="portrait"/>
          <w:cols w:equalWidth="0" w:num="1">
            <w:col w:w="9140"/>
          </w:cols>
          <w:pgMar w:left="1440" w:top="270" w:right="1319" w:bottom="1440" w:gutter="0" w:footer="0" w:header="0"/>
        </w:sectPr>
      </w:pPr>
    </w:p>
    <w:bookmarkStart w:id="65" w:name="page66"/>
    <w:bookmarkEnd w:id="65"/>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A</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FORM OF 2029 NOTE</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ind w:right="120"/>
        <w:spacing w:after="0" w:line="254" w:lineRule="auto"/>
        <w:rPr>
          <w:sz w:val="20"/>
          <w:szCs w:val="20"/>
          <w:color w:val="auto"/>
        </w:rPr>
      </w:pPr>
      <w:r>
        <w:rPr>
          <w:rFonts w:ascii="Arial" w:cs="Arial" w:eastAsia="Arial" w:hAnsi="Arial"/>
          <w:sz w:val="18"/>
          <w:szCs w:val="18"/>
          <w:color w:val="auto"/>
        </w:rPr>
        <w:t>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9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120" w:lineRule="exact"/>
        <w:rPr>
          <w:sz w:val="20"/>
          <w:szCs w:val="20"/>
          <w:color w:val="auto"/>
        </w:rPr>
      </w:pPr>
    </w:p>
    <w:p>
      <w:pPr>
        <w:jc w:val="center"/>
        <w:ind w:right="-39"/>
        <w:spacing w:after="0"/>
        <w:rPr>
          <w:sz w:val="20"/>
          <w:szCs w:val="20"/>
          <w:color w:val="auto"/>
        </w:rPr>
      </w:pPr>
      <w:r>
        <w:rPr>
          <w:rFonts w:ascii="Arial" w:cs="Arial" w:eastAsia="Arial" w:hAnsi="Arial"/>
          <w:sz w:val="18"/>
          <w:szCs w:val="18"/>
          <w:color w:val="auto"/>
        </w:rPr>
        <w:t>A-1</w:t>
      </w:r>
    </w:p>
    <w:p>
      <w:pPr>
        <w:sectPr>
          <w:pgSz w:w="11900" w:h="16838" w:orient="portrait"/>
          <w:cols w:equalWidth="0" w:num="1">
            <w:col w:w="10960"/>
          </w:cols>
          <w:pgMar w:left="440" w:top="270" w:right="499" w:bottom="1440" w:gutter="0" w:footer="0" w:header="0"/>
        </w:sectPr>
      </w:pPr>
    </w:p>
    <w:bookmarkStart w:id="66" w:name="page67"/>
    <w:bookmarkEnd w:id="6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5.750% Senior Notes due 2029</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 ISIN: 573874 AP9 / US573874AP91</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Increases and Decreases in Global Note attached hereto on February 15, 2029.</w:t>
      </w:r>
    </w:p>
    <w:p>
      <w:pPr>
        <w:spacing w:after="0" w:line="170"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February 15 and August 15.</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February 1 and August 1.</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Note are set forth on the reverse hereof.</w:t>
      </w:r>
    </w:p>
    <w:p>
      <w:pPr>
        <w:spacing w:after="0" w:line="158"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A-2</w:t>
      </w:r>
    </w:p>
    <w:p>
      <w:pPr>
        <w:sectPr>
          <w:pgSz w:w="11900" w:h="16838" w:orient="portrait"/>
          <w:cols w:equalWidth="0" w:num="1">
            <w:col w:w="11020"/>
          </w:cols>
          <w:pgMar w:left="440" w:top="270" w:right="439" w:bottom="1440" w:gutter="0" w:footer="0" w:header="0"/>
        </w:sectPr>
      </w:pPr>
    </w:p>
    <w:bookmarkStart w:id="67" w:name="page68"/>
    <w:bookmarkEnd w:id="6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caused this Global Note to be duly executed as of the date first written above.</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14605</wp:posOffset>
            </wp:positionV>
            <wp:extent cx="2459990" cy="825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2">
                      <a:extLst>
                        <a:ext uri="{28A0092B-C50C-407E-A947-70E740481C1C}"/>
                      </a:extLst>
                    </a:blip>
                    <a:srcRect/>
                    <a:stretch>
                      <a:fillRect/>
                    </a:stretch>
                  </pic:blipFill>
                  <pic:spPr bwMode="auto">
                    <a:xfrm>
                      <a:off x="0" y="0"/>
                      <a:ext cx="245999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24"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7"/>
          <w:szCs w:val="17"/>
          <w:b w:val="1"/>
          <w:bCs w:val="1"/>
          <w:color w:val="auto"/>
        </w:rPr>
        <w:t>U.S. BANK TRUST COMPANY, NATIONAL</w:t>
      </w:r>
    </w:p>
    <w:p>
      <w:pPr>
        <w:spacing w:after="0" w:line="39"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ASSOCIATION,</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pacing w:after="0" w:line="157" w:lineRule="exact"/>
        <w:rPr>
          <w:sz w:val="20"/>
          <w:szCs w:val="20"/>
          <w:color w:val="auto"/>
        </w:rPr>
      </w:pPr>
    </w:p>
    <w:p>
      <w:pPr>
        <w:ind w:left="5360"/>
        <w:spacing w:after="0"/>
        <w:rPr>
          <w:sz w:val="20"/>
          <w:szCs w:val="20"/>
          <w:color w:val="auto"/>
        </w:rPr>
      </w:pPr>
      <w:r>
        <w:rPr>
          <w:rFonts w:ascii="Arial" w:cs="Arial" w:eastAsia="Arial" w:hAnsi="Arial"/>
          <w:sz w:val="18"/>
          <w:szCs w:val="18"/>
          <w:color w:val="auto"/>
        </w:rPr>
        <w:t>A-3</w:t>
      </w:r>
    </w:p>
    <w:p>
      <w:pPr>
        <w:sectPr>
          <w:pgSz w:w="11900" w:h="16838" w:orient="portrait"/>
          <w:cols w:equalWidth="0" w:num="1">
            <w:col w:w="10140"/>
          </w:cols>
          <w:pgMar w:left="440" w:top="274" w:right="1319" w:bottom="1440" w:gutter="0" w:footer="0" w:header="0"/>
        </w:sectPr>
      </w:pPr>
    </w:p>
    <w:bookmarkStart w:id="68" w:name="page69"/>
    <w:bookmarkEnd w:id="68"/>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(REVERSE OF NOTE)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5.750% Senior Notes due 2029</w:t>
      </w:r>
    </w:p>
    <w:p>
      <w:pPr>
        <w:spacing w:after="0" w:line="229" w:lineRule="exact"/>
        <w:rPr>
          <w:sz w:val="20"/>
          <w:szCs w:val="20"/>
          <w:color w:val="auto"/>
        </w:rPr>
      </w:pPr>
    </w:p>
    <w:p>
      <w:pPr>
        <w:jc w:val="both"/>
        <w:ind w:right="240" w:firstLine="436"/>
        <w:spacing w:after="0" w:line="301" w:lineRule="auto"/>
        <w:tabs>
          <w:tab w:leader="none" w:pos="695" w:val="left"/>
        </w:tabs>
        <w:numPr>
          <w:ilvl w:val="0"/>
          <w:numId w:val="88"/>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Inc., a Delaware corporation (such corporation, and its successors and assigns under the Indenture referred to</w:t>
      </w:r>
      <w:r>
        <w:rPr>
          <w:rFonts w:ascii="Arial" w:cs="Arial" w:eastAsia="Arial" w:hAnsi="Arial"/>
          <w:sz w:val="16"/>
          <w:szCs w:val="16"/>
          <w:i w:val="1"/>
          <w:iCs w:val="1"/>
          <w:color w:val="auto"/>
        </w:rPr>
        <w:t xml:space="preserve"> </w:t>
      </w:r>
      <w:r>
        <w:rPr>
          <w:rFonts w:ascii="Arial" w:cs="Arial" w:eastAsia="Arial" w:hAnsi="Arial"/>
          <w:sz w:val="16"/>
          <w:szCs w:val="16"/>
          <w:color w:val="auto"/>
        </w:rPr>
        <w:t>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February 15 and August 15 of each year, beginning on February 15, 2024. Interest on the Notes shall accrue from September 18, 2023 and shall be computed on the basis of a 360-day year consisting of twelve 30-day months.</w:t>
      </w:r>
    </w:p>
    <w:p>
      <w:pPr>
        <w:spacing w:after="0" w:line="157" w:lineRule="exact"/>
        <w:rPr>
          <w:rFonts w:ascii="Arial" w:cs="Arial" w:eastAsia="Arial" w:hAnsi="Arial"/>
          <w:sz w:val="16"/>
          <w:szCs w:val="16"/>
          <w:color w:val="auto"/>
        </w:rPr>
      </w:pPr>
    </w:p>
    <w:p>
      <w:pPr>
        <w:ind w:right="100" w:firstLine="436"/>
        <w:spacing w:after="0" w:line="273" w:lineRule="auto"/>
        <w:tabs>
          <w:tab w:leader="none" w:pos="695" w:val="left"/>
        </w:tabs>
        <w:numPr>
          <w:ilvl w:val="0"/>
          <w:numId w:val="88"/>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Notes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Notes at the close of business on the Record Date immediately preceding the Interest Payment Date even though such Notes are canceled after the Record Date and on or before the Interest Payment Date. Holders of certificated Notes must surrender certificated Notes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177" w:lineRule="exact"/>
        <w:rPr>
          <w:rFonts w:ascii="Arial" w:cs="Arial" w:eastAsia="Arial" w:hAnsi="Arial"/>
          <w:sz w:val="17"/>
          <w:szCs w:val="17"/>
          <w:color w:val="auto"/>
        </w:rPr>
      </w:pPr>
    </w:p>
    <w:p>
      <w:pPr>
        <w:ind w:right="20" w:firstLine="436"/>
        <w:spacing w:after="0" w:line="259" w:lineRule="auto"/>
        <w:tabs>
          <w:tab w:leader="none" w:pos="695" w:val="left"/>
        </w:tabs>
        <w:numPr>
          <w:ilvl w:val="0"/>
          <w:numId w:val="88"/>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Trust Company, National Association (successor in interest to U.S.</w:t>
      </w:r>
      <w:r>
        <w:rPr>
          <w:rFonts w:ascii="Arial" w:cs="Arial" w:eastAsia="Arial" w:hAnsi="Arial"/>
          <w:sz w:val="18"/>
          <w:szCs w:val="18"/>
          <w:i w:val="1"/>
          <w:iCs w:val="1"/>
          <w:color w:val="auto"/>
        </w:rPr>
        <w:t xml:space="preserve"> </w:t>
      </w:r>
      <w:r>
        <w:rPr>
          <w:rFonts w:ascii="Arial" w:cs="Arial" w:eastAsia="Arial" w:hAnsi="Arial"/>
          <w:sz w:val="18"/>
          <w:szCs w:val="18"/>
          <w:color w:val="auto"/>
        </w:rPr>
        <w:t>Bank National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186" w:lineRule="exact"/>
        <w:rPr>
          <w:rFonts w:ascii="Arial" w:cs="Arial" w:eastAsia="Arial" w:hAnsi="Arial"/>
          <w:sz w:val="18"/>
          <w:szCs w:val="18"/>
          <w:color w:val="auto"/>
        </w:rPr>
      </w:pPr>
    </w:p>
    <w:p>
      <w:pPr>
        <w:ind w:firstLine="436"/>
        <w:spacing w:after="0" w:line="272" w:lineRule="auto"/>
        <w:tabs>
          <w:tab w:leader="none" w:pos="695" w:val="left"/>
        </w:tabs>
        <w:numPr>
          <w:ilvl w:val="0"/>
          <w:numId w:val="88"/>
        </w:numPr>
        <w:rPr>
          <w:rFonts w:ascii="Arial" w:cs="Arial" w:eastAsia="Arial" w:hAnsi="Arial"/>
          <w:sz w:val="17"/>
          <w:szCs w:val="17"/>
          <w:color w:val="auto"/>
        </w:rPr>
      </w:pPr>
      <w:r>
        <w:rPr>
          <w:rFonts w:ascii="Arial" w:cs="Arial" w:eastAsia="Arial" w:hAnsi="Arial"/>
          <w:sz w:val="17"/>
          <w:szCs w:val="17"/>
          <w:i w:val="1"/>
          <w:iCs w:val="1"/>
          <w:color w:val="auto"/>
        </w:rPr>
        <w:t>Indenture</w:t>
      </w:r>
      <w:r>
        <w:rPr>
          <w:rFonts w:ascii="Arial" w:cs="Arial" w:eastAsia="Arial" w:hAnsi="Arial"/>
          <w:sz w:val="17"/>
          <w:szCs w:val="17"/>
          <w:color w:val="auto"/>
        </w:rPr>
        <w:t>. This Note is a “Security,” and the Notes are “Securities” issued under the Indenture, dated as of April 12, 2021 (the “</w:t>
      </w:r>
      <w:r>
        <w:rPr>
          <w:rFonts w:ascii="Arial" w:cs="Arial" w:eastAsia="Arial" w:hAnsi="Arial"/>
          <w:sz w:val="17"/>
          <w:szCs w:val="17"/>
          <w:u w:val="single" w:color="auto"/>
          <w:color w:val="auto"/>
        </w:rPr>
        <w:t>Base</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Indenture</w:t>
      </w:r>
      <w:r>
        <w:rPr>
          <w:rFonts w:ascii="Arial" w:cs="Arial" w:eastAsia="Arial" w:hAnsi="Arial"/>
          <w:sz w:val="17"/>
          <w:szCs w:val="17"/>
          <w:color w:val="auto"/>
        </w:rPr>
        <w:t>”), as supplemented by the Third Supplemental Indenture, dated as of September 18, 2023, (the “</w:t>
      </w:r>
      <w:r>
        <w:rPr>
          <w:rFonts w:ascii="Arial" w:cs="Arial" w:eastAsia="Arial" w:hAnsi="Arial"/>
          <w:sz w:val="17"/>
          <w:szCs w:val="17"/>
          <w:u w:val="single" w:color="auto"/>
          <w:color w:val="auto"/>
        </w:rPr>
        <w:t>Third Supplemental Indenture</w:t>
      </w:r>
      <w:r>
        <w:rPr>
          <w:rFonts w:ascii="Arial" w:cs="Arial" w:eastAsia="Arial" w:hAnsi="Arial"/>
          <w:sz w:val="17"/>
          <w:szCs w:val="17"/>
          <w:color w:val="auto"/>
        </w:rPr>
        <w:t>” and, together with the Base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between the Company and the Trustee. The Notes are unsecured general obligations of the Company and constitute the “5.750% Senior Notes due 2029,” initially limited to $500,000,000 in aggregate principal amount. The terms of the Notes include those stated in the Indenture. Capitalized terms used herein but not defined herein are used as defined in the Indenture. The Notes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177" w:lineRule="exact"/>
        <w:rPr>
          <w:rFonts w:ascii="Arial" w:cs="Arial" w:eastAsia="Arial" w:hAnsi="Arial"/>
          <w:sz w:val="17"/>
          <w:szCs w:val="17"/>
          <w:color w:val="auto"/>
        </w:rPr>
      </w:pPr>
    </w:p>
    <w:p>
      <w:pPr>
        <w:ind w:right="220" w:firstLine="436"/>
        <w:spacing w:after="0" w:line="342" w:lineRule="auto"/>
        <w:tabs>
          <w:tab w:leader="none" w:pos="695" w:val="left"/>
        </w:tabs>
        <w:numPr>
          <w:ilvl w:val="0"/>
          <w:numId w:val="88"/>
        </w:numPr>
        <w:rPr>
          <w:rFonts w:ascii="Arial" w:cs="Arial" w:eastAsia="Arial" w:hAnsi="Arial"/>
          <w:sz w:val="16"/>
          <w:szCs w:val="16"/>
          <w:color w:val="auto"/>
        </w:rPr>
      </w:pPr>
      <w:r>
        <w:rPr>
          <w:rFonts w:ascii="Arial" w:cs="Arial" w:eastAsia="Arial" w:hAnsi="Arial"/>
          <w:sz w:val="16"/>
          <w:szCs w:val="16"/>
          <w:i w:val="1"/>
          <w:iCs w:val="1"/>
          <w:color w:val="auto"/>
        </w:rPr>
        <w:t>Optional Redemption</w:t>
      </w:r>
      <w:r>
        <w:rPr>
          <w:rFonts w:ascii="Arial" w:cs="Arial" w:eastAsia="Arial" w:hAnsi="Arial"/>
          <w:sz w:val="16"/>
          <w:szCs w:val="16"/>
          <w:color w:val="auto"/>
        </w:rPr>
        <w:t>. Prior to January 15, 2029, the Company may redeem the Notes at its option, in whole or in part, at any time and from</w:t>
      </w:r>
      <w:r>
        <w:rPr>
          <w:rFonts w:ascii="Arial" w:cs="Arial" w:eastAsia="Arial" w:hAnsi="Arial"/>
          <w:sz w:val="16"/>
          <w:szCs w:val="16"/>
          <w:i w:val="1"/>
          <w:iCs w:val="1"/>
          <w:color w:val="auto"/>
        </w:rPr>
        <w:t xml:space="preserve"> </w:t>
      </w:r>
      <w:r>
        <w:rPr>
          <w:rFonts w:ascii="Arial" w:cs="Arial" w:eastAsia="Arial" w:hAnsi="Arial"/>
          <w:sz w:val="16"/>
          <w:szCs w:val="16"/>
          <w:color w:val="auto"/>
        </w:rPr>
        <w:t>time to time, at a redemption price (expressed as a percentage of principal amount and rounded to three decimal places) equal to the greater of:</w:t>
      </w:r>
    </w:p>
    <w:p>
      <w:pPr>
        <w:spacing w:after="0" w:line="16" w:lineRule="exact"/>
        <w:rPr>
          <w:sz w:val="20"/>
          <w:szCs w:val="20"/>
          <w:color w:val="auto"/>
        </w:rPr>
      </w:pPr>
    </w:p>
    <w:p>
      <w:pPr>
        <w:ind w:left="440" w:right="20" w:firstLine="423"/>
        <w:spacing w:after="0" w:line="263"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Notes matured on January 15, 2029) on a semi-annual basis (assuming a 360-day year consisting of twelve 30-day months) at the Treasury Rate plus 25 basis points less (b) interest accrued to the date of redemption, and</w:t>
      </w:r>
    </w:p>
    <w:p>
      <w:pPr>
        <w:spacing w:after="0" w:line="76" w:lineRule="exact"/>
        <w:rPr>
          <w:sz w:val="20"/>
          <w:szCs w:val="20"/>
          <w:color w:val="auto"/>
        </w:rPr>
      </w:pPr>
    </w:p>
    <w:p>
      <w:pPr>
        <w:ind w:left="860"/>
        <w:spacing w:after="0"/>
        <w:rPr>
          <w:sz w:val="20"/>
          <w:szCs w:val="20"/>
          <w:color w:val="auto"/>
        </w:rPr>
      </w:pPr>
      <w:r>
        <w:rPr>
          <w:rFonts w:ascii="Arial" w:cs="Arial" w:eastAsia="Arial" w:hAnsi="Arial"/>
          <w:sz w:val="18"/>
          <w:szCs w:val="18"/>
          <w:color w:val="auto"/>
        </w:rPr>
        <w:t>(2) 100% of the principal amount of the Notes to be redeemed,</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plus, in either case, accrued and unpaid interest thereon to the redemption date.</w:t>
      </w:r>
    </w:p>
    <w:p>
      <w:pPr>
        <w:spacing w:after="0" w:line="225" w:lineRule="exact"/>
        <w:rPr>
          <w:sz w:val="20"/>
          <w:szCs w:val="20"/>
          <w:color w:val="auto"/>
        </w:rPr>
      </w:pPr>
    </w:p>
    <w:p>
      <w:pPr>
        <w:ind w:right="220" w:firstLine="440"/>
        <w:spacing w:after="0" w:line="342" w:lineRule="auto"/>
        <w:rPr>
          <w:sz w:val="20"/>
          <w:szCs w:val="20"/>
          <w:color w:val="auto"/>
        </w:rPr>
      </w:pPr>
      <w:r>
        <w:rPr>
          <w:rFonts w:ascii="Arial" w:cs="Arial" w:eastAsia="Arial" w:hAnsi="Arial"/>
          <w:sz w:val="16"/>
          <w:szCs w:val="16"/>
          <w:color w:val="auto"/>
        </w:rPr>
        <w:t>On or after January 15, 2029, the Company may redeem the Notes, in whole or in part, at any time and from time to time, at a redemption price equal to 100% of the principal amount of the Notes being redeemed plus accrued and unpaid interest thereon to the redemption date.</w:t>
      </w:r>
    </w:p>
    <w:p>
      <w:pPr>
        <w:spacing w:after="0" w:line="56"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A-4</w:t>
      </w:r>
    </w:p>
    <w:p>
      <w:pPr>
        <w:sectPr>
          <w:pgSz w:w="11900" w:h="16838" w:orient="portrait"/>
          <w:cols w:equalWidth="0" w:num="1">
            <w:col w:w="10980"/>
          </w:cols>
          <w:pgMar w:left="440" w:top="274" w:right="479" w:bottom="1440" w:gutter="0" w:footer="0" w:header="0"/>
        </w:sectPr>
      </w:pPr>
    </w:p>
    <w:bookmarkStart w:id="69" w:name="page70"/>
    <w:bookmarkEnd w:id="69"/>
    <w:p>
      <w:pPr>
        <w:ind w:right="1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Company’s actions and determinations in determining the redemption price shall be conclusive and binding for all purposes, absent manifest error. The Trustee shall have no duty to calculate or verify the Company’s calculations of the redemption price.</w:t>
      </w:r>
    </w:p>
    <w:p>
      <w:pPr>
        <w:spacing w:after="0" w:line="170" w:lineRule="exact"/>
        <w:rPr>
          <w:sz w:val="20"/>
          <w:szCs w:val="20"/>
          <w:color w:val="auto"/>
        </w:rPr>
      </w:pPr>
    </w:p>
    <w:p>
      <w:pPr>
        <w:ind w:firstLine="440"/>
        <w:spacing w:after="0" w:line="268" w:lineRule="auto"/>
        <w:rPr>
          <w:sz w:val="20"/>
          <w:szCs w:val="20"/>
          <w:color w:val="auto"/>
        </w:rPr>
      </w:pPr>
      <w:r>
        <w:rPr>
          <w:rFonts w:ascii="Arial" w:cs="Arial" w:eastAsia="Arial" w:hAnsi="Arial"/>
          <w:sz w:val="17"/>
          <w:szCs w:val="17"/>
          <w:color w:val="auto"/>
        </w:rPr>
        <w:t>Notice of any redemption will be mailed or electronically delivered (or otherwise transmitted in accordance with the Depositary’s procedures) at least 10 days but not more than 60 days before the redemption date to each holder of the Notes to be redeemed (with a copy to the Trustee). Any redemption or notice may, at the Company’s discretion, be subject to one or more conditions precedent and, at the Company’s discretion, the redemption date may be delayed until such time as any or all such conditions shall be satisfied (or waived by the Company in its sole discretion), or the redemption date may not occur at all and such notice may be rescinded if all such conditions shall not have been satisfied (or waived by the Company in its sole discretion).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w:t>
      </w:r>
    </w:p>
    <w:p>
      <w:pPr>
        <w:spacing w:after="0" w:line="186"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In the case of a partial redemption, selection of the Notes for redemption will be made pro rata, by lot or by such other method as the Trustee in its sole discretion deems appropriate and fair. No Notes of a principal amount of $2,000 or less will be redeemed in part. If any Note is to be redeemed in part only, the notice of redemption that relates to the Note will state the portion of the principal amount of the Note to be redeemed. A new Note in a principal amount equal to the unredeemed portion of the Note will be issued in the name of the holder of the Note upon surrender for cancellation of the original Note. For so long as the Notes are held by DTC (or another depositary), the redemption of the Notes shall be done in accordance with the policies and procedures of the Depositary.</w:t>
      </w:r>
    </w:p>
    <w:p>
      <w:pPr>
        <w:spacing w:after="0" w:line="192"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Notes, or portions thereof, called for redemption.</w:t>
      </w:r>
    </w:p>
    <w:p>
      <w:pPr>
        <w:spacing w:after="0" w:line="170" w:lineRule="exact"/>
        <w:rPr>
          <w:sz w:val="20"/>
          <w:szCs w:val="20"/>
          <w:color w:val="auto"/>
        </w:rPr>
      </w:pPr>
    </w:p>
    <w:p>
      <w:pPr>
        <w:ind w:right="40" w:firstLine="440"/>
        <w:spacing w:after="0" w:line="275" w:lineRule="auto"/>
        <w:rPr>
          <w:sz w:val="20"/>
          <w:szCs w:val="20"/>
          <w:color w:val="auto"/>
        </w:rPr>
      </w:pPr>
      <w:r>
        <w:rPr>
          <w:rFonts w:ascii="Arial" w:cs="Arial" w:eastAsia="Arial" w:hAnsi="Arial"/>
          <w:sz w:val="17"/>
          <w:szCs w:val="17"/>
          <w:color w:val="auto"/>
        </w:rPr>
        <w:t>If any redemption date would otherwise be a day that is not a Business Day, the related payment of principal and interest will be made on the next succeeding Business Day as if it were made on the date such payment was due, and no interest will accrue on the amounts so payable for the period from and after such date to the next succeeding Business Day. Notwithstanding the foregoing, installments of interest on Notes that are due and payable on Interest Payment Dates falling on or prior to a redemption date shall be payable on the Interest Payment Date to the registered Holders as of the close of business on the relevant Record Date in accordance with the provisions of the Notes and the Indenture.</w:t>
      </w:r>
    </w:p>
    <w:p>
      <w:pPr>
        <w:spacing w:after="0" w:line="176" w:lineRule="exact"/>
        <w:rPr>
          <w:sz w:val="20"/>
          <w:szCs w:val="20"/>
          <w:color w:val="auto"/>
        </w:rPr>
      </w:pPr>
    </w:p>
    <w:p>
      <w:pPr>
        <w:ind w:right="340" w:firstLine="440"/>
        <w:spacing w:after="0" w:line="263" w:lineRule="auto"/>
        <w:rPr>
          <w:sz w:val="20"/>
          <w:szCs w:val="20"/>
          <w:color w:val="auto"/>
        </w:rPr>
      </w:pPr>
      <w:r>
        <w:rPr>
          <w:rFonts w:ascii="Arial" w:cs="Arial" w:eastAsia="Arial" w:hAnsi="Arial"/>
          <w:sz w:val="18"/>
          <w:szCs w:val="18"/>
          <w:color w:val="auto"/>
        </w:rPr>
        <w:t>On or before the redemption date for the Notes, the Company shall deposit with the Trustee or a Paying Agent funds sufficient to pay the redemption price of the Notes to be redeemed on the redemption date, and (except if the redemption date shall be an Interest Payment Date) accrued interest, if any.</w:t>
      </w:r>
    </w:p>
    <w:p>
      <w:pPr>
        <w:spacing w:after="0" w:line="184" w:lineRule="exact"/>
        <w:rPr>
          <w:sz w:val="20"/>
          <w:szCs w:val="20"/>
          <w:color w:val="auto"/>
        </w:rPr>
      </w:pPr>
    </w:p>
    <w:p>
      <w:pPr>
        <w:ind w:right="80" w:firstLine="436"/>
        <w:spacing w:after="0" w:line="257" w:lineRule="auto"/>
        <w:tabs>
          <w:tab w:leader="none" w:pos="695" w:val="left"/>
        </w:tabs>
        <w:numPr>
          <w:ilvl w:val="0"/>
          <w:numId w:val="89"/>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Notes, unless the Company shall</w:t>
      </w:r>
      <w:r>
        <w:rPr>
          <w:rFonts w:ascii="Arial" w:cs="Arial" w:eastAsia="Arial" w:hAnsi="Arial"/>
          <w:sz w:val="18"/>
          <w:szCs w:val="18"/>
          <w:i w:val="1"/>
          <w:iCs w:val="1"/>
          <w:color w:val="auto"/>
        </w:rPr>
        <w:t xml:space="preserve"> </w:t>
      </w:r>
      <w:r>
        <w:rPr>
          <w:rFonts w:ascii="Arial" w:cs="Arial" w:eastAsia="Arial" w:hAnsi="Arial"/>
          <w:sz w:val="18"/>
          <w:szCs w:val="18"/>
          <w:color w:val="auto"/>
        </w:rPr>
        <w:t>have exercised its option pursuant to Section (5) hereof to redeem the Notes, each Holder of the Notes shall have the right to require the Company to repurchase all or any part (equal to $2,000 and multiples of $1,000 in excess thereof) of that Holder’s Notes at a repurchase price in cash equal to 101% of the aggregate principal amount of the Notes to be repurchased plus any accrued and unpaid interest on such Notes to, but excluding, the repurchase date.</w:t>
      </w:r>
    </w:p>
    <w:p>
      <w:pPr>
        <w:spacing w:after="0" w:line="188" w:lineRule="exact"/>
        <w:rPr>
          <w:sz w:val="20"/>
          <w:szCs w:val="20"/>
          <w:color w:val="auto"/>
        </w:rPr>
      </w:pPr>
    </w:p>
    <w:p>
      <w:pPr>
        <w:ind w:right="80" w:firstLine="440"/>
        <w:spacing w:after="0" w:line="271" w:lineRule="auto"/>
        <w:rPr>
          <w:sz w:val="20"/>
          <w:szCs w:val="20"/>
          <w:color w:val="auto"/>
        </w:rPr>
      </w:pPr>
      <w:r>
        <w:rPr>
          <w:rFonts w:ascii="Arial" w:cs="Arial" w:eastAsia="Arial" w:hAnsi="Arial"/>
          <w:sz w:val="17"/>
          <w:szCs w:val="17"/>
          <w:color w:val="auto"/>
        </w:rPr>
        <w:t>Within 30 days following any Change of Control Repurchase Event with respect to the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Notes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10 days and no later than 60 days from the date such notice is delivered. The Change of Control Notice shall, if delivered prior to the date of consummation of the Change of Control, state that the Company’s obligation to repurchase the Notes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17" w:lineRule="exact"/>
        <w:rPr>
          <w:sz w:val="20"/>
          <w:szCs w:val="20"/>
          <w:color w:val="auto"/>
        </w:rPr>
      </w:pPr>
    </w:p>
    <w:p>
      <w:pPr>
        <w:ind w:left="660" w:hanging="224"/>
        <w:spacing w:after="0"/>
        <w:tabs>
          <w:tab w:leader="none" w:pos="660" w:val="left"/>
        </w:tabs>
        <w:numPr>
          <w:ilvl w:val="0"/>
          <w:numId w:val="90"/>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180" w:hanging="4"/>
        <w:spacing w:after="0" w:line="277" w:lineRule="auto"/>
        <w:tabs>
          <w:tab w:leader="none" w:pos="705" w:val="left"/>
        </w:tabs>
        <w:numPr>
          <w:ilvl w:val="0"/>
          <w:numId w:val="90"/>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103"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A-5</w:t>
      </w:r>
    </w:p>
    <w:p>
      <w:pPr>
        <w:sectPr>
          <w:pgSz w:w="11900" w:h="16838" w:orient="portrait"/>
          <w:cols w:equalWidth="0" w:num="1">
            <w:col w:w="11000"/>
          </w:cols>
          <w:pgMar w:left="440" w:top="274" w:right="459" w:bottom="1440" w:gutter="0" w:footer="0" w:header="0"/>
        </w:sectPr>
      </w:pPr>
    </w:p>
    <w:bookmarkStart w:id="70" w:name="page71"/>
    <w:bookmarkEnd w:id="70"/>
    <w:p>
      <w:pPr>
        <w:ind w:left="440" w:right="620" w:hanging="4"/>
        <w:spacing w:after="0" w:line="277" w:lineRule="auto"/>
        <w:tabs>
          <w:tab w:leader="none" w:pos="755" w:val="left"/>
        </w:tabs>
        <w:numPr>
          <w:ilvl w:val="0"/>
          <w:numId w:val="91"/>
        </w:numPr>
        <w:rPr>
          <w:rFonts w:ascii="Arial" w:cs="Arial" w:eastAsia="Arial" w:hAnsi="Arial"/>
          <w:sz w:val="18"/>
          <w:szCs w:val="18"/>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deliver or cause to be delivered to the Trustee the Notes properly accepted, together with an Officer’s Certificate stating the aggregate principal amount of the Notes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Notes validly tender and do not withdraw such Notes in a Change of Control Offer and the Company, or any third party making a Change of Control Offer in lieu of the Company pursuant to Section 4.02(d) of the Third Supplemental Indenture, purchases all of the Notes validly tendered and not withdrawn by such Holders, the Company shall have the right, upon not less than 10 nor more than 60 days’ prior written notice to the Holders of the Notes (with a copy to the trustee), given not more than 30 days following such purchase pursuant to the Change of Control Offer described above, to redeem all Notes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6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(6), the Company shall comply with those securities laws and regulations and shall not be deemed to have breached its obligations under this Section (6)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(6) to the extent permitted by such securities laws or regulations.</w:t>
      </w:r>
    </w:p>
    <w:p>
      <w:pPr>
        <w:spacing w:after="0" w:line="178" w:lineRule="exact"/>
        <w:rPr>
          <w:sz w:val="20"/>
          <w:szCs w:val="20"/>
          <w:color w:val="auto"/>
        </w:rPr>
      </w:pPr>
    </w:p>
    <w:p>
      <w:pPr>
        <w:ind w:right="80" w:firstLine="436"/>
        <w:spacing w:after="0" w:line="272" w:lineRule="auto"/>
        <w:tabs>
          <w:tab w:leader="none" w:pos="695" w:val="left"/>
        </w:tabs>
        <w:numPr>
          <w:ilvl w:val="0"/>
          <w:numId w:val="92"/>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Notes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Notes may be registered, and Notes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Notes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Note so selected for redemption, in whole or in part, except the unredeemed portion of any Note being redeemed in part.</w:t>
      </w:r>
    </w:p>
    <w:p>
      <w:pPr>
        <w:spacing w:after="0" w:line="177" w:lineRule="exact"/>
        <w:rPr>
          <w:rFonts w:ascii="Arial" w:cs="Arial" w:eastAsia="Arial" w:hAnsi="Arial"/>
          <w:sz w:val="17"/>
          <w:szCs w:val="17"/>
          <w:color w:val="auto"/>
        </w:rPr>
      </w:pPr>
    </w:p>
    <w:p>
      <w:pPr>
        <w:ind w:right="180" w:firstLine="436"/>
        <w:spacing w:after="0" w:line="263" w:lineRule="auto"/>
        <w:tabs>
          <w:tab w:leader="none" w:pos="695" w:val="left"/>
        </w:tabs>
        <w:numPr>
          <w:ilvl w:val="0"/>
          <w:numId w:val="92"/>
        </w:numPr>
        <w:rPr>
          <w:rFonts w:ascii="Arial" w:cs="Arial" w:eastAsia="Arial" w:hAnsi="Arial"/>
          <w:sz w:val="18"/>
          <w:szCs w:val="18"/>
          <w:color w:val="auto"/>
        </w:rPr>
      </w:pPr>
      <w:r>
        <w:rPr>
          <w:rFonts w:ascii="Arial" w:cs="Arial" w:eastAsia="Arial" w:hAnsi="Arial"/>
          <w:sz w:val="18"/>
          <w:szCs w:val="18"/>
          <w:i w:val="1"/>
          <w:iCs w:val="1"/>
          <w:color w:val="auto"/>
        </w:rPr>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Notes and the Indenture if the Company deposits with the Trustee money and/or U.S. Government Obligations for the payment of principal and interest on the Notes to their Stated Maturity.</w:t>
      </w:r>
    </w:p>
    <w:p>
      <w:pPr>
        <w:spacing w:after="0" w:line="183" w:lineRule="exact"/>
        <w:rPr>
          <w:rFonts w:ascii="Arial" w:cs="Arial" w:eastAsia="Arial" w:hAnsi="Arial"/>
          <w:sz w:val="18"/>
          <w:szCs w:val="18"/>
          <w:color w:val="auto"/>
        </w:rPr>
      </w:pPr>
    </w:p>
    <w:p>
      <w:pPr>
        <w:ind w:right="660" w:firstLine="436"/>
        <w:spacing w:after="0" w:line="342" w:lineRule="auto"/>
        <w:tabs>
          <w:tab w:leader="none" w:pos="695" w:val="left"/>
        </w:tabs>
        <w:numPr>
          <w:ilvl w:val="0"/>
          <w:numId w:val="92"/>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Note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23" w:lineRule="exact"/>
        <w:rPr>
          <w:rFonts w:ascii="Arial" w:cs="Arial" w:eastAsia="Arial" w:hAnsi="Arial"/>
          <w:sz w:val="16"/>
          <w:szCs w:val="16"/>
          <w:color w:val="auto"/>
        </w:rPr>
      </w:pPr>
    </w:p>
    <w:p>
      <w:pPr>
        <w:ind w:right="60" w:firstLine="436"/>
        <w:spacing w:after="0" w:line="290" w:lineRule="auto"/>
        <w:tabs>
          <w:tab w:leader="none" w:pos="785" w:val="left"/>
        </w:tabs>
        <w:numPr>
          <w:ilvl w:val="0"/>
          <w:numId w:val="92"/>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Notes may be amended or supplemented with respect to this</w:t>
      </w:r>
      <w:r>
        <w:rPr>
          <w:rFonts w:ascii="Arial" w:cs="Arial" w:eastAsia="Arial" w:hAnsi="Arial"/>
          <w:sz w:val="16"/>
          <w:szCs w:val="16"/>
          <w:i w:val="1"/>
          <w:iCs w:val="1"/>
          <w:color w:val="auto"/>
        </w:rPr>
        <w:t xml:space="preserve"> </w:t>
      </w:r>
      <w:r>
        <w:rPr>
          <w:rFonts w:ascii="Arial" w:cs="Arial" w:eastAsia="Arial" w:hAnsi="Arial"/>
          <w:sz w:val="16"/>
          <w:szCs w:val="16"/>
          <w:color w:val="auto"/>
        </w:rPr>
        <w:t>series with the consent of the Holders of a majority in principal amount of the Notes; and (ii) any existing default with respect to the Notes may be waived with the consent of the Holders of a majority in principal amount of the Notes. Without the consent of any Holder of this series, the Indenture or the Notes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Notes or Notes registered under the Securities Act and offered in exchange for this series, to provide for guarantees with respect to, or security for, the Notes,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A-6</w:t>
      </w:r>
    </w:p>
    <w:p>
      <w:pPr>
        <w:sectPr>
          <w:pgSz w:w="11900" w:h="16838" w:orient="portrait"/>
          <w:cols w:equalWidth="0" w:num="1">
            <w:col w:w="11000"/>
          </w:cols>
          <w:pgMar w:left="440" w:top="274" w:right="459" w:bottom="1440" w:gutter="0" w:footer="0" w:header="0"/>
        </w:sectPr>
      </w:pPr>
    </w:p>
    <w:bookmarkStart w:id="71" w:name="page72"/>
    <w:bookmarkEnd w:id="71"/>
    <w:p>
      <w:pPr>
        <w:ind w:right="100" w:firstLine="436"/>
        <w:spacing w:after="0" w:line="272" w:lineRule="auto"/>
        <w:tabs>
          <w:tab w:leader="none" w:pos="778" w:val="left"/>
        </w:tabs>
        <w:numPr>
          <w:ilvl w:val="0"/>
          <w:numId w:val="93"/>
        </w:numPr>
        <w:rPr>
          <w:rFonts w:ascii="Arial" w:cs="Arial" w:eastAsia="Arial" w:hAnsi="Arial"/>
          <w:sz w:val="17"/>
          <w:szCs w:val="17"/>
          <w:color w:val="auto"/>
        </w:rPr>
      </w:pPr>
      <w:r>
        <w:rPr>
          <w:rFonts w:ascii="Arial" w:cs="Arial" w:eastAsia="Arial" w:hAnsi="Arial"/>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Remedies. </w:t>
      </w:r>
      <w:r>
        <w:rPr>
          <w:rFonts w:ascii="Arial" w:cs="Arial" w:eastAsia="Arial" w:hAnsi="Arial"/>
          <w:sz w:val="17"/>
          <w:szCs w:val="17"/>
          <w:color w:val="auto"/>
        </w:rPr>
        <w:t>If an Event of Default with respect to the Notes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Notes may, by notice in writing to the Company (and the Trustee if given by the Holders), declare all the Notes to be due and payable immediately. Holders may not enforce the Indenture or the Notes except as provided in the Indenture. The Trustee may require security or indemnity before it enforces the Indenture or the Notes. Subject to certain limitations, Holders of a majority in principal amount of the outstanding Notes may direct the Trustee in its exercise of any trust or power with respect to the Notes.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177" w:lineRule="exact"/>
        <w:rPr>
          <w:rFonts w:ascii="Arial" w:cs="Arial" w:eastAsia="Arial" w:hAnsi="Arial"/>
          <w:sz w:val="17"/>
          <w:szCs w:val="17"/>
          <w:color w:val="auto"/>
        </w:rPr>
      </w:pPr>
    </w:p>
    <w:p>
      <w:pPr>
        <w:ind w:right="280" w:firstLine="436"/>
        <w:spacing w:after="0" w:line="259" w:lineRule="auto"/>
        <w:tabs>
          <w:tab w:leader="none" w:pos="78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Trustee Dealings with Company. </w:t>
      </w:r>
      <w:r>
        <w:rPr>
          <w:rFonts w:ascii="Arial" w:cs="Arial" w:eastAsia="Arial" w:hAnsi="Arial"/>
          <w:sz w:val="18"/>
          <w:szCs w:val="18"/>
          <w:color w:val="auto"/>
        </w:rPr>
        <w:t>Subject to the provisions of the Trust Indenture Act, if applicable, the Trustee under the Indenture, in its</w:t>
      </w:r>
      <w:r>
        <w:rPr>
          <w:rFonts w:ascii="Arial" w:cs="Arial" w:eastAsia="Arial" w:hAnsi="Arial"/>
          <w:sz w:val="18"/>
          <w:szCs w:val="18"/>
          <w:i w:val="1"/>
          <w:iCs w:val="1"/>
          <w:color w:val="auto"/>
        </w:rPr>
        <w:t xml:space="preserve"> </w:t>
      </w:r>
      <w:r>
        <w:rPr>
          <w:rFonts w:ascii="Arial" w:cs="Arial" w:eastAsia="Arial" w:hAnsi="Arial"/>
          <w:sz w:val="18"/>
          <w:szCs w:val="18"/>
          <w:color w:val="auto"/>
        </w:rPr>
        <w:t>individual or any other capacity, may make loans to, accept deposits from, and perform services for the Company or its Affiliates, and may otherwise deal with the Company or its Affiliates, as if it were not Trustee. The Trustee shall initially be U.S. Bank Trust Company, National Association (successor in interest to U.S. Bank National Association).</w:t>
      </w:r>
    </w:p>
    <w:p>
      <w:pPr>
        <w:spacing w:after="0" w:line="186" w:lineRule="exact"/>
        <w:rPr>
          <w:rFonts w:ascii="Arial" w:cs="Arial" w:eastAsia="Arial" w:hAnsi="Arial"/>
          <w:sz w:val="18"/>
          <w:szCs w:val="18"/>
          <w:color w:val="auto"/>
        </w:rPr>
      </w:pPr>
    </w:p>
    <w:p>
      <w:pPr>
        <w:ind w:firstLine="436"/>
        <w:spacing w:after="0" w:line="259" w:lineRule="auto"/>
        <w:tabs>
          <w:tab w:leader="none" w:pos="78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No Recourse Against Others. </w:t>
      </w:r>
      <w:r>
        <w:rPr>
          <w:rFonts w:ascii="Arial" w:cs="Arial" w:eastAsia="Arial" w:hAnsi="Arial"/>
          <w:sz w:val="18"/>
          <w:szCs w:val="18"/>
          <w:color w:val="auto"/>
        </w:rPr>
        <w:t>A director, officer, incorporator or shareholder, as such, past, present or future, of the Company or any</w:t>
      </w:r>
      <w:r>
        <w:rPr>
          <w:rFonts w:ascii="Arial" w:cs="Arial" w:eastAsia="Arial" w:hAnsi="Arial"/>
          <w:sz w:val="18"/>
          <w:szCs w:val="18"/>
          <w:i w:val="1"/>
          <w:iCs w:val="1"/>
          <w:color w:val="auto"/>
        </w:rPr>
        <w:t xml:space="preserve"> </w:t>
      </w:r>
      <w:r>
        <w:rPr>
          <w:rFonts w:ascii="Arial" w:cs="Arial" w:eastAsia="Arial" w:hAnsi="Arial"/>
          <w:sz w:val="18"/>
          <w:szCs w:val="18"/>
          <w:color w:val="auto"/>
        </w:rPr>
        <w:t>successor corporation of the Company, shall not have any liability for any obligations of the Company or any Guarantor under the Notes or the Indenture or for any claim based on, in respect of or by reason of such obligations or their creation. Each Holder by accepting a Note waives and releases all such liability. The waiver and release are part of the consideration for the issue of the Notes.</w:t>
      </w:r>
    </w:p>
    <w:p>
      <w:pPr>
        <w:spacing w:after="0" w:line="186" w:lineRule="exact"/>
        <w:rPr>
          <w:rFonts w:ascii="Arial" w:cs="Arial" w:eastAsia="Arial" w:hAnsi="Arial"/>
          <w:sz w:val="18"/>
          <w:szCs w:val="18"/>
          <w:color w:val="auto"/>
        </w:rPr>
      </w:pPr>
    </w:p>
    <w:p>
      <w:pPr>
        <w:ind w:right="580" w:firstLine="436"/>
        <w:spacing w:after="0" w:line="277" w:lineRule="auto"/>
        <w:tabs>
          <w:tab w:leader="none" w:pos="78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Note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170" w:lineRule="exact"/>
        <w:rPr>
          <w:rFonts w:ascii="Arial" w:cs="Arial" w:eastAsia="Arial" w:hAnsi="Arial"/>
          <w:sz w:val="18"/>
          <w:szCs w:val="18"/>
          <w:color w:val="auto"/>
        </w:rPr>
      </w:pPr>
    </w:p>
    <w:p>
      <w:pPr>
        <w:jc w:val="both"/>
        <w:ind w:right="340" w:firstLine="436"/>
        <w:spacing w:after="0" w:line="263" w:lineRule="auto"/>
        <w:tabs>
          <w:tab w:leader="none" w:pos="78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83" w:lineRule="exact"/>
        <w:rPr>
          <w:rFonts w:ascii="Arial" w:cs="Arial" w:eastAsia="Arial" w:hAnsi="Arial"/>
          <w:sz w:val="18"/>
          <w:szCs w:val="18"/>
          <w:color w:val="auto"/>
        </w:rPr>
      </w:pPr>
    </w:p>
    <w:p>
      <w:pPr>
        <w:ind w:right="1000" w:firstLine="436"/>
        <w:spacing w:after="0" w:line="277" w:lineRule="auto"/>
        <w:tabs>
          <w:tab w:leader="none" w:pos="785" w:val="left"/>
        </w:tabs>
        <w:numPr>
          <w:ilvl w:val="0"/>
          <w:numId w:val="93"/>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NOTE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pacing w:after="0" w:line="170" w:lineRule="exact"/>
        <w:rPr>
          <w:sz w:val="20"/>
          <w:szCs w:val="20"/>
          <w:color w:val="auto"/>
        </w:rPr>
      </w:pPr>
    </w:p>
    <w:p>
      <w:pPr>
        <w:ind w:right="280" w:firstLine="440"/>
        <w:spacing w:after="0" w:line="286" w:lineRule="auto"/>
        <w:rPr>
          <w:sz w:val="20"/>
          <w:szCs w:val="20"/>
          <w:color w:val="auto"/>
        </w:rPr>
      </w:pPr>
      <w:r>
        <w:rPr>
          <w:rFonts w:ascii="Arial" w:cs="Arial" w:eastAsia="Arial" w:hAnsi="Arial"/>
          <w:sz w:val="17"/>
          <w:szCs w:val="17"/>
          <w:color w:val="auto"/>
        </w:rPr>
        <w:t>Pursuant to a recommendation promulgated by the Committee on Uniform Security Identification Procedures, the Company has caused CUSIP numbers to be printed on the Notes. No representation is made as to the accuracy of such numbers (or as to the accuracy of ISIN numbers or similar numbers) as printed on the Notes and reliance may be placed only on the other identification numbers placed thereon.</w:t>
      </w:r>
    </w:p>
    <w:p>
      <w:pPr>
        <w:spacing w:after="0" w:line="165" w:lineRule="exact"/>
        <w:rPr>
          <w:sz w:val="20"/>
          <w:szCs w:val="20"/>
          <w:color w:val="auto"/>
        </w:rPr>
      </w:pPr>
    </w:p>
    <w:p>
      <w:pPr>
        <w:ind w:right="640" w:firstLine="4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NOTE, IN TWELVE-POINT TYPE. REQUESTS MAY BE MADE TO: MARVELL TECHNOLOGY, INC., 1000 N. WEST STREET, SUITE 1200, WILMINGTON, DE 19801, ATTENTION: CORPORATE SECRETARY.</w:t>
      </w:r>
    </w:p>
    <w:p>
      <w:pPr>
        <w:spacing w:after="0" w:line="98"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A-7</w:t>
      </w:r>
    </w:p>
    <w:p>
      <w:pPr>
        <w:sectPr>
          <w:pgSz w:w="11900" w:h="16838" w:orient="portrait"/>
          <w:cols w:equalWidth="0" w:num="1">
            <w:col w:w="11020"/>
          </w:cols>
          <w:pgMar w:left="440" w:top="274" w:right="439" w:bottom="1440" w:gutter="0" w:footer="0" w:header="0"/>
        </w:sectPr>
      </w:pPr>
    </w:p>
    <w:bookmarkStart w:id="72" w:name="page73"/>
    <w:bookmarkEnd w:id="72"/>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SCHEDULE OF INCREASES AND DECREASES IN GLOBAL NOTES</w:t>
      </w:r>
    </w:p>
    <w:p>
      <w:pPr>
        <w:spacing w:after="0" w:line="229" w:lineRule="exact"/>
        <w:rPr>
          <w:sz w:val="20"/>
          <w:szCs w:val="20"/>
          <w:color w:val="auto"/>
        </w:rPr>
      </w:pPr>
    </w:p>
    <w:p>
      <w:pPr>
        <w:ind w:right="80"/>
        <w:spacing w:after="0" w:line="277" w:lineRule="auto"/>
        <w:rPr>
          <w:sz w:val="20"/>
          <w:szCs w:val="20"/>
          <w:color w:val="auto"/>
        </w:rPr>
      </w:pPr>
      <w:r>
        <w:rPr>
          <w:rFonts w:ascii="Arial" w:cs="Arial" w:eastAsia="Arial" w:hAnsi="Arial"/>
          <w:sz w:val="18"/>
          <w:szCs w:val="18"/>
          <w:color w:val="auto"/>
        </w:rPr>
        <w:t>The initial principal amount of this Global Note is FIVE HUNDRED THOUSAND DOLLARS ($ 500,000,000). The following increases and decreases in principal amount of this Global Note have been made: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580" w:type="dxa"/>
            <w:vAlign w:val="bottom"/>
          </w:tcPr>
          <w:p>
            <w:pPr>
              <w:spacing w:after="0"/>
              <w:rPr>
                <w:sz w:val="14"/>
                <w:szCs w:val="14"/>
                <w:color w:val="auto"/>
              </w:rPr>
            </w:pPr>
          </w:p>
        </w:tc>
        <w:tc>
          <w:tcPr>
            <w:tcW w:w="5140" w:type="dxa"/>
            <w:vAlign w:val="bottom"/>
          </w:tcPr>
          <w:p>
            <w:pPr>
              <w:spacing w:after="0"/>
              <w:rPr>
                <w:sz w:val="14"/>
                <w:szCs w:val="14"/>
                <w:color w:val="auto"/>
              </w:rPr>
            </w:pPr>
          </w:p>
        </w:tc>
        <w:tc>
          <w:tcPr>
            <w:tcW w:w="1180" w:type="dxa"/>
            <w:vAlign w:val="bottom"/>
            <w:gridSpan w:val="2"/>
            <w:vMerge w:val="restart"/>
          </w:tcPr>
          <w:p>
            <w:pPr>
              <w:jc w:val="center"/>
              <w:ind w:right="600"/>
              <w:spacing w:after="0"/>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vMerge w:val="restart"/>
          </w:tcPr>
          <w:p>
            <w:pPr>
              <w:jc w:val="center"/>
              <w:ind w:right="620"/>
              <w:spacing w:after="0"/>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40"/>
              <w:spacing w:after="0"/>
              <w:rPr>
                <w:sz w:val="20"/>
                <w:szCs w:val="20"/>
                <w:color w:val="auto"/>
              </w:rPr>
            </w:pPr>
            <w:r>
              <w:rPr>
                <w:rFonts w:ascii="Arial" w:cs="Arial" w:eastAsia="Arial" w:hAnsi="Arial"/>
                <w:sz w:val="14"/>
                <w:szCs w:val="14"/>
                <w:b w:val="1"/>
                <w:bCs w:val="1"/>
                <w:color w:val="auto"/>
                <w:w w:val="94"/>
              </w:rPr>
              <w:t>Principal</w:t>
            </w:r>
          </w:p>
        </w:tc>
        <w:tc>
          <w:tcPr>
            <w:tcW w:w="6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12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4"/>
              </w:rPr>
              <w:t>amount</w:t>
            </w: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 this</w:t>
            </w: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5"/>
              </w:rPr>
              <w:t>decrease</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87"/>
              </w:rPr>
              <w:t>increase</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Global</w:t>
            </w: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in</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in</w:t>
            </w:r>
          </w:p>
        </w:tc>
        <w:tc>
          <w:tcPr>
            <w:tcW w:w="12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9"/>
              </w:rPr>
              <w:t>Note</w:t>
            </w:r>
          </w:p>
        </w:tc>
        <w:tc>
          <w:tcPr>
            <w:tcW w:w="72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5"/>
              </w:rPr>
              <w:t>principal</w:t>
            </w:r>
          </w:p>
        </w:tc>
        <w:tc>
          <w:tcPr>
            <w:tcW w:w="120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5"/>
              </w:rPr>
              <w:t>principal</w:t>
            </w:r>
          </w:p>
        </w:tc>
        <w:tc>
          <w:tcPr>
            <w:tcW w:w="12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1"/>
              </w:rPr>
              <w:t>following</w:t>
            </w:r>
          </w:p>
        </w:tc>
        <w:tc>
          <w:tcPr>
            <w:tcW w:w="7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4"/>
              </w:rPr>
              <w:t>amount</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amount</w:t>
            </w:r>
          </w:p>
        </w:tc>
        <w:tc>
          <w:tcPr>
            <w:tcW w:w="12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such</w:t>
            </w:r>
          </w:p>
        </w:tc>
        <w:tc>
          <w:tcPr>
            <w:tcW w:w="7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514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0"/>
              </w:rPr>
              <w:t>of this</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0"/>
              </w:rPr>
              <w:t>of this</w:t>
            </w:r>
          </w:p>
        </w:tc>
        <w:tc>
          <w:tcPr>
            <w:tcW w:w="12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decrease</w:t>
            </w:r>
          </w:p>
        </w:tc>
        <w:tc>
          <w:tcPr>
            <w:tcW w:w="7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1580" w:type="dxa"/>
            <w:vAlign w:val="bottom"/>
            <w:vMerge w:val="restart"/>
          </w:tcPr>
          <w:p>
            <w:pPr>
              <w:spacing w:after="0"/>
              <w:rPr>
                <w:sz w:val="20"/>
                <w:szCs w:val="20"/>
                <w:color w:val="auto"/>
              </w:rPr>
            </w:pPr>
            <w:r>
              <w:rPr>
                <w:rFonts w:ascii="Arial" w:cs="Arial" w:eastAsia="Arial" w:hAnsi="Arial"/>
                <w:sz w:val="14"/>
                <w:szCs w:val="14"/>
                <w:b w:val="1"/>
                <w:bCs w:val="1"/>
                <w:color w:val="auto"/>
                <w:w w:val="89"/>
              </w:rPr>
              <w:t>Date of Increase/Decrease</w:t>
            </w:r>
          </w:p>
        </w:tc>
        <w:tc>
          <w:tcPr>
            <w:tcW w:w="5140" w:type="dxa"/>
            <w:vAlign w:val="bottom"/>
          </w:tcPr>
          <w:p>
            <w:pPr>
              <w:spacing w:after="0"/>
              <w:rPr>
                <w:sz w:val="12"/>
                <w:szCs w:val="12"/>
                <w:color w:val="auto"/>
              </w:rPr>
            </w:pPr>
          </w:p>
        </w:tc>
        <w:tc>
          <w:tcPr>
            <w:tcW w:w="1180" w:type="dxa"/>
            <w:vAlign w:val="bottom"/>
            <w:gridSpan w:val="2"/>
          </w:tcPr>
          <w:p>
            <w:pPr>
              <w:jc w:val="center"/>
              <w:ind w:right="600"/>
              <w:spacing w:after="0" w:line="149" w:lineRule="exact"/>
              <w:rPr>
                <w:sz w:val="20"/>
                <w:szCs w:val="20"/>
                <w:color w:val="auto"/>
              </w:rPr>
            </w:pPr>
            <w:r>
              <w:rPr>
                <w:rFonts w:ascii="Arial" w:cs="Arial" w:eastAsia="Arial" w:hAnsi="Arial"/>
                <w:sz w:val="14"/>
                <w:szCs w:val="14"/>
                <w:b w:val="1"/>
                <w:bCs w:val="1"/>
                <w:color w:val="auto"/>
                <w:w w:val="96"/>
              </w:rPr>
              <w:t>Global</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Global</w:t>
            </w:r>
          </w:p>
        </w:tc>
        <w:tc>
          <w:tcPr>
            <w:tcW w:w="1200" w:type="dxa"/>
            <w:vAlign w:val="bottom"/>
            <w:gridSpan w:val="2"/>
          </w:tcPr>
          <w:p>
            <w:pPr>
              <w:jc w:val="center"/>
              <w:ind w:right="620"/>
              <w:spacing w:after="0" w:line="149" w:lineRule="exact"/>
              <w:rPr>
                <w:sz w:val="20"/>
                <w:szCs w:val="20"/>
                <w:color w:val="auto"/>
              </w:rPr>
            </w:pPr>
            <w:r>
              <w:rPr>
                <w:rFonts w:ascii="Arial" w:cs="Arial" w:eastAsia="Arial" w:hAnsi="Arial"/>
                <w:sz w:val="14"/>
                <w:szCs w:val="14"/>
                <w:b w:val="1"/>
                <w:bCs w:val="1"/>
                <w:color w:val="auto"/>
                <w:w w:val="96"/>
              </w:rPr>
              <w:t>(or</w:t>
            </w:r>
          </w:p>
        </w:tc>
        <w:tc>
          <w:tcPr>
            <w:tcW w:w="7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65"/>
        </w:trPr>
        <w:tc>
          <w:tcPr>
            <w:tcW w:w="1580" w:type="dxa"/>
            <w:vAlign w:val="bottom"/>
            <w:vMerge w:val="continue"/>
          </w:tcPr>
          <w:p>
            <w:pPr>
              <w:spacing w:after="0"/>
              <w:rPr>
                <w:sz w:val="14"/>
                <w:szCs w:val="14"/>
                <w:color w:val="auto"/>
              </w:rPr>
            </w:pPr>
          </w:p>
        </w:tc>
        <w:tc>
          <w:tcPr>
            <w:tcW w:w="5140" w:type="dxa"/>
            <w:vAlign w:val="bottom"/>
          </w:tcPr>
          <w:p>
            <w:pPr>
              <w:spacing w:after="0"/>
              <w:rPr>
                <w:sz w:val="14"/>
                <w:szCs w:val="14"/>
                <w:color w:val="auto"/>
              </w:rPr>
            </w:pPr>
          </w:p>
        </w:tc>
        <w:tc>
          <w:tcPr>
            <w:tcW w:w="1180" w:type="dxa"/>
            <w:vAlign w:val="bottom"/>
            <w:gridSpan w:val="2"/>
          </w:tcPr>
          <w:p>
            <w:pPr>
              <w:jc w:val="center"/>
              <w:ind w:right="620"/>
              <w:spacing w:after="0" w:line="158" w:lineRule="exact"/>
              <w:rPr>
                <w:sz w:val="20"/>
                <w:szCs w:val="20"/>
                <w:color w:val="auto"/>
              </w:rPr>
            </w:pPr>
            <w:r>
              <w:rPr>
                <w:rFonts w:ascii="Arial" w:cs="Arial" w:eastAsia="Arial" w:hAnsi="Arial"/>
                <w:sz w:val="14"/>
                <w:szCs w:val="14"/>
                <w:b w:val="1"/>
                <w:bCs w:val="1"/>
                <w:color w:val="auto"/>
                <w:w w:val="89"/>
              </w:rPr>
              <w:t>Note</w:t>
            </w:r>
          </w:p>
        </w:tc>
        <w:tc>
          <w:tcPr>
            <w:tcW w:w="1200" w:type="dxa"/>
            <w:vAlign w:val="bottom"/>
            <w:gridSpan w:val="2"/>
          </w:tcPr>
          <w:p>
            <w:pPr>
              <w:jc w:val="center"/>
              <w:ind w:right="620"/>
              <w:spacing w:after="0" w:line="158" w:lineRule="exact"/>
              <w:rPr>
                <w:sz w:val="20"/>
                <w:szCs w:val="20"/>
                <w:color w:val="auto"/>
              </w:rPr>
            </w:pPr>
            <w:r>
              <w:rPr>
                <w:rFonts w:ascii="Arial" w:cs="Arial" w:eastAsia="Arial" w:hAnsi="Arial"/>
                <w:sz w:val="14"/>
                <w:szCs w:val="14"/>
                <w:b w:val="1"/>
                <w:bCs w:val="1"/>
                <w:color w:val="auto"/>
                <w:w w:val="96"/>
              </w:rPr>
              <w:t>Note</w:t>
            </w:r>
          </w:p>
        </w:tc>
        <w:tc>
          <w:tcPr>
            <w:tcW w:w="1200" w:type="dxa"/>
            <w:vAlign w:val="bottom"/>
            <w:gridSpan w:val="2"/>
          </w:tcPr>
          <w:p>
            <w:pPr>
              <w:jc w:val="center"/>
              <w:ind w:right="620"/>
              <w:spacing w:after="0" w:line="158" w:lineRule="exact"/>
              <w:rPr>
                <w:sz w:val="20"/>
                <w:szCs w:val="20"/>
                <w:color w:val="auto"/>
              </w:rPr>
            </w:pPr>
            <w:r>
              <w:rPr>
                <w:rFonts w:ascii="Arial" w:cs="Arial" w:eastAsia="Arial" w:hAnsi="Arial"/>
                <w:sz w:val="14"/>
                <w:szCs w:val="14"/>
                <w:b w:val="1"/>
                <w:bCs w:val="1"/>
                <w:color w:val="auto"/>
                <w:w w:val="87"/>
              </w:rPr>
              <w:t>increase)</w:t>
            </w:r>
          </w:p>
        </w:tc>
        <w:tc>
          <w:tcPr>
            <w:tcW w:w="72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1"/>
              </w:rPr>
              <w:t>of Trustee</w:t>
            </w:r>
          </w:p>
        </w:tc>
        <w:tc>
          <w:tcPr>
            <w:tcW w:w="0" w:type="dxa"/>
            <w:vAlign w:val="bottom"/>
          </w:tcPr>
          <w:p>
            <w:pPr>
              <w:spacing w:after="0"/>
              <w:rPr>
                <w:sz w:val="1"/>
                <w:szCs w:val="1"/>
                <w:color w:val="auto"/>
              </w:rPr>
            </w:pPr>
          </w:p>
        </w:tc>
      </w:tr>
      <w:tr>
        <w:trPr>
          <w:trHeight w:val="203"/>
        </w:trPr>
        <w:tc>
          <w:tcPr>
            <w:tcW w:w="1580" w:type="dxa"/>
            <w:vAlign w:val="bottom"/>
            <w:tcBorders>
              <w:top w:val="single" w:sz="8" w:color="auto"/>
            </w:tcBorders>
            <w:shd w:val="clear" w:color="auto" w:fill="CCEEFF"/>
          </w:tcPr>
          <w:p>
            <w:pPr>
              <w:spacing w:after="0"/>
              <w:rPr>
                <w:sz w:val="17"/>
                <w:szCs w:val="17"/>
                <w:color w:val="auto"/>
              </w:rPr>
            </w:pPr>
          </w:p>
        </w:tc>
        <w:tc>
          <w:tcPr>
            <w:tcW w:w="5140" w:type="dxa"/>
            <w:vAlign w:val="bottom"/>
            <w:tcBorders>
              <w:top w:val="single" w:sz="8" w:color="CCEEFF"/>
            </w:tcBorders>
            <w:shd w:val="clear" w:color="auto" w:fill="CCEEFF"/>
          </w:tcPr>
          <w:p>
            <w:pPr>
              <w:spacing w:after="0"/>
              <w:rPr>
                <w:sz w:val="17"/>
                <w:szCs w:val="17"/>
                <w:color w:val="auto"/>
              </w:rPr>
            </w:pPr>
          </w:p>
        </w:tc>
        <w:tc>
          <w:tcPr>
            <w:tcW w:w="56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580" w:type="dxa"/>
            <w:vAlign w:val="bottom"/>
            <w:tcBorders>
              <w:top w:val="single" w:sz="8" w:color="auto"/>
            </w:tcBorders>
            <w:shd w:val="clear" w:color="auto" w:fill="CCEEFF"/>
          </w:tcPr>
          <w:p>
            <w:pPr>
              <w:spacing w:after="0"/>
              <w:rPr>
                <w:sz w:val="17"/>
                <w:szCs w:val="17"/>
                <w:color w:val="auto"/>
              </w:rPr>
            </w:pPr>
          </w:p>
        </w:tc>
        <w:tc>
          <w:tcPr>
            <w:tcW w:w="62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1580" w:type="dxa"/>
            <w:vAlign w:val="bottom"/>
          </w:tcPr>
          <w:p>
            <w:pPr>
              <w:spacing w:after="0"/>
              <w:rPr>
                <w:sz w:val="18"/>
                <w:szCs w:val="18"/>
                <w:color w:val="auto"/>
              </w:rPr>
            </w:pPr>
          </w:p>
        </w:tc>
        <w:tc>
          <w:tcPr>
            <w:tcW w:w="5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80" w:type="dxa"/>
            <w:vAlign w:val="bottom"/>
            <w:shd w:val="clear" w:color="auto" w:fill="CCEEFF"/>
          </w:tcPr>
          <w:p>
            <w:pPr>
              <w:spacing w:after="0"/>
              <w:rPr>
                <w:sz w:val="18"/>
                <w:szCs w:val="18"/>
                <w:color w:val="auto"/>
              </w:rPr>
            </w:pPr>
          </w:p>
        </w:tc>
        <w:tc>
          <w:tcPr>
            <w:tcW w:w="51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80" w:type="dxa"/>
            <w:vAlign w:val="bottom"/>
          </w:tcPr>
          <w:p>
            <w:pPr>
              <w:spacing w:after="0"/>
              <w:rPr>
                <w:sz w:val="18"/>
                <w:szCs w:val="18"/>
                <w:color w:val="auto"/>
              </w:rPr>
            </w:pPr>
          </w:p>
        </w:tc>
        <w:tc>
          <w:tcPr>
            <w:tcW w:w="5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1580" w:type="dxa"/>
            <w:vAlign w:val="bottom"/>
            <w:shd w:val="clear" w:color="auto" w:fill="CCEEFF"/>
          </w:tcPr>
          <w:p>
            <w:pPr>
              <w:spacing w:after="0"/>
              <w:rPr>
                <w:sz w:val="18"/>
                <w:szCs w:val="18"/>
                <w:color w:val="auto"/>
              </w:rPr>
            </w:pPr>
          </w:p>
        </w:tc>
        <w:tc>
          <w:tcPr>
            <w:tcW w:w="5140" w:type="dxa"/>
            <w:vAlign w:val="bottom"/>
            <w:shd w:val="clear" w:color="auto" w:fill="CCEEFF"/>
          </w:tcPr>
          <w:p>
            <w:pPr>
              <w:spacing w:after="0"/>
              <w:rPr>
                <w:sz w:val="18"/>
                <w:szCs w:val="18"/>
                <w:color w:val="auto"/>
              </w:rPr>
            </w:pPr>
          </w:p>
        </w:tc>
        <w:tc>
          <w:tcPr>
            <w:tcW w:w="56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580" w:type="dxa"/>
            <w:vAlign w:val="bottom"/>
            <w:shd w:val="clear" w:color="auto" w:fill="CCEEFF"/>
          </w:tcPr>
          <w:p>
            <w:pPr>
              <w:spacing w:after="0"/>
              <w:rPr>
                <w:sz w:val="18"/>
                <w:szCs w:val="18"/>
                <w:color w:val="auto"/>
              </w:rPr>
            </w:pPr>
          </w:p>
        </w:tc>
        <w:tc>
          <w:tcPr>
            <w:tcW w:w="620" w:type="dxa"/>
            <w:vAlign w:val="bottom"/>
            <w:shd w:val="clear" w:color="auto" w:fill="CCEEFF"/>
          </w:tcPr>
          <w:p>
            <w:pPr>
              <w:spacing w:after="0"/>
              <w:rPr>
                <w:sz w:val="18"/>
                <w:szCs w:val="18"/>
                <w:color w:val="auto"/>
              </w:rPr>
            </w:pPr>
          </w:p>
        </w:tc>
        <w:tc>
          <w:tcPr>
            <w:tcW w:w="680" w:type="dxa"/>
            <w:vAlign w:val="bottom"/>
            <w:shd w:val="clear" w:color="auto" w:fill="CCEEFF"/>
          </w:tcPr>
          <w:p>
            <w:pPr>
              <w:spacing w:after="0"/>
              <w:rPr>
                <w:sz w:val="18"/>
                <w:szCs w:val="18"/>
                <w:color w:val="auto"/>
              </w:rPr>
            </w:pPr>
          </w:p>
        </w:tc>
        <w:tc>
          <w:tcPr>
            <w:tcW w:w="4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350"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A-8</w:t>
      </w:r>
    </w:p>
    <w:p>
      <w:pPr>
        <w:sectPr>
          <w:pgSz w:w="11900" w:h="16838" w:orient="portrait"/>
          <w:cols w:equalWidth="0" w:num="1">
            <w:col w:w="11020"/>
          </w:cols>
          <w:pgMar w:left="440" w:top="270" w:right="439" w:bottom="1440" w:gutter="0" w:footer="0" w:header="0"/>
        </w:sectPr>
      </w:pPr>
    </w:p>
    <w:bookmarkStart w:id="73" w:name="page74"/>
    <w:bookmarkEnd w:id="73"/>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Note, fill in the form below:</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Note to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and irrevocably appoint    agent to transfer this Note on the books of the Company. The agent may substitute another to act for him.</w:t>
      </w:r>
    </w:p>
    <w:p>
      <w:pPr>
        <w:spacing w:after="0" w:line="252"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color w:val="auto"/>
        </w:rPr>
        <w:t>Signed: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340360</wp:posOffset>
            </wp:positionH>
            <wp:positionV relativeFrom="paragraph">
              <wp:posOffset>14605</wp:posOffset>
            </wp:positionV>
            <wp:extent cx="665226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0">
                      <a:extLst>
                        <a:ext uri="{28A0092B-C50C-407E-A947-70E740481C1C}"/>
                      </a:extLst>
                    </a:blip>
                    <a:srcRect/>
                    <a:stretch>
                      <a:fillRect/>
                    </a:stretch>
                  </pic:blipFill>
                  <pic:spPr bwMode="auto">
                    <a:xfrm>
                      <a:off x="0" y="0"/>
                      <a:ext cx="6652260" cy="8890"/>
                    </a:xfrm>
                    <a:prstGeom prst="rect">
                      <a:avLst/>
                    </a:prstGeom>
                    <a:noFill/>
                  </pic:spPr>
                </pic:pic>
              </a:graphicData>
            </a:graphic>
          </wp:anchor>
        </w:drawing>
      </w:r>
    </w:p>
    <w:p>
      <w:pPr>
        <w:spacing w:after="0" w:line="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(Sign exactly as your name appears on the other side of</w:t>
      </w:r>
    </w:p>
    <w:p>
      <w:pPr>
        <w:spacing w:after="0" w:line="2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this Note)</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Signature Guarantee: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1171575</wp:posOffset>
            </wp:positionH>
            <wp:positionV relativeFrom="paragraph">
              <wp:posOffset>14605</wp:posOffset>
            </wp:positionV>
            <wp:extent cx="1619885" cy="825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1">
                      <a:extLst>
                        <a:ext uri="{28A0092B-C50C-407E-A947-70E740481C1C}"/>
                      </a:extLst>
                    </a:blip>
                    <a:srcRect/>
                    <a:stretch>
                      <a:fillRect/>
                    </a:stretch>
                  </pic:blipFill>
                  <pic:spPr bwMode="auto">
                    <a:xfrm>
                      <a:off x="0" y="0"/>
                      <a:ext cx="1619885" cy="8255"/>
                    </a:xfrm>
                    <a:prstGeom prst="rect">
                      <a:avLst/>
                    </a:prstGeom>
                    <a:noFill/>
                  </pic:spPr>
                </pic:pic>
              </a:graphicData>
            </a:graphic>
          </wp:anchor>
        </w:drawing>
      </w:r>
    </w:p>
    <w:p>
      <w:pPr>
        <w:spacing w:after="0" w:line="219"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pacing w:after="0" w:line="119"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A-9</w:t>
      </w:r>
    </w:p>
    <w:p>
      <w:pPr>
        <w:sectPr>
          <w:pgSz w:w="11900" w:h="16838" w:orient="portrait"/>
          <w:cols w:equalWidth="0" w:num="1">
            <w:col w:w="11000"/>
          </w:cols>
          <w:pgMar w:left="440" w:top="270" w:right="459" w:bottom="1440" w:gutter="0" w:footer="0" w:header="0"/>
        </w:sectPr>
      </w:pPr>
    </w:p>
    <w:bookmarkStart w:id="74" w:name="page75"/>
    <w:bookmarkEnd w:id="74"/>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Note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357505</wp:posOffset>
            </wp:positionH>
            <wp:positionV relativeFrom="paragraph">
              <wp:posOffset>14605</wp:posOffset>
            </wp:positionV>
            <wp:extent cx="2434590" cy="825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3">
                      <a:extLst>
                        <a:ext uri="{28A0092B-C50C-407E-A947-70E740481C1C}"/>
                      </a:extLst>
                    </a:blip>
                    <a:srcRect/>
                    <a:stretch>
                      <a:fillRect/>
                    </a:stretch>
                  </pic:blipFill>
                  <pic:spPr bwMode="auto">
                    <a:xfrm>
                      <a:off x="0" y="0"/>
                      <a:ext cx="2434590" cy="8255"/>
                    </a:xfrm>
                    <a:prstGeom prst="rect">
                      <a:avLst/>
                    </a:prstGeom>
                    <a:noFill/>
                  </pic:spPr>
                </pic:pic>
              </a:graphicData>
            </a:graphic>
          </wp:anchor>
        </w:drawing>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554355</wp:posOffset>
            </wp:positionH>
            <wp:positionV relativeFrom="paragraph">
              <wp:posOffset>14605</wp:posOffset>
            </wp:positionV>
            <wp:extent cx="2237105" cy="825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4">
                      <a:extLst>
                        <a:ext uri="{28A0092B-C50C-407E-A947-70E740481C1C}"/>
                      </a:extLst>
                    </a:blip>
                    <a:srcRect/>
                    <a:stretch>
                      <a:fillRect/>
                    </a:stretch>
                  </pic:blipFill>
                  <pic:spPr bwMode="auto">
                    <a:xfrm>
                      <a:off x="0" y="0"/>
                      <a:ext cx="2237105" cy="8255"/>
                    </a:xfrm>
                    <a:prstGeom prst="rect">
                      <a:avLst/>
                    </a:prstGeom>
                    <a:noFill/>
                  </pic:spPr>
                </pic:pic>
              </a:graphicData>
            </a:graphic>
          </wp:anchor>
        </w:drawing>
      </w:r>
    </w:p>
    <w:p>
      <w:pPr>
        <w:spacing w:after="0" w:line="21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5">
                      <a:extLst>
                        <a:ext uri="{28A0092B-C50C-407E-A947-70E740481C1C}"/>
                      </a:extLst>
                    </a:blip>
                    <a:srcRect/>
                    <a:stretch>
                      <a:fillRect/>
                    </a:stretch>
                  </pic:blipFill>
                  <pic:spPr bwMode="auto">
                    <a:xfrm>
                      <a:off x="0" y="0"/>
                      <a:ext cx="2597150" cy="8890"/>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pacing w:after="0" w:line="157" w:lineRule="exact"/>
        <w:rPr>
          <w:sz w:val="20"/>
          <w:szCs w:val="20"/>
          <w:color w:val="auto"/>
        </w:rPr>
      </w:pPr>
    </w:p>
    <w:p>
      <w:pPr>
        <w:jc w:val="center"/>
        <w:ind w:right="-99"/>
        <w:spacing w:after="0"/>
        <w:rPr>
          <w:sz w:val="20"/>
          <w:szCs w:val="20"/>
          <w:color w:val="auto"/>
        </w:rPr>
      </w:pPr>
      <w:r>
        <w:rPr>
          <w:rFonts w:ascii="Arial" w:cs="Arial" w:eastAsia="Arial" w:hAnsi="Arial"/>
          <w:sz w:val="18"/>
          <w:szCs w:val="18"/>
          <w:color w:val="auto"/>
        </w:rPr>
        <w:t>A-10</w:t>
      </w:r>
    </w:p>
    <w:p>
      <w:pPr>
        <w:sectPr>
          <w:pgSz w:w="11900" w:h="16838" w:orient="portrait"/>
          <w:cols w:equalWidth="0" w:num="1">
            <w:col w:w="10900"/>
          </w:cols>
          <w:pgMar w:left="440" w:top="270" w:right="559" w:bottom="1440" w:gutter="0" w:footer="0" w:header="0"/>
        </w:sectPr>
      </w:pPr>
    </w:p>
    <w:bookmarkStart w:id="75" w:name="page76"/>
    <w:bookmarkEnd w:id="75"/>
    <w:p>
      <w:pPr>
        <w:jc w:val="center"/>
        <w:ind w:right="-3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B</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FORM OF 2033 NOTE</w:t>
      </w:r>
    </w:p>
    <w:p>
      <w:pPr>
        <w:spacing w:after="0" w:line="117" w:lineRule="exact"/>
        <w:rPr>
          <w:sz w:val="20"/>
          <w:szCs w:val="20"/>
          <w:color w:val="auto"/>
        </w:rPr>
      </w:pPr>
    </w:p>
    <w:p>
      <w:pPr>
        <w:jc w:val="center"/>
        <w:ind w:right="-39"/>
        <w:spacing w:after="0"/>
        <w:rPr>
          <w:sz w:val="20"/>
          <w:szCs w:val="20"/>
          <w:color w:val="auto"/>
        </w:rPr>
      </w:pPr>
      <w:r>
        <w:rPr>
          <w:rFonts w:ascii="Arial" w:cs="Arial" w:eastAsia="Arial" w:hAnsi="Arial"/>
          <w:sz w:val="18"/>
          <w:szCs w:val="18"/>
          <w:b w:val="1"/>
          <w:bCs w:val="1"/>
          <w:color w:val="auto"/>
        </w:rPr>
        <w:t>(FACE OF NOTE)</w:t>
      </w:r>
    </w:p>
    <w:p>
      <w:pPr>
        <w:spacing w:after="0" w:line="229" w:lineRule="exact"/>
        <w:rPr>
          <w:sz w:val="20"/>
          <w:szCs w:val="20"/>
          <w:color w:val="auto"/>
        </w:rPr>
      </w:pPr>
    </w:p>
    <w:p>
      <w:pPr>
        <w:ind w:right="120"/>
        <w:spacing w:after="0" w:line="254" w:lineRule="auto"/>
        <w:rPr>
          <w:sz w:val="20"/>
          <w:szCs w:val="20"/>
          <w:color w:val="auto"/>
        </w:rPr>
      </w:pPr>
      <w:r>
        <w:rPr>
          <w:rFonts w:ascii="Arial" w:cs="Arial" w:eastAsia="Arial" w:hAnsi="Arial"/>
          <w:sz w:val="18"/>
          <w:szCs w:val="18"/>
          <w:color w:val="auto"/>
        </w:rPr>
        <w:t>UNLESS THIS NOTE IS PRESENTED BY AN AUTHORIZED REPRESENTATIVE OF THE DEPOSITORY TRUST COMPANY, A NEW YORK CORPORATION (“</w:t>
      </w:r>
      <w:r>
        <w:rPr>
          <w:rFonts w:ascii="Arial" w:cs="Arial" w:eastAsia="Arial" w:hAnsi="Arial"/>
          <w:sz w:val="18"/>
          <w:szCs w:val="18"/>
          <w:u w:val="single" w:color="auto"/>
          <w:color w:val="auto"/>
        </w:rPr>
        <w:t>DTC</w:t>
      </w:r>
      <w:r>
        <w:rPr>
          <w:rFonts w:ascii="Arial" w:cs="Arial" w:eastAsia="Arial" w:hAnsi="Arial"/>
          <w:sz w:val="18"/>
          <w:szCs w:val="18"/>
          <w:color w:val="auto"/>
        </w:rPr>
        <w:t>”), TO THE ISSUER OR ITS AGENT FOR REGISTRATION OF TRANSFER, EXCHANGE OR PAYMENT, AND ANY CERTIFICATE ISSUED IS REGISTERED IN THE NAME OF CEDE &amp; CO. OR IN SUCH OTHER NAME AS IS REQUESTED BY AN AUTHORIZED REPRESENTATIVE OF DTC (AND ANY PAYMENT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195" w:lineRule="exact"/>
        <w:rPr>
          <w:sz w:val="20"/>
          <w:szCs w:val="20"/>
          <w:color w:val="auto"/>
        </w:rPr>
      </w:pPr>
    </w:p>
    <w:p>
      <w:pPr>
        <w:spacing w:after="0" w:line="259" w:lineRule="auto"/>
        <w:rPr>
          <w:sz w:val="20"/>
          <w:szCs w:val="20"/>
          <w:color w:val="auto"/>
        </w:rPr>
      </w:pPr>
      <w:r>
        <w:rPr>
          <w:rFonts w:ascii="Arial" w:cs="Arial" w:eastAsia="Arial" w:hAnsi="Arial"/>
          <w:sz w:val="18"/>
          <w:szCs w:val="18"/>
          <w:color w:val="auto"/>
        </w:rPr>
        <w:t>TRANSFERS OF THIS GLOBAL SECURITY SHALL BE LIMITED TO TRANSFERS IN WHOLE, BUT NOT IN PART, TO NOMINEES OF DTC OR TO A SUCCESSOR THEREOF OR SUCH SUCCESSOR’S NOMINEE AND TRANSFERS OF PORTIONS OF THIS GLOBAL SECURITY SHALL BE LIMITED TO TRANSFERS MADE IN ACCORDANCE WITH THE RESTRICTIONS SET FORTH IN THE INDENTURE REFERRED TO ON THE REVERSE HEREOF.</w:t>
      </w:r>
    </w:p>
    <w:p>
      <w:pPr>
        <w:spacing w:after="0" w:line="187" w:lineRule="exact"/>
        <w:rPr>
          <w:sz w:val="20"/>
          <w:szCs w:val="20"/>
          <w:color w:val="auto"/>
        </w:rPr>
      </w:pPr>
    </w:p>
    <w:p>
      <w:pPr>
        <w:spacing w:after="0" w:line="257" w:lineRule="auto"/>
        <w:rPr>
          <w:sz w:val="20"/>
          <w:szCs w:val="20"/>
          <w:color w:val="auto"/>
        </w:rPr>
      </w:pPr>
      <w:r>
        <w:rPr>
          <w:rFonts w:ascii="Arial" w:cs="Arial" w:eastAsia="Arial" w:hAnsi="Arial"/>
          <w:sz w:val="18"/>
          <w:szCs w:val="18"/>
          <w:color w:val="auto"/>
        </w:rPr>
        <w:t>THIS SECURITY IS A GLOBAL SECURITY WITHIN THE MEANING OF THE INDENTURE REFERRED TO HEREIN AND IS REGISTERED IN THE NAME OF A DEPOSITARY OR A NOMINEE THEREOF. THIS SECURITY MAY NOT BE EXCHANGED IN WHOLE OR IN PART FOR A SECURITY REGISTERED, AND NO TRANSFER OF THIS SECURITY IN WHOLE OR IN PART MAY BE REGISTERED, IN THE NAME OF ANY PERSON OTHER THAN SUCH DEPOSITARY OR A NOMINEE THEREOF, EXCEPT IN THE LIMITED CIRCUMSTANCES DESCRIBED IN THE INDENTURE.</w:t>
      </w:r>
    </w:p>
    <w:p>
      <w:pPr>
        <w:spacing w:after="0" w:line="296" w:lineRule="exact"/>
        <w:rPr>
          <w:sz w:val="20"/>
          <w:szCs w:val="20"/>
          <w:color w:val="auto"/>
        </w:rPr>
      </w:pPr>
    </w:p>
    <w:p>
      <w:pPr>
        <w:spacing w:after="0"/>
        <w:rPr>
          <w:sz w:val="20"/>
          <w:szCs w:val="20"/>
          <w:color w:val="auto"/>
        </w:rPr>
      </w:pPr>
      <w:r>
        <w:rPr>
          <w:rFonts w:ascii="Arial" w:cs="Arial" w:eastAsia="Arial" w:hAnsi="Arial"/>
          <w:sz w:val="18"/>
          <w:szCs w:val="18"/>
          <w:color w:val="auto"/>
        </w:rPr>
        <w:t>.</w:t>
      </w:r>
    </w:p>
    <w:p>
      <w:pPr>
        <w:sectPr>
          <w:pgSz w:w="11900" w:h="16838" w:orient="portrait"/>
          <w:cols w:equalWidth="0" w:num="1">
            <w:col w:w="10960"/>
          </w:cols>
          <w:pgMar w:left="440" w:top="270" w:right="499" w:bottom="1440" w:gutter="0" w:footer="0" w:header="0"/>
        </w:sectPr>
      </w:pPr>
    </w:p>
    <w:bookmarkStart w:id="76" w:name="page77"/>
    <w:bookmarkEnd w:id="76"/>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MARVELL TECHNOLOGY, INC.</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5.950% Senior Notes due 2033</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No. [•]</w:t>
      </w:r>
    </w:p>
    <w:p>
      <w:pPr>
        <w:spacing w:after="0" w:line="225" w:lineRule="exact"/>
        <w:rPr>
          <w:sz w:val="20"/>
          <w:szCs w:val="20"/>
          <w:color w:val="auto"/>
        </w:rPr>
      </w:pPr>
    </w:p>
    <w:p>
      <w:pPr>
        <w:jc w:val="right"/>
        <w:spacing w:after="0"/>
        <w:rPr>
          <w:sz w:val="20"/>
          <w:szCs w:val="20"/>
          <w:color w:val="auto"/>
        </w:rPr>
      </w:pPr>
      <w:r>
        <w:rPr>
          <w:rFonts w:ascii="Arial" w:cs="Arial" w:eastAsia="Arial" w:hAnsi="Arial"/>
          <w:sz w:val="18"/>
          <w:szCs w:val="18"/>
          <w:color w:val="auto"/>
        </w:rPr>
        <w:t>CUSIP/ ISIN: 573874 AQ7 / US573874AQ74</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w:t>
      </w:r>
    </w:p>
    <w:p>
      <w:pPr>
        <w:spacing w:after="0" w:line="211" w:lineRule="exact"/>
        <w:rPr>
          <w:sz w:val="20"/>
          <w:szCs w:val="20"/>
          <w:color w:val="auto"/>
        </w:rPr>
      </w:pPr>
    </w:p>
    <w:p>
      <w:pPr>
        <w:ind w:right="40" w:firstLine="440"/>
        <w:spacing w:after="0" w:line="277" w:lineRule="auto"/>
        <w:rPr>
          <w:sz w:val="20"/>
          <w:szCs w:val="20"/>
          <w:color w:val="auto"/>
        </w:rPr>
      </w:pPr>
      <w:r>
        <w:rPr>
          <w:rFonts w:ascii="Arial" w:cs="Arial" w:eastAsia="Arial" w:hAnsi="Arial"/>
          <w:sz w:val="18"/>
          <w:szCs w:val="18"/>
          <w:color w:val="auto"/>
        </w:rPr>
        <w:t>MARVELL TECHNOLOGY, INC., a Delaware corporation, promises to pay to CEDE &amp; CO., or registered assigns, the principal sum set forth on the Schedule of Increases and Decreases in Global Note attached hereto on September 15, 2033.</w:t>
      </w:r>
    </w:p>
    <w:p>
      <w:pPr>
        <w:spacing w:after="0" w:line="62"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Interest payment dates: March 15 and September 15.</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Record Dates: March 1 and September 1.</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Additional provisions of this Note are set forth on the reverse hereof.</w:t>
      </w:r>
    </w:p>
    <w:p>
      <w:pPr>
        <w:sectPr>
          <w:pgSz w:w="11900" w:h="16838" w:orient="portrait"/>
          <w:cols w:equalWidth="0" w:num="1">
            <w:col w:w="11020"/>
          </w:cols>
          <w:pgMar w:left="440" w:top="270" w:right="439" w:bottom="1440" w:gutter="0" w:footer="0" w:header="0"/>
        </w:sectPr>
      </w:pPr>
    </w:p>
    <w:bookmarkStart w:id="77" w:name="page78"/>
    <w:bookmarkEnd w:id="77"/>
    <w:p>
      <w:pPr>
        <w:ind w:left="44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have caused this Global Note to be duly executed as of the date first written above.</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MARVELL TECHNOLOGY, INC.,</w:t>
      </w:r>
    </w:p>
    <w:p>
      <w:pPr>
        <w:spacing w:after="0" w:line="2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Issuer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spacing w:after="0"/>
        <w:rPr>
          <w:sz w:val="20"/>
          <w:szCs w:val="20"/>
          <w:color w:val="auto"/>
        </w:rPr>
      </w:pPr>
      <w:r>
        <w:rPr>
          <w:rFonts w:ascii="Arial" w:cs="Arial" w:eastAsia="Arial" w:hAnsi="Arial"/>
          <w:sz w:val="18"/>
          <w:szCs w:val="18"/>
          <w:color w:val="auto"/>
        </w:rPr>
        <w:t>TRUSTEE’S CERTIFICATE OF AUTHENTICATION:</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This is one of the Notes of the series designated therein referred to in the within-mentioned Indenture.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48" w:lineRule="exact"/>
        <w:rPr>
          <w:sz w:val="20"/>
          <w:szCs w:val="20"/>
          <w:color w:val="auto"/>
        </w:rPr>
      </w:pPr>
    </w:p>
    <w:p>
      <w:pPr>
        <w:ind w:left="6620"/>
        <w:spacing w:after="0"/>
        <w:rPr>
          <w:sz w:val="20"/>
          <w:szCs w:val="20"/>
          <w:color w:val="auto"/>
        </w:rPr>
      </w:pPr>
      <w:r>
        <w:rPr>
          <w:rFonts w:ascii="Arial" w:cs="Arial" w:eastAsia="Arial" w:hAnsi="Arial"/>
          <w:sz w:val="17"/>
          <w:szCs w:val="17"/>
          <w:b w:val="1"/>
          <w:bCs w:val="1"/>
          <w:color w:val="auto"/>
        </w:rPr>
        <w:t>U.S. BANK TRUST COMPANY, NATIONAL</w:t>
      </w:r>
    </w:p>
    <w:p>
      <w:pPr>
        <w:spacing w:after="0" w:line="39" w:lineRule="exact"/>
        <w:rPr>
          <w:sz w:val="20"/>
          <w:szCs w:val="20"/>
          <w:color w:val="auto"/>
        </w:rPr>
      </w:pPr>
    </w:p>
    <w:p>
      <w:pPr>
        <w:ind w:left="6620"/>
        <w:spacing w:after="0"/>
        <w:rPr>
          <w:sz w:val="20"/>
          <w:szCs w:val="20"/>
          <w:color w:val="auto"/>
        </w:rPr>
      </w:pPr>
      <w:r>
        <w:rPr>
          <w:rFonts w:ascii="Arial" w:cs="Arial" w:eastAsia="Arial" w:hAnsi="Arial"/>
          <w:sz w:val="18"/>
          <w:szCs w:val="18"/>
          <w:b w:val="1"/>
          <w:bCs w:val="1"/>
          <w:color w:val="auto"/>
        </w:rPr>
        <w:t>ASSOCIATION</w:t>
      </w:r>
      <w:r>
        <w:rPr>
          <w:rFonts w:ascii="Arial" w:cs="Arial" w:eastAsia="Arial" w:hAnsi="Arial"/>
          <w:sz w:val="18"/>
          <w:szCs w:val="18"/>
          <w:color w:val="auto"/>
        </w:rPr>
        <w:t>,</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0">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Authorized Signatory</w:t>
      </w:r>
    </w:p>
    <w:p>
      <w:pPr>
        <w:sectPr>
          <w:pgSz w:w="11900" w:h="16838" w:orient="portrait"/>
          <w:cols w:equalWidth="0" w:num="1">
            <w:col w:w="10140"/>
          </w:cols>
          <w:pgMar w:left="440" w:top="274" w:right="1319" w:bottom="1440" w:gutter="0" w:footer="0" w:header="0"/>
        </w:sectPr>
      </w:pPr>
    </w:p>
    <w:bookmarkStart w:id="78" w:name="page79"/>
    <w:bookmarkEnd w:id="78"/>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(REVERSE OF NOTE)</w:t>
      </w:r>
    </w:p>
    <w:p>
      <w:pPr>
        <w:spacing w:after="0" w:line="113"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MARVELL TECHNOLOGY, INC.</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b w:val="1"/>
          <w:bCs w:val="1"/>
          <w:color w:val="auto"/>
        </w:rPr>
        <w:t>5.950% Senior Notes due 2033</w:t>
      </w:r>
    </w:p>
    <w:p>
      <w:pPr>
        <w:spacing w:after="0" w:line="229" w:lineRule="exact"/>
        <w:rPr>
          <w:sz w:val="20"/>
          <w:szCs w:val="20"/>
          <w:color w:val="auto"/>
        </w:rPr>
      </w:pPr>
    </w:p>
    <w:p>
      <w:pPr>
        <w:jc w:val="both"/>
        <w:ind w:right="240" w:firstLine="436"/>
        <w:spacing w:after="0" w:line="301" w:lineRule="auto"/>
        <w:tabs>
          <w:tab w:leader="none" w:pos="695" w:val="left"/>
        </w:tabs>
        <w:numPr>
          <w:ilvl w:val="0"/>
          <w:numId w:val="94"/>
        </w:numPr>
        <w:rPr>
          <w:rFonts w:ascii="Arial" w:cs="Arial" w:eastAsia="Arial" w:hAnsi="Arial"/>
          <w:sz w:val="16"/>
          <w:szCs w:val="16"/>
          <w:color w:val="auto"/>
        </w:rPr>
      </w:pPr>
      <w:r>
        <w:rPr>
          <w:rFonts w:ascii="Arial" w:cs="Arial" w:eastAsia="Arial" w:hAnsi="Arial"/>
          <w:sz w:val="16"/>
          <w:szCs w:val="16"/>
          <w:i w:val="1"/>
          <w:iCs w:val="1"/>
          <w:color w:val="auto"/>
        </w:rPr>
        <w:t>Interest</w:t>
      </w:r>
      <w:r>
        <w:rPr>
          <w:rFonts w:ascii="Arial" w:cs="Arial" w:eastAsia="Arial" w:hAnsi="Arial"/>
          <w:sz w:val="16"/>
          <w:szCs w:val="16"/>
          <w:color w:val="auto"/>
        </w:rPr>
        <w:t>. Marvell Technology, Inc., a Delaware corporation (such corporation, and its successors and assigns under the Indenture referred to</w:t>
      </w:r>
      <w:r>
        <w:rPr>
          <w:rFonts w:ascii="Arial" w:cs="Arial" w:eastAsia="Arial" w:hAnsi="Arial"/>
          <w:sz w:val="16"/>
          <w:szCs w:val="16"/>
          <w:i w:val="1"/>
          <w:iCs w:val="1"/>
          <w:color w:val="auto"/>
        </w:rPr>
        <w:t xml:space="preserve"> </w:t>
      </w:r>
      <w:r>
        <w:rPr>
          <w:rFonts w:ascii="Arial" w:cs="Arial" w:eastAsia="Arial" w:hAnsi="Arial"/>
          <w:sz w:val="16"/>
          <w:szCs w:val="16"/>
          <w:color w:val="auto"/>
        </w:rPr>
        <w:t>below, being herein called the “</w:t>
      </w:r>
      <w:r>
        <w:rPr>
          <w:rFonts w:ascii="Arial" w:cs="Arial" w:eastAsia="Arial" w:hAnsi="Arial"/>
          <w:sz w:val="16"/>
          <w:szCs w:val="16"/>
          <w:u w:val="single" w:color="auto"/>
          <w:color w:val="auto"/>
        </w:rPr>
        <w:t>Company</w:t>
      </w:r>
      <w:r>
        <w:rPr>
          <w:rFonts w:ascii="Arial" w:cs="Arial" w:eastAsia="Arial" w:hAnsi="Arial"/>
          <w:sz w:val="16"/>
          <w:szCs w:val="16"/>
          <w:color w:val="auto"/>
        </w:rPr>
        <w:t>”), promises to pay interest on the principal amount of this Note at the interest rate per annum shown above. The Company shall pay interest semiannually in arrears on March 15 and September 15 of each year, beginning on March 15, 2024. Interest on the Notes shall accrue from September 18, 2023 and shall be computed on the basis of a 360-day year consisting of twelve 30-day months.</w:t>
      </w:r>
    </w:p>
    <w:p>
      <w:pPr>
        <w:spacing w:after="0" w:line="157" w:lineRule="exact"/>
        <w:rPr>
          <w:rFonts w:ascii="Arial" w:cs="Arial" w:eastAsia="Arial" w:hAnsi="Arial"/>
          <w:sz w:val="16"/>
          <w:szCs w:val="16"/>
          <w:color w:val="auto"/>
        </w:rPr>
      </w:pPr>
    </w:p>
    <w:p>
      <w:pPr>
        <w:ind w:right="100" w:firstLine="436"/>
        <w:spacing w:after="0" w:line="273" w:lineRule="auto"/>
        <w:tabs>
          <w:tab w:leader="none" w:pos="695" w:val="left"/>
        </w:tabs>
        <w:numPr>
          <w:ilvl w:val="0"/>
          <w:numId w:val="94"/>
        </w:numPr>
        <w:rPr>
          <w:rFonts w:ascii="Arial" w:cs="Arial" w:eastAsia="Arial" w:hAnsi="Arial"/>
          <w:sz w:val="17"/>
          <w:szCs w:val="17"/>
          <w:color w:val="auto"/>
        </w:rPr>
      </w:pPr>
      <w:r>
        <w:rPr>
          <w:rFonts w:ascii="Arial" w:cs="Arial" w:eastAsia="Arial" w:hAnsi="Arial"/>
          <w:sz w:val="17"/>
          <w:szCs w:val="17"/>
          <w:i w:val="1"/>
          <w:iCs w:val="1"/>
          <w:color w:val="auto"/>
        </w:rPr>
        <w:t>Method of Payment</w:t>
      </w:r>
      <w:r>
        <w:rPr>
          <w:rFonts w:ascii="Arial" w:cs="Arial" w:eastAsia="Arial" w:hAnsi="Arial"/>
          <w:sz w:val="17"/>
          <w:szCs w:val="17"/>
          <w:color w:val="auto"/>
        </w:rPr>
        <w:t>. The Company shall pay interest on the Notes (except Defaulted Interest) to the persons who are registered Holders of</w:t>
      </w:r>
      <w:r>
        <w:rPr>
          <w:rFonts w:ascii="Arial" w:cs="Arial" w:eastAsia="Arial" w:hAnsi="Arial"/>
          <w:sz w:val="17"/>
          <w:szCs w:val="17"/>
          <w:i w:val="1"/>
          <w:iCs w:val="1"/>
          <w:color w:val="auto"/>
        </w:rPr>
        <w:t xml:space="preserve"> </w:t>
      </w:r>
      <w:r>
        <w:rPr>
          <w:rFonts w:ascii="Arial" w:cs="Arial" w:eastAsia="Arial" w:hAnsi="Arial"/>
          <w:sz w:val="17"/>
          <w:szCs w:val="17"/>
          <w:color w:val="auto"/>
        </w:rPr>
        <w:t>Notes at the close of business on the Record Date immediately preceding the Interest Payment Date even though such Notes are canceled after the Record Date and on or before the Interest Payment Date. Holders of certificated Notes must surrender certificated Notes to a Paying Agent to collect principal payments. The Company shall pay principal and interest in money of the United States that at the time of payment is legal tender for payment of public and private debts. Payment of principal of and premium, if any, and interest on this Note shall be made in immediately available funds to the Depositary or its nominee, as the case may be, as the registered Holder of this Global Note.</w:t>
      </w:r>
    </w:p>
    <w:p>
      <w:pPr>
        <w:spacing w:after="0" w:line="177" w:lineRule="exact"/>
        <w:rPr>
          <w:rFonts w:ascii="Arial" w:cs="Arial" w:eastAsia="Arial" w:hAnsi="Arial"/>
          <w:sz w:val="17"/>
          <w:szCs w:val="17"/>
          <w:color w:val="auto"/>
        </w:rPr>
      </w:pPr>
    </w:p>
    <w:p>
      <w:pPr>
        <w:ind w:right="20" w:firstLine="436"/>
        <w:spacing w:after="0" w:line="259" w:lineRule="auto"/>
        <w:tabs>
          <w:tab w:leader="none" w:pos="695" w:val="left"/>
        </w:tabs>
        <w:numPr>
          <w:ilvl w:val="0"/>
          <w:numId w:val="94"/>
        </w:numPr>
        <w:rPr>
          <w:rFonts w:ascii="Arial" w:cs="Arial" w:eastAsia="Arial" w:hAnsi="Arial"/>
          <w:sz w:val="18"/>
          <w:szCs w:val="18"/>
          <w:color w:val="auto"/>
        </w:rPr>
      </w:pPr>
      <w:r>
        <w:rPr>
          <w:rFonts w:ascii="Arial" w:cs="Arial" w:eastAsia="Arial" w:hAnsi="Arial"/>
          <w:sz w:val="18"/>
          <w:szCs w:val="18"/>
          <w:i w:val="1"/>
          <w:iCs w:val="1"/>
          <w:color w:val="auto"/>
        </w:rPr>
        <w:t>Paying Agent, Transfer Agent and Securities Registrar</w:t>
      </w:r>
      <w:r>
        <w:rPr>
          <w:rFonts w:ascii="Arial" w:cs="Arial" w:eastAsia="Arial" w:hAnsi="Arial"/>
          <w:sz w:val="18"/>
          <w:szCs w:val="18"/>
          <w:color w:val="auto"/>
        </w:rPr>
        <w:t>. Initially, U.S. Bank Trust Company, National Association (successor in interest to U.S.</w:t>
      </w:r>
      <w:r>
        <w:rPr>
          <w:rFonts w:ascii="Arial" w:cs="Arial" w:eastAsia="Arial" w:hAnsi="Arial"/>
          <w:sz w:val="18"/>
          <w:szCs w:val="18"/>
          <w:i w:val="1"/>
          <w:iCs w:val="1"/>
          <w:color w:val="auto"/>
        </w:rPr>
        <w:t xml:space="preserve"> </w:t>
      </w:r>
      <w:r>
        <w:rPr>
          <w:rFonts w:ascii="Arial" w:cs="Arial" w:eastAsia="Arial" w:hAnsi="Arial"/>
          <w:sz w:val="18"/>
          <w:szCs w:val="18"/>
          <w:color w:val="auto"/>
        </w:rPr>
        <w:t>Bank National Association), as trustee (the “</w:t>
      </w:r>
      <w:r>
        <w:rPr>
          <w:rFonts w:ascii="Arial" w:cs="Arial" w:eastAsia="Arial" w:hAnsi="Arial"/>
          <w:sz w:val="18"/>
          <w:szCs w:val="18"/>
          <w:u w:val="single" w:color="auto"/>
          <w:color w:val="auto"/>
        </w:rPr>
        <w:t>Trustee</w:t>
      </w:r>
      <w:r>
        <w:rPr>
          <w:rFonts w:ascii="Arial" w:cs="Arial" w:eastAsia="Arial" w:hAnsi="Arial"/>
          <w:sz w:val="18"/>
          <w:szCs w:val="18"/>
          <w:color w:val="auto"/>
        </w:rPr>
        <w:t>”) under the Indenture (as defined below) shall act as Paying Agent, transfer agent and Securities Registrar. The Company may change any Paying Agent, transfer agent, Securities Registrar or co-registrar without notice to the Holders. The Company may act as Paying Agent, transfer agent, Securities Registrar or co-registrar.</w:t>
      </w:r>
    </w:p>
    <w:p>
      <w:pPr>
        <w:spacing w:after="0" w:line="186" w:lineRule="exact"/>
        <w:rPr>
          <w:rFonts w:ascii="Arial" w:cs="Arial" w:eastAsia="Arial" w:hAnsi="Arial"/>
          <w:sz w:val="18"/>
          <w:szCs w:val="18"/>
          <w:color w:val="auto"/>
        </w:rPr>
      </w:pPr>
    </w:p>
    <w:p>
      <w:pPr>
        <w:ind w:firstLine="436"/>
        <w:spacing w:after="0" w:line="272" w:lineRule="auto"/>
        <w:tabs>
          <w:tab w:leader="none" w:pos="695" w:val="left"/>
        </w:tabs>
        <w:numPr>
          <w:ilvl w:val="0"/>
          <w:numId w:val="94"/>
        </w:numPr>
        <w:rPr>
          <w:rFonts w:ascii="Arial" w:cs="Arial" w:eastAsia="Arial" w:hAnsi="Arial"/>
          <w:sz w:val="17"/>
          <w:szCs w:val="17"/>
          <w:color w:val="auto"/>
        </w:rPr>
      </w:pPr>
      <w:r>
        <w:rPr>
          <w:rFonts w:ascii="Arial" w:cs="Arial" w:eastAsia="Arial" w:hAnsi="Arial"/>
          <w:sz w:val="17"/>
          <w:szCs w:val="17"/>
          <w:i w:val="1"/>
          <w:iCs w:val="1"/>
          <w:color w:val="auto"/>
        </w:rPr>
        <w:t>Indenture</w:t>
      </w:r>
      <w:r>
        <w:rPr>
          <w:rFonts w:ascii="Arial" w:cs="Arial" w:eastAsia="Arial" w:hAnsi="Arial"/>
          <w:sz w:val="17"/>
          <w:szCs w:val="17"/>
          <w:color w:val="auto"/>
        </w:rPr>
        <w:t>. This Note is a “Security,” and the Notes are “Securities” issued under the Indenture, dated as of April 12, 2021 (the “</w:t>
      </w:r>
      <w:r>
        <w:rPr>
          <w:rFonts w:ascii="Arial" w:cs="Arial" w:eastAsia="Arial" w:hAnsi="Arial"/>
          <w:sz w:val="17"/>
          <w:szCs w:val="17"/>
          <w:u w:val="single" w:color="auto"/>
          <w:color w:val="auto"/>
        </w:rPr>
        <w:t>Base</w:t>
      </w:r>
      <w:r>
        <w:rPr>
          <w:rFonts w:ascii="Arial" w:cs="Arial" w:eastAsia="Arial" w:hAnsi="Arial"/>
          <w:sz w:val="17"/>
          <w:szCs w:val="17"/>
          <w:i w:val="1"/>
          <w:iCs w:val="1"/>
          <w:color w:val="auto"/>
        </w:rPr>
        <w:t xml:space="preserve"> </w:t>
      </w:r>
      <w:r>
        <w:rPr>
          <w:rFonts w:ascii="Arial" w:cs="Arial" w:eastAsia="Arial" w:hAnsi="Arial"/>
          <w:sz w:val="17"/>
          <w:szCs w:val="17"/>
          <w:u w:val="single" w:color="auto"/>
          <w:color w:val="auto"/>
        </w:rPr>
        <w:t>Indenture</w:t>
      </w:r>
      <w:r>
        <w:rPr>
          <w:rFonts w:ascii="Arial" w:cs="Arial" w:eastAsia="Arial" w:hAnsi="Arial"/>
          <w:sz w:val="17"/>
          <w:szCs w:val="17"/>
          <w:color w:val="auto"/>
        </w:rPr>
        <w:t>”), as supplemented by the Third Supplemental Indenture, dated as of September 18, 2023 (the “</w:t>
      </w:r>
      <w:r>
        <w:rPr>
          <w:rFonts w:ascii="Arial" w:cs="Arial" w:eastAsia="Arial" w:hAnsi="Arial"/>
          <w:sz w:val="17"/>
          <w:szCs w:val="17"/>
          <w:u w:val="single" w:color="auto"/>
          <w:color w:val="auto"/>
        </w:rPr>
        <w:t>Third Supplemental Indenture</w:t>
      </w:r>
      <w:r>
        <w:rPr>
          <w:rFonts w:ascii="Arial" w:cs="Arial" w:eastAsia="Arial" w:hAnsi="Arial"/>
          <w:sz w:val="17"/>
          <w:szCs w:val="17"/>
          <w:color w:val="auto"/>
        </w:rPr>
        <w:t>” and, together with the Base Indenture, the “</w:t>
      </w:r>
      <w:r>
        <w:rPr>
          <w:rFonts w:ascii="Arial" w:cs="Arial" w:eastAsia="Arial" w:hAnsi="Arial"/>
          <w:sz w:val="17"/>
          <w:szCs w:val="17"/>
          <w:u w:val="single" w:color="auto"/>
          <w:color w:val="auto"/>
        </w:rPr>
        <w:t>Indenture</w:t>
      </w:r>
      <w:r>
        <w:rPr>
          <w:rFonts w:ascii="Arial" w:cs="Arial" w:eastAsia="Arial" w:hAnsi="Arial"/>
          <w:sz w:val="17"/>
          <w:szCs w:val="17"/>
          <w:color w:val="auto"/>
        </w:rPr>
        <w:t>”), between the Company and the Trustee. The Notes are unsecured general obligations of the Company and constitute the “5.950% Senior Notes due 2033,” initially limited to $500,000,000 in aggregate principal amount. The terms of the Notes include those stated in the Indenture. Capitalized terms used herein but not defined herein are used as defined in the Indenture. The Notes are subject to all such terms, and Holders are referred to the Indenture for a statement of such terms. To the extent any provision of this Note conflicts with the express provisions of the Indenture, the provisions of the Indenture shall govern and be controlling.</w:t>
      </w:r>
    </w:p>
    <w:p>
      <w:pPr>
        <w:spacing w:after="0" w:line="177" w:lineRule="exact"/>
        <w:rPr>
          <w:rFonts w:ascii="Arial" w:cs="Arial" w:eastAsia="Arial" w:hAnsi="Arial"/>
          <w:sz w:val="17"/>
          <w:szCs w:val="17"/>
          <w:color w:val="auto"/>
        </w:rPr>
      </w:pPr>
    </w:p>
    <w:p>
      <w:pPr>
        <w:ind w:right="80" w:firstLine="436"/>
        <w:spacing w:after="0" w:line="342" w:lineRule="auto"/>
        <w:tabs>
          <w:tab w:leader="none" w:pos="695" w:val="left"/>
        </w:tabs>
        <w:numPr>
          <w:ilvl w:val="0"/>
          <w:numId w:val="94"/>
        </w:numPr>
        <w:rPr>
          <w:rFonts w:ascii="Arial" w:cs="Arial" w:eastAsia="Arial" w:hAnsi="Arial"/>
          <w:sz w:val="16"/>
          <w:szCs w:val="16"/>
          <w:color w:val="auto"/>
        </w:rPr>
      </w:pPr>
      <w:r>
        <w:rPr>
          <w:rFonts w:ascii="Arial" w:cs="Arial" w:eastAsia="Arial" w:hAnsi="Arial"/>
          <w:sz w:val="16"/>
          <w:szCs w:val="16"/>
          <w:i w:val="1"/>
          <w:iCs w:val="1"/>
          <w:color w:val="auto"/>
        </w:rPr>
        <w:t>Optional Redemption</w:t>
      </w:r>
      <w:r>
        <w:rPr>
          <w:rFonts w:ascii="Arial" w:cs="Arial" w:eastAsia="Arial" w:hAnsi="Arial"/>
          <w:sz w:val="16"/>
          <w:szCs w:val="16"/>
          <w:color w:val="auto"/>
        </w:rPr>
        <w:t>. Prior to June 15, 2033, the Company may redeem the Notes at its option, in whole or in part, at any time and from time</w:t>
      </w:r>
      <w:r>
        <w:rPr>
          <w:rFonts w:ascii="Arial" w:cs="Arial" w:eastAsia="Arial" w:hAnsi="Arial"/>
          <w:sz w:val="16"/>
          <w:szCs w:val="16"/>
          <w:i w:val="1"/>
          <w:iCs w:val="1"/>
          <w:color w:val="auto"/>
        </w:rPr>
        <w:t xml:space="preserve"> </w:t>
      </w:r>
      <w:r>
        <w:rPr>
          <w:rFonts w:ascii="Arial" w:cs="Arial" w:eastAsia="Arial" w:hAnsi="Arial"/>
          <w:sz w:val="16"/>
          <w:szCs w:val="16"/>
          <w:color w:val="auto"/>
        </w:rPr>
        <w:t>to time, at a redemption price (expressed as a percentage of principal amount and rounded to three decimal places) equal to the greater of:</w:t>
      </w:r>
    </w:p>
    <w:p>
      <w:pPr>
        <w:spacing w:after="0" w:line="16" w:lineRule="exact"/>
        <w:rPr>
          <w:sz w:val="20"/>
          <w:szCs w:val="20"/>
          <w:color w:val="auto"/>
        </w:rPr>
      </w:pPr>
    </w:p>
    <w:p>
      <w:pPr>
        <w:ind w:left="440" w:right="20" w:firstLine="423"/>
        <w:spacing w:after="0" w:line="263" w:lineRule="auto"/>
        <w:rPr>
          <w:sz w:val="20"/>
          <w:szCs w:val="20"/>
          <w:color w:val="auto"/>
        </w:rPr>
      </w:pPr>
      <w:r>
        <w:rPr>
          <w:rFonts w:ascii="Arial" w:cs="Arial" w:eastAsia="Arial" w:hAnsi="Arial"/>
          <w:sz w:val="18"/>
          <w:szCs w:val="18"/>
          <w:color w:val="auto"/>
        </w:rPr>
        <w:t>(1)(a) the sum of the present values of the remaining scheduled payments of principal and interest thereon discounted to the redemption date (assuming the Notes matured on June 15, 2033) on a semi-annual basis (assuming a 360-day year consisting of twelve 30-day months) at the Treasury Rate plus 30 basis points less (b) interest accrued to the date of redemption, and</w:t>
      </w:r>
    </w:p>
    <w:p>
      <w:pPr>
        <w:spacing w:after="0" w:line="76" w:lineRule="exact"/>
        <w:rPr>
          <w:sz w:val="20"/>
          <w:szCs w:val="20"/>
          <w:color w:val="auto"/>
        </w:rPr>
      </w:pPr>
    </w:p>
    <w:p>
      <w:pPr>
        <w:ind w:right="5300" w:firstLine="859"/>
        <w:spacing w:after="0" w:line="563" w:lineRule="auto"/>
        <w:tabs>
          <w:tab w:leader="none" w:pos="1118" w:val="left"/>
        </w:tabs>
        <w:numPr>
          <w:ilvl w:val="0"/>
          <w:numId w:val="95"/>
        </w:numPr>
        <w:rPr>
          <w:rFonts w:ascii="Arial" w:cs="Arial" w:eastAsia="Arial" w:hAnsi="Arial"/>
          <w:sz w:val="16"/>
          <w:szCs w:val="16"/>
          <w:color w:val="auto"/>
        </w:rPr>
      </w:pPr>
      <w:r>
        <w:rPr>
          <w:rFonts w:ascii="Arial" w:cs="Arial" w:eastAsia="Arial" w:hAnsi="Arial"/>
          <w:sz w:val="16"/>
          <w:szCs w:val="16"/>
          <w:color w:val="auto"/>
        </w:rPr>
        <w:t>100% of the principal amount of the Notes to be redeemed, plus, in either case, accrued and unpaid interest thereon to the redemption date.</w:t>
      </w:r>
    </w:p>
    <w:p>
      <w:pPr>
        <w:spacing w:after="0" w:line="1" w:lineRule="exact"/>
        <w:rPr>
          <w:sz w:val="20"/>
          <w:szCs w:val="20"/>
          <w:color w:val="auto"/>
        </w:rPr>
      </w:pPr>
    </w:p>
    <w:p>
      <w:pPr>
        <w:ind w:right="20" w:firstLine="440"/>
        <w:spacing w:after="0" w:line="308" w:lineRule="auto"/>
        <w:rPr>
          <w:sz w:val="20"/>
          <w:szCs w:val="20"/>
          <w:color w:val="auto"/>
        </w:rPr>
      </w:pPr>
      <w:r>
        <w:rPr>
          <w:rFonts w:ascii="Arial" w:cs="Arial" w:eastAsia="Arial" w:hAnsi="Arial"/>
          <w:sz w:val="17"/>
          <w:szCs w:val="17"/>
          <w:color w:val="auto"/>
        </w:rPr>
        <w:t>On or after June 15, 2033, the Company may redeem the Notes, in whole or in part, at any time and from time to time, at a redemption price equal to 100% of the principal amount of the Notes being redeemed plus accrued and unpaid interest thereon to the redemption date.</w:t>
      </w:r>
    </w:p>
    <w:p>
      <w:pPr>
        <w:sectPr>
          <w:pgSz w:w="11900" w:h="16838" w:orient="portrait"/>
          <w:cols w:equalWidth="0" w:num="1">
            <w:col w:w="10980"/>
          </w:cols>
          <w:pgMar w:left="440" w:top="274" w:right="479" w:bottom="1440" w:gutter="0" w:footer="0" w:header="0"/>
        </w:sectPr>
      </w:pPr>
    </w:p>
    <w:bookmarkStart w:id="79" w:name="page80"/>
    <w:bookmarkEnd w:id="79"/>
    <w:p>
      <w:pPr>
        <w:ind w:right="120"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Company’s actions and determinations in determining the redemption price shall be conclusive and binding for all purposes, absent manifest error. The Trustee shall have no duty to calculate or verify the Company’s calculations of the redemption price.</w:t>
      </w:r>
    </w:p>
    <w:p>
      <w:pPr>
        <w:spacing w:after="0" w:line="170" w:lineRule="exact"/>
        <w:rPr>
          <w:sz w:val="20"/>
          <w:szCs w:val="20"/>
          <w:color w:val="auto"/>
        </w:rPr>
      </w:pPr>
    </w:p>
    <w:p>
      <w:pPr>
        <w:ind w:firstLine="440"/>
        <w:spacing w:after="0" w:line="268" w:lineRule="auto"/>
        <w:rPr>
          <w:sz w:val="20"/>
          <w:szCs w:val="20"/>
          <w:color w:val="auto"/>
        </w:rPr>
      </w:pPr>
      <w:r>
        <w:rPr>
          <w:rFonts w:ascii="Arial" w:cs="Arial" w:eastAsia="Arial" w:hAnsi="Arial"/>
          <w:sz w:val="17"/>
          <w:szCs w:val="17"/>
          <w:color w:val="auto"/>
        </w:rPr>
        <w:t>Notice of any redemption will be mailed or electronically delivered (or otherwise transmitted in accordance with the Depositary’s procedures) at least 10 days but not more than 60 days before the redemption date to each holder of the Notes to be redeemed (with a copy to the Trustee). Any redemption or notice may, at the Company’s discretion, be subject to one or more conditions precedent and, at the Company’s discretion, the redemption date may be delayed until such time as any or all such conditions shall be satisfied (or waived by the Company in its sole discretion), or the redemption date may not occur at all and such notice may be rescinded if all such conditions shall not have been satisfied (or waived by the Company in its sole discretion). The Trustee shall, at the Company’s written request (delivered to the Trustee at least five Business Days prior to the date such notice is to be sent (or such shorter period as the Trustee may agree) with a copy of such notice) give the notice of redemption in the Company’s name and at the Company’s expense. Such notice shall state the redemption price (if known) or the formula pursuant to which the redemption price is to be determined if the redemption price cannot be determined at the time the notice is given. If the redemption price cannot be determined at the time such notice is to be given, the actual redemption price, calculated as set forth in the Indenture, shall be set forth in an Officer’s Certificate delivered to the Trustee no later than two Business Days prior to the redemption date. Notice of redemption having been given as provided in the Indenture, the Notes called for redemption shall become due and payable on the redemption date and at the applicable redemption price, plus accrued and unpaid interest, if any, to, but excluding, the redemption date.</w:t>
      </w:r>
    </w:p>
    <w:p>
      <w:pPr>
        <w:spacing w:after="0" w:line="186" w:lineRule="exact"/>
        <w:rPr>
          <w:sz w:val="20"/>
          <w:szCs w:val="20"/>
          <w:color w:val="auto"/>
        </w:rPr>
      </w:pPr>
    </w:p>
    <w:p>
      <w:pPr>
        <w:ind w:right="20" w:firstLine="440"/>
        <w:spacing w:after="0" w:line="255" w:lineRule="auto"/>
        <w:rPr>
          <w:sz w:val="20"/>
          <w:szCs w:val="20"/>
          <w:color w:val="auto"/>
        </w:rPr>
      </w:pPr>
      <w:r>
        <w:rPr>
          <w:rFonts w:ascii="Arial" w:cs="Arial" w:eastAsia="Arial" w:hAnsi="Arial"/>
          <w:sz w:val="18"/>
          <w:szCs w:val="18"/>
          <w:color w:val="auto"/>
        </w:rPr>
        <w:t>In the case of a partial redemption, selection of the Notes for redemption will be made pro rata, by lot or by such other method as the Trustee in its sole discretion deems appropriate and fair. No Notes of a principal amount of $2,000 or less will be redeemed in part. If any Note is to be redeemed in part only, the notice of redemption that relates to the Note will state the portion of the principal amount of the Note to be redeemed. A new Note in a principal amount equal to the unredeemed portion of the Note will be issued in the name of the holder of the Note upon surrender for cancellation of the original Note. For so long as the Notes are held by DTC (or another depositary), the redemption of the Notes shall be done in accordance with the policies and procedures of the Depositary.</w:t>
      </w:r>
    </w:p>
    <w:p>
      <w:pPr>
        <w:spacing w:after="0" w:line="192" w:lineRule="exact"/>
        <w:rPr>
          <w:sz w:val="20"/>
          <w:szCs w:val="20"/>
          <w:color w:val="auto"/>
        </w:rPr>
      </w:pPr>
    </w:p>
    <w:p>
      <w:pPr>
        <w:ind w:right="420" w:firstLine="440"/>
        <w:spacing w:after="0" w:line="277" w:lineRule="auto"/>
        <w:rPr>
          <w:sz w:val="20"/>
          <w:szCs w:val="20"/>
          <w:color w:val="auto"/>
        </w:rPr>
      </w:pPr>
      <w:r>
        <w:rPr>
          <w:rFonts w:ascii="Arial" w:cs="Arial" w:eastAsia="Arial" w:hAnsi="Arial"/>
          <w:sz w:val="18"/>
          <w:szCs w:val="18"/>
          <w:color w:val="auto"/>
        </w:rPr>
        <w:t>Unless we default in payment of the redemption price, on and after the redemption date interest will cease to accrue on the Notes, or portions thereof, called for redemption.</w:t>
      </w:r>
    </w:p>
    <w:p>
      <w:pPr>
        <w:spacing w:after="0" w:line="170" w:lineRule="exact"/>
        <w:rPr>
          <w:sz w:val="20"/>
          <w:szCs w:val="20"/>
          <w:color w:val="auto"/>
        </w:rPr>
      </w:pPr>
    </w:p>
    <w:p>
      <w:pPr>
        <w:ind w:right="40" w:firstLine="440"/>
        <w:spacing w:after="0" w:line="275" w:lineRule="auto"/>
        <w:rPr>
          <w:sz w:val="20"/>
          <w:szCs w:val="20"/>
          <w:color w:val="auto"/>
        </w:rPr>
      </w:pPr>
      <w:r>
        <w:rPr>
          <w:rFonts w:ascii="Arial" w:cs="Arial" w:eastAsia="Arial" w:hAnsi="Arial"/>
          <w:sz w:val="17"/>
          <w:szCs w:val="17"/>
          <w:color w:val="auto"/>
        </w:rPr>
        <w:t>If any redemption date would otherwise be a day that is not a Business Day, the related payment of principal and interest will be made on the next succeeding Business Day as if it were made on the date such payment was due, and no interest will accrue on the amounts so payable for the period from and after such date to the next succeeding Business Day. Notwithstanding the foregoing, installments of interest on Notes that are due and payable on Interest Payment Dates falling on or prior to a redemption date shall be payable on the Interest Payment Date to the registered Holders as of the close of business on the relevant Record Date in accordance with the provisions of the Notes and the Indenture.</w:t>
      </w:r>
    </w:p>
    <w:p>
      <w:pPr>
        <w:spacing w:after="0" w:line="176" w:lineRule="exact"/>
        <w:rPr>
          <w:sz w:val="20"/>
          <w:szCs w:val="20"/>
          <w:color w:val="auto"/>
        </w:rPr>
      </w:pPr>
    </w:p>
    <w:p>
      <w:pPr>
        <w:ind w:right="340" w:firstLine="440"/>
        <w:spacing w:after="0" w:line="263" w:lineRule="auto"/>
        <w:rPr>
          <w:sz w:val="20"/>
          <w:szCs w:val="20"/>
          <w:color w:val="auto"/>
        </w:rPr>
      </w:pPr>
      <w:r>
        <w:rPr>
          <w:rFonts w:ascii="Arial" w:cs="Arial" w:eastAsia="Arial" w:hAnsi="Arial"/>
          <w:sz w:val="18"/>
          <w:szCs w:val="18"/>
          <w:color w:val="auto"/>
        </w:rPr>
        <w:t>On or before the redemption date for the Notes, the Company shall deposit with the Trustee or a Paying Agent funds sufficient to pay the redemption price of the Notes to be redeemed on the redemption date, and (except if the redemption date shall be an Interest Payment Date) accrued interest, if any.</w:t>
      </w:r>
    </w:p>
    <w:p>
      <w:pPr>
        <w:spacing w:after="0" w:line="184" w:lineRule="exact"/>
        <w:rPr>
          <w:sz w:val="20"/>
          <w:szCs w:val="20"/>
          <w:color w:val="auto"/>
        </w:rPr>
      </w:pPr>
    </w:p>
    <w:p>
      <w:pPr>
        <w:ind w:right="80" w:firstLine="436"/>
        <w:spacing w:after="0" w:line="257" w:lineRule="auto"/>
        <w:tabs>
          <w:tab w:leader="none" w:pos="695" w:val="left"/>
        </w:tabs>
        <w:numPr>
          <w:ilvl w:val="0"/>
          <w:numId w:val="96"/>
        </w:numPr>
        <w:rPr>
          <w:rFonts w:ascii="Arial" w:cs="Arial" w:eastAsia="Arial" w:hAnsi="Arial"/>
          <w:sz w:val="18"/>
          <w:szCs w:val="18"/>
          <w:color w:val="auto"/>
        </w:rPr>
      </w:pPr>
      <w:r>
        <w:rPr>
          <w:rFonts w:ascii="Arial" w:cs="Arial" w:eastAsia="Arial" w:hAnsi="Arial"/>
          <w:sz w:val="18"/>
          <w:szCs w:val="18"/>
          <w:i w:val="1"/>
          <w:iCs w:val="1"/>
          <w:color w:val="auto"/>
        </w:rPr>
        <w:t>Change of Control Repurchase Event</w:t>
      </w:r>
      <w:r>
        <w:rPr>
          <w:rFonts w:ascii="Arial" w:cs="Arial" w:eastAsia="Arial" w:hAnsi="Arial"/>
          <w:sz w:val="18"/>
          <w:szCs w:val="18"/>
          <w:color w:val="auto"/>
        </w:rPr>
        <w:t>. If a Change of Control Repurchase Event occurs with respect to the Notes, unless the Company shall</w:t>
      </w:r>
      <w:r>
        <w:rPr>
          <w:rFonts w:ascii="Arial" w:cs="Arial" w:eastAsia="Arial" w:hAnsi="Arial"/>
          <w:sz w:val="18"/>
          <w:szCs w:val="18"/>
          <w:i w:val="1"/>
          <w:iCs w:val="1"/>
          <w:color w:val="auto"/>
        </w:rPr>
        <w:t xml:space="preserve"> </w:t>
      </w:r>
      <w:r>
        <w:rPr>
          <w:rFonts w:ascii="Arial" w:cs="Arial" w:eastAsia="Arial" w:hAnsi="Arial"/>
          <w:sz w:val="18"/>
          <w:szCs w:val="18"/>
          <w:color w:val="auto"/>
        </w:rPr>
        <w:t>have exercised its option pursuant to Section (5) hereof to redeem the Notes, each Holder of the Notes shall have the right to require the Company to repurchase all or any part (equal to $2,000 and multiples of $1,000 in excess thereof) of that Holder’s Notes at a repurchase price in cash equal to 101% of the aggregate principal amount of the Notes to be repurchased plus any accrued and unpaid interest on such Notes to, but excluding, the repurchase date.</w:t>
      </w:r>
    </w:p>
    <w:p>
      <w:pPr>
        <w:sectPr>
          <w:pgSz w:w="11900" w:h="16838" w:orient="portrait"/>
          <w:cols w:equalWidth="0" w:num="1">
            <w:col w:w="11000"/>
          </w:cols>
          <w:pgMar w:left="440" w:top="274" w:right="459" w:bottom="1440" w:gutter="0" w:footer="0" w:header="0"/>
        </w:sectPr>
      </w:pPr>
    </w:p>
    <w:bookmarkStart w:id="80" w:name="page81"/>
    <w:bookmarkEnd w:id="80"/>
    <w:p>
      <w:pPr>
        <w:ind w:right="80" w:firstLine="440"/>
        <w:spacing w:after="0" w:line="271"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Within 30 days following any Change of Control Repurchase Event with respect to the Notes or, at the option of the Company, prior to any Change of Control, but after the public announcement of the Change of Control or event that may constitute the Change of Control, the Company shall deliver a notice (the “</w:t>
      </w:r>
      <w:r>
        <w:rPr>
          <w:rFonts w:ascii="Arial" w:cs="Arial" w:eastAsia="Arial" w:hAnsi="Arial"/>
          <w:sz w:val="17"/>
          <w:szCs w:val="17"/>
          <w:u w:val="single" w:color="auto"/>
          <w:color w:val="auto"/>
        </w:rPr>
        <w:t>Change of Control Notice</w:t>
      </w:r>
      <w:r>
        <w:rPr>
          <w:rFonts w:ascii="Arial" w:cs="Arial" w:eastAsia="Arial" w:hAnsi="Arial"/>
          <w:sz w:val="17"/>
          <w:szCs w:val="17"/>
          <w:color w:val="auto"/>
        </w:rPr>
        <w:t>”) to each Holder of the Notes, with a copy to the Trustee, describing the transaction or transactions that constitute or may constitute the Change of Control Repurchase Event and offering (the “</w:t>
      </w:r>
      <w:r>
        <w:rPr>
          <w:rFonts w:ascii="Arial" w:cs="Arial" w:eastAsia="Arial" w:hAnsi="Arial"/>
          <w:sz w:val="17"/>
          <w:szCs w:val="17"/>
          <w:u w:val="single" w:color="auto"/>
          <w:color w:val="auto"/>
        </w:rPr>
        <w:t>Change of Control Offer</w:t>
      </w:r>
      <w:r>
        <w:rPr>
          <w:rFonts w:ascii="Arial" w:cs="Arial" w:eastAsia="Arial" w:hAnsi="Arial"/>
          <w:sz w:val="17"/>
          <w:szCs w:val="17"/>
          <w:color w:val="auto"/>
        </w:rPr>
        <w:t>”) to repurchase such Notes on the repurchase date specified in the notice at the option of the Holders, which date (the “</w:t>
      </w:r>
      <w:r>
        <w:rPr>
          <w:rFonts w:ascii="Arial" w:cs="Arial" w:eastAsia="Arial" w:hAnsi="Arial"/>
          <w:sz w:val="17"/>
          <w:szCs w:val="17"/>
          <w:u w:val="single" w:color="auto"/>
          <w:color w:val="auto"/>
        </w:rPr>
        <w:t>Change of Control Payment Date</w:t>
      </w:r>
      <w:r>
        <w:rPr>
          <w:rFonts w:ascii="Arial" w:cs="Arial" w:eastAsia="Arial" w:hAnsi="Arial"/>
          <w:sz w:val="17"/>
          <w:szCs w:val="17"/>
          <w:color w:val="auto"/>
        </w:rPr>
        <w:t>”) shall be no earlier than 10 days and no later than 60 days from the date such notice is delivered. The Change of Control Notice shall, if delivered prior to the date of consummation of the Change of Control, state that the Company’s obligation to repurchase the Notes is conditioned on a Change of Control Repurchase Event occurring on or prior to the Change of Control Payment Date.</w:t>
      </w:r>
    </w:p>
    <w:p>
      <w:pPr>
        <w:spacing w:after="0" w:line="178" w:lineRule="exact"/>
        <w:rPr>
          <w:sz w:val="20"/>
          <w:szCs w:val="20"/>
          <w:color w:val="auto"/>
        </w:rPr>
      </w:pPr>
    </w:p>
    <w:p>
      <w:pPr>
        <w:ind w:left="440"/>
        <w:spacing w:after="0"/>
        <w:rPr>
          <w:sz w:val="20"/>
          <w:szCs w:val="20"/>
          <w:color w:val="auto"/>
        </w:rPr>
      </w:pPr>
      <w:r>
        <w:rPr>
          <w:rFonts w:ascii="Arial" w:cs="Arial" w:eastAsia="Arial" w:hAnsi="Arial"/>
          <w:sz w:val="18"/>
          <w:szCs w:val="18"/>
          <w:color w:val="auto"/>
        </w:rPr>
        <w:t>On the Change of Control Payment Date, the Company shall, to the extent lawful:</w:t>
      </w:r>
    </w:p>
    <w:p>
      <w:pPr>
        <w:spacing w:after="0" w:line="117" w:lineRule="exact"/>
        <w:rPr>
          <w:sz w:val="20"/>
          <w:szCs w:val="20"/>
          <w:color w:val="auto"/>
        </w:rPr>
      </w:pPr>
    </w:p>
    <w:p>
      <w:pPr>
        <w:ind w:left="1080" w:hanging="221"/>
        <w:spacing w:after="0"/>
        <w:tabs>
          <w:tab w:leader="none" w:pos="1080" w:val="left"/>
        </w:tabs>
        <w:numPr>
          <w:ilvl w:val="0"/>
          <w:numId w:val="97"/>
        </w:numPr>
        <w:rPr>
          <w:rFonts w:ascii="Arial" w:cs="Arial" w:eastAsia="Arial" w:hAnsi="Arial"/>
          <w:sz w:val="18"/>
          <w:szCs w:val="18"/>
          <w:color w:val="auto"/>
        </w:rPr>
      </w:pPr>
      <w:r>
        <w:rPr>
          <w:rFonts w:ascii="Arial" w:cs="Arial" w:eastAsia="Arial" w:hAnsi="Arial"/>
          <w:sz w:val="18"/>
          <w:szCs w:val="18"/>
          <w:color w:val="auto"/>
        </w:rPr>
        <w:t>accept for payment all the Notes or portions of the Notes properly tendered pursuant to the Change of Control Notice;</w:t>
      </w:r>
    </w:p>
    <w:p>
      <w:pPr>
        <w:spacing w:after="0" w:line="117" w:lineRule="exact"/>
        <w:rPr>
          <w:rFonts w:ascii="Arial" w:cs="Arial" w:eastAsia="Arial" w:hAnsi="Arial"/>
          <w:sz w:val="18"/>
          <w:szCs w:val="18"/>
          <w:color w:val="auto"/>
        </w:rPr>
      </w:pPr>
    </w:p>
    <w:p>
      <w:pPr>
        <w:ind w:left="440" w:right="180" w:firstLine="419"/>
        <w:spacing w:after="0" w:line="277" w:lineRule="auto"/>
        <w:tabs>
          <w:tab w:leader="none" w:pos="1128" w:val="left"/>
        </w:tabs>
        <w:numPr>
          <w:ilvl w:val="0"/>
          <w:numId w:val="97"/>
        </w:numPr>
        <w:rPr>
          <w:rFonts w:ascii="Arial" w:cs="Arial" w:eastAsia="Arial" w:hAnsi="Arial"/>
          <w:sz w:val="18"/>
          <w:szCs w:val="18"/>
          <w:color w:val="auto"/>
        </w:rPr>
      </w:pPr>
      <w:r>
        <w:rPr>
          <w:rFonts w:ascii="Arial" w:cs="Arial" w:eastAsia="Arial" w:hAnsi="Arial"/>
          <w:sz w:val="18"/>
          <w:szCs w:val="18"/>
          <w:color w:val="auto"/>
        </w:rPr>
        <w:t>deposit with the Paying Agent or tender agent appointed for such purpose an amount equal to the aggregate repurchase price in respect of all the Notes or portions of the Notes properly tendered; and</w:t>
      </w:r>
    </w:p>
    <w:p>
      <w:pPr>
        <w:spacing w:after="0" w:line="62" w:lineRule="exact"/>
        <w:rPr>
          <w:rFonts w:ascii="Arial" w:cs="Arial" w:eastAsia="Arial" w:hAnsi="Arial"/>
          <w:sz w:val="18"/>
          <w:szCs w:val="18"/>
          <w:color w:val="auto"/>
        </w:rPr>
      </w:pPr>
    </w:p>
    <w:p>
      <w:pPr>
        <w:ind w:left="440" w:right="200" w:firstLine="419"/>
        <w:spacing w:after="0" w:line="277" w:lineRule="auto"/>
        <w:tabs>
          <w:tab w:leader="none" w:pos="1178" w:val="left"/>
        </w:tabs>
        <w:numPr>
          <w:ilvl w:val="0"/>
          <w:numId w:val="97"/>
        </w:numPr>
        <w:rPr>
          <w:rFonts w:ascii="Arial" w:cs="Arial" w:eastAsia="Arial" w:hAnsi="Arial"/>
          <w:sz w:val="18"/>
          <w:szCs w:val="18"/>
          <w:color w:val="auto"/>
        </w:rPr>
      </w:pPr>
      <w:r>
        <w:rPr>
          <w:rFonts w:ascii="Arial" w:cs="Arial" w:eastAsia="Arial" w:hAnsi="Arial"/>
          <w:sz w:val="18"/>
          <w:szCs w:val="18"/>
          <w:color w:val="auto"/>
        </w:rPr>
        <w:t>deliver or cause to be delivered to the Trustee the Notes properly accepted, together with an Officer’s Certificate stating the aggregate principal amount of the Notes being repurchased by the Company.</w:t>
      </w:r>
    </w:p>
    <w:p>
      <w:pPr>
        <w:spacing w:after="0" w:line="170" w:lineRule="exact"/>
        <w:rPr>
          <w:sz w:val="20"/>
          <w:szCs w:val="20"/>
          <w:color w:val="auto"/>
        </w:rPr>
      </w:pPr>
    </w:p>
    <w:p>
      <w:pPr>
        <w:ind w:firstLine="440"/>
        <w:spacing w:after="0" w:line="291" w:lineRule="auto"/>
        <w:rPr>
          <w:sz w:val="20"/>
          <w:szCs w:val="20"/>
          <w:color w:val="auto"/>
        </w:rPr>
      </w:pPr>
      <w:r>
        <w:rPr>
          <w:rFonts w:ascii="Arial" w:cs="Arial" w:eastAsia="Arial" w:hAnsi="Arial"/>
          <w:sz w:val="16"/>
          <w:szCs w:val="16"/>
          <w:color w:val="auto"/>
        </w:rPr>
        <w:t>If Holders of not less than 95% in aggregate principal amount of the outstanding Notes validly tender and do not withdraw such Notes in a Change of Control Offer and the Company, or any third party making a Change of Control Offer in lieu of the Company pursuant to Section 4.02(d) of the Third Supplemental Indenture, purchases all of the Notes validly tendered and not withdrawn by such Holders, the Company shall have the right, upon not less than 10 nor more than 60 days’ prior written notice to the Holders of the Notes (with a copy to the trustee), given not more than 30 days following such purchase pursuant to the Change of Control Offer described above, to redeem all Notes that remain outstanding following such purchase at a redemption price in cash equal to 101% of the principal amount thereof, plus accrued and unpaid interest, if any, to, but excluding, the redemption date (subject to the right of Holders of record on a Record Date to receive interest on the relevant Interest Payment Date).</w:t>
      </w:r>
    </w:p>
    <w:p>
      <w:pPr>
        <w:spacing w:after="0" w:line="166" w:lineRule="exact"/>
        <w:rPr>
          <w:sz w:val="20"/>
          <w:szCs w:val="20"/>
          <w:color w:val="auto"/>
        </w:rPr>
      </w:pPr>
    </w:p>
    <w:p>
      <w:pPr>
        <w:ind w:right="60" w:firstLine="440"/>
        <w:spacing w:after="0" w:line="273" w:lineRule="auto"/>
        <w:rPr>
          <w:sz w:val="20"/>
          <w:szCs w:val="20"/>
          <w:color w:val="auto"/>
        </w:rPr>
      </w:pPr>
      <w:r>
        <w:rPr>
          <w:rFonts w:ascii="Arial" w:cs="Arial" w:eastAsia="Arial" w:hAnsi="Arial"/>
          <w:sz w:val="17"/>
          <w:szCs w:val="17"/>
          <w:color w:val="auto"/>
        </w:rPr>
        <w:t xml:space="preserve">The Company shall comply with the requirements of Rule 14e-1 under the Exchange Act and any other securities laws and regulations thereunder to the extent those laws and regulations are applicable in connection with any repurchase of the Notes as a result of a Change of Control Repurchase Event. To the extent the provisions of any such securities laws or regulations conflict with this Section (6), the Company shall comply with those securities laws and regulations and shall not be deemed to have breached its obligations under this Section (6) by virtue thereof; </w:t>
      </w:r>
      <w:r>
        <w:rPr>
          <w:rFonts w:ascii="Arial" w:cs="Arial" w:eastAsia="Arial" w:hAnsi="Arial"/>
          <w:sz w:val="17"/>
          <w:szCs w:val="17"/>
          <w:i w:val="1"/>
          <w:iCs w:val="1"/>
          <w:color w:val="auto"/>
        </w:rPr>
        <w:t>provided</w:t>
      </w:r>
      <w:r>
        <w:rPr>
          <w:rFonts w:ascii="Arial" w:cs="Arial" w:eastAsia="Arial" w:hAnsi="Arial"/>
          <w:sz w:val="17"/>
          <w:szCs w:val="17"/>
          <w:color w:val="auto"/>
        </w:rPr>
        <w:t xml:space="preserve"> that the Company otherwise uses commercially reasonable efforts to permit Holders to exercise their rights and to fulfill its obligations in the time and in the manner specified in this Section (6) to the extent permitted by such securities laws or regulations.</w:t>
      </w:r>
    </w:p>
    <w:p>
      <w:pPr>
        <w:spacing w:after="0" w:line="178" w:lineRule="exact"/>
        <w:rPr>
          <w:sz w:val="20"/>
          <w:szCs w:val="20"/>
          <w:color w:val="auto"/>
        </w:rPr>
      </w:pPr>
    </w:p>
    <w:p>
      <w:pPr>
        <w:ind w:right="80" w:firstLine="436"/>
        <w:spacing w:after="0" w:line="272" w:lineRule="auto"/>
        <w:tabs>
          <w:tab w:leader="none" w:pos="695" w:val="left"/>
        </w:tabs>
        <w:numPr>
          <w:ilvl w:val="0"/>
          <w:numId w:val="98"/>
        </w:numPr>
        <w:rPr>
          <w:rFonts w:ascii="Arial" w:cs="Arial" w:eastAsia="Arial" w:hAnsi="Arial"/>
          <w:sz w:val="17"/>
          <w:szCs w:val="17"/>
          <w:color w:val="auto"/>
        </w:rPr>
      </w:pPr>
      <w:r>
        <w:rPr>
          <w:rFonts w:ascii="Arial" w:cs="Arial" w:eastAsia="Arial" w:hAnsi="Arial"/>
          <w:sz w:val="17"/>
          <w:szCs w:val="17"/>
          <w:i w:val="1"/>
          <w:iCs w:val="1"/>
          <w:color w:val="auto"/>
        </w:rPr>
        <w:t>Denominations; Transfer; Exchange</w:t>
      </w:r>
      <w:r>
        <w:rPr>
          <w:rFonts w:ascii="Arial" w:cs="Arial" w:eastAsia="Arial" w:hAnsi="Arial"/>
          <w:sz w:val="17"/>
          <w:szCs w:val="17"/>
          <w:color w:val="auto"/>
        </w:rPr>
        <w:t>. The Notes are in registered form without coupons in minimum denominations of $2,000 and any</w:t>
      </w:r>
      <w:r>
        <w:rPr>
          <w:rFonts w:ascii="Arial" w:cs="Arial" w:eastAsia="Arial" w:hAnsi="Arial"/>
          <w:sz w:val="17"/>
          <w:szCs w:val="17"/>
          <w:i w:val="1"/>
          <w:iCs w:val="1"/>
          <w:color w:val="auto"/>
        </w:rPr>
        <w:t xml:space="preserve"> </w:t>
      </w:r>
      <w:r>
        <w:rPr>
          <w:rFonts w:ascii="Arial" w:cs="Arial" w:eastAsia="Arial" w:hAnsi="Arial"/>
          <w:sz w:val="17"/>
          <w:szCs w:val="17"/>
          <w:color w:val="auto"/>
        </w:rPr>
        <w:t>multiple of $1,000 in excess thereof. The transfer of Notes may be registered and Notes may be exchanged as provided in the Indenture. The Securities Registrar may require a Holder, among other things, to furnish appropriate endorsements and transfer documents and to pay any taxes and fees required by law or permitted by the Indenture. The Company shall not be required (A) to transfer or exchange any Notes subject to redemption during a period beginning at the opening of business 15 days before the day of the electronic delivery or mailing of a notice of redemption and ending at the close of business on the day of such electronic delivery or mailing or (B) to register the transfer of or exchange any Note so selected for redemption, in whole or in part, except the unredeemed portion of any Note being redeemed in part.</w:t>
      </w:r>
    </w:p>
    <w:p>
      <w:pPr>
        <w:sectPr>
          <w:pgSz w:w="11900" w:h="16838" w:orient="portrait"/>
          <w:cols w:equalWidth="0" w:num="1">
            <w:col w:w="11000"/>
          </w:cols>
          <w:pgMar w:left="440" w:top="274" w:right="459" w:bottom="1440" w:gutter="0" w:footer="0" w:header="0"/>
        </w:sectPr>
      </w:pPr>
    </w:p>
    <w:bookmarkStart w:id="81" w:name="page82"/>
    <w:bookmarkEnd w:id="81"/>
    <w:p>
      <w:pPr>
        <w:ind w:left="-436" w:right="200" w:firstLine="436"/>
        <w:spacing w:after="0" w:line="263" w:lineRule="auto"/>
        <w:tabs>
          <w:tab w:leader="none" w:pos="25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Defeasance</w:t>
      </w:r>
      <w:r>
        <w:rPr>
          <w:rFonts w:ascii="Arial" w:cs="Arial" w:eastAsia="Arial" w:hAnsi="Arial"/>
          <w:sz w:val="18"/>
          <w:szCs w:val="18"/>
          <w:color w:val="auto"/>
        </w:rPr>
        <w:t>. Subject to certain conditions as provided in the Indenture, the Company at any time may terminate some or all of its obligations</w:t>
      </w:r>
      <w:r>
        <w:rPr>
          <w:rFonts w:ascii="Arial" w:cs="Arial" w:eastAsia="Arial" w:hAnsi="Arial"/>
          <w:sz w:val="18"/>
          <w:szCs w:val="18"/>
          <w:i w:val="1"/>
          <w:iCs w:val="1"/>
          <w:color w:val="auto"/>
        </w:rPr>
        <w:t xml:space="preserve"> </w:t>
      </w:r>
      <w:r>
        <w:rPr>
          <w:rFonts w:ascii="Arial" w:cs="Arial" w:eastAsia="Arial" w:hAnsi="Arial"/>
          <w:sz w:val="18"/>
          <w:szCs w:val="18"/>
          <w:color w:val="auto"/>
        </w:rPr>
        <w:t>under the Notes and the Indenture if the Company deposits with the Trustee money and/or U.S. Government Obligations for the payment of principal and interest on the Notes to their Stated Maturity.</w:t>
      </w:r>
    </w:p>
    <w:p>
      <w:pPr>
        <w:spacing w:after="0" w:line="183" w:lineRule="exact"/>
        <w:rPr>
          <w:rFonts w:ascii="Arial" w:cs="Arial" w:eastAsia="Arial" w:hAnsi="Arial"/>
          <w:sz w:val="18"/>
          <w:szCs w:val="18"/>
          <w:color w:val="auto"/>
        </w:rPr>
      </w:pPr>
    </w:p>
    <w:p>
      <w:pPr>
        <w:ind w:left="-436" w:right="680" w:firstLine="436"/>
        <w:spacing w:after="0" w:line="342" w:lineRule="auto"/>
        <w:tabs>
          <w:tab w:leader="none" w:pos="259" w:val="left"/>
        </w:tabs>
        <w:numPr>
          <w:ilvl w:val="0"/>
          <w:numId w:val="99"/>
        </w:numPr>
        <w:rPr>
          <w:rFonts w:ascii="Arial" w:cs="Arial" w:eastAsia="Arial" w:hAnsi="Arial"/>
          <w:sz w:val="16"/>
          <w:szCs w:val="16"/>
          <w:color w:val="auto"/>
        </w:rPr>
      </w:pPr>
      <w:r>
        <w:rPr>
          <w:rFonts w:ascii="Arial" w:cs="Arial" w:eastAsia="Arial" w:hAnsi="Arial"/>
          <w:sz w:val="16"/>
          <w:szCs w:val="16"/>
          <w:i w:val="1"/>
          <w:iCs w:val="1"/>
          <w:color w:val="auto"/>
        </w:rPr>
        <w:t>Persons Deemed Owners</w:t>
      </w:r>
      <w:r>
        <w:rPr>
          <w:rFonts w:ascii="Arial" w:cs="Arial" w:eastAsia="Arial" w:hAnsi="Arial"/>
          <w:sz w:val="16"/>
          <w:szCs w:val="16"/>
          <w:color w:val="auto"/>
        </w:rPr>
        <w:t>. The registered Holder of a Note may be treated as its owner for all purposes, except that interest (other than</w:t>
      </w:r>
      <w:r>
        <w:rPr>
          <w:rFonts w:ascii="Arial" w:cs="Arial" w:eastAsia="Arial" w:hAnsi="Arial"/>
          <w:sz w:val="16"/>
          <w:szCs w:val="16"/>
          <w:i w:val="1"/>
          <w:iCs w:val="1"/>
          <w:color w:val="auto"/>
        </w:rPr>
        <w:t xml:space="preserve"> </w:t>
      </w:r>
      <w:r>
        <w:rPr>
          <w:rFonts w:ascii="Arial" w:cs="Arial" w:eastAsia="Arial" w:hAnsi="Arial"/>
          <w:sz w:val="16"/>
          <w:szCs w:val="16"/>
          <w:color w:val="auto"/>
        </w:rPr>
        <w:t>Defaulted Interest) shall be paid to the Person that was the registered Holder on the relevant Record Date for such payment of interest.</w:t>
      </w:r>
    </w:p>
    <w:p>
      <w:pPr>
        <w:spacing w:after="0" w:line="123" w:lineRule="exact"/>
        <w:rPr>
          <w:rFonts w:ascii="Arial" w:cs="Arial" w:eastAsia="Arial" w:hAnsi="Arial"/>
          <w:sz w:val="16"/>
          <w:szCs w:val="16"/>
          <w:color w:val="auto"/>
        </w:rPr>
      </w:pPr>
    </w:p>
    <w:p>
      <w:pPr>
        <w:ind w:left="-436" w:right="80" w:firstLine="436"/>
        <w:spacing w:after="0" w:line="290" w:lineRule="auto"/>
        <w:tabs>
          <w:tab w:leader="none" w:pos="349" w:val="left"/>
        </w:tabs>
        <w:numPr>
          <w:ilvl w:val="0"/>
          <w:numId w:val="99"/>
        </w:numPr>
        <w:rPr>
          <w:rFonts w:ascii="Arial" w:cs="Arial" w:eastAsia="Arial" w:hAnsi="Arial"/>
          <w:sz w:val="16"/>
          <w:szCs w:val="16"/>
          <w:color w:val="auto"/>
        </w:rPr>
      </w:pPr>
      <w:r>
        <w:rPr>
          <w:rFonts w:ascii="Arial" w:cs="Arial" w:eastAsia="Arial" w:hAnsi="Arial"/>
          <w:sz w:val="16"/>
          <w:szCs w:val="16"/>
          <w:i w:val="1"/>
          <w:iCs w:val="1"/>
          <w:color w:val="auto"/>
        </w:rPr>
        <w:t xml:space="preserve">Amendments and Waivers. </w:t>
      </w:r>
      <w:r>
        <w:rPr>
          <w:rFonts w:ascii="Arial" w:cs="Arial" w:eastAsia="Arial" w:hAnsi="Arial"/>
          <w:sz w:val="16"/>
          <w:szCs w:val="16"/>
          <w:color w:val="auto"/>
        </w:rPr>
        <w:t>Subject to certain exceptions, (i) the Indenture or the Notes may be amended or supplemented with respect to this</w:t>
      </w:r>
      <w:r>
        <w:rPr>
          <w:rFonts w:ascii="Arial" w:cs="Arial" w:eastAsia="Arial" w:hAnsi="Arial"/>
          <w:sz w:val="16"/>
          <w:szCs w:val="16"/>
          <w:i w:val="1"/>
          <w:iCs w:val="1"/>
          <w:color w:val="auto"/>
        </w:rPr>
        <w:t xml:space="preserve"> </w:t>
      </w:r>
      <w:r>
        <w:rPr>
          <w:rFonts w:ascii="Arial" w:cs="Arial" w:eastAsia="Arial" w:hAnsi="Arial"/>
          <w:sz w:val="16"/>
          <w:szCs w:val="16"/>
          <w:color w:val="auto"/>
        </w:rPr>
        <w:t>series with the consent of the Holders of a majority in principal amount of the Notes; and (ii) any existing default with respect to the Notes may be waived with the consent of the Holders of a majority in principal amount of the Notes. Without the consent of any Holder of this series, the Indenture or the Notes may be amended or supplemented in accordance with Section 901 of the Base Indenture to, among other things, cure any ambiguity, mistake, omission, defect or inconsistency, to provide for the assumption of the Company’s obligations to Holders of this series or to provide for uncertificated Notes or Notes registered under the Securities Act and offered in exchange for this series, to provide for guarantees with respect to, or security for, the Notes, or to comply with amendments to the Trust Indenture Act or to add additional covenants, or to surrender any right or power conferred upon the Company, or to make any change that does not adversely affect the rights of any Holder of this series.</w:t>
      </w:r>
    </w:p>
    <w:p>
      <w:pPr>
        <w:spacing w:after="0" w:line="165" w:lineRule="exact"/>
        <w:rPr>
          <w:rFonts w:ascii="Arial" w:cs="Arial" w:eastAsia="Arial" w:hAnsi="Arial"/>
          <w:sz w:val="16"/>
          <w:szCs w:val="16"/>
          <w:color w:val="auto"/>
        </w:rPr>
      </w:pPr>
    </w:p>
    <w:p>
      <w:pPr>
        <w:ind w:left="-436" w:right="100" w:firstLine="436"/>
        <w:spacing w:after="0" w:line="272" w:lineRule="auto"/>
        <w:tabs>
          <w:tab w:leader="none" w:pos="342" w:val="left"/>
        </w:tabs>
        <w:numPr>
          <w:ilvl w:val="0"/>
          <w:numId w:val="99"/>
        </w:numPr>
        <w:rPr>
          <w:rFonts w:ascii="Arial" w:cs="Arial" w:eastAsia="Arial" w:hAnsi="Arial"/>
          <w:sz w:val="17"/>
          <w:szCs w:val="17"/>
          <w:color w:val="auto"/>
        </w:rPr>
      </w:pPr>
      <w:r>
        <w:rPr>
          <w:rFonts w:ascii="Arial" w:cs="Arial" w:eastAsia="Arial" w:hAnsi="Arial"/>
          <w:sz w:val="17"/>
          <w:szCs w:val="17"/>
          <w:i w:val="1"/>
          <w:iCs w:val="1"/>
          <w:color w:val="auto"/>
        </w:rPr>
        <w:t>Remedies</w:t>
      </w:r>
      <w:r>
        <w:rPr>
          <w:rFonts w:ascii="Arial" w:cs="Arial" w:eastAsia="Arial" w:hAnsi="Arial"/>
          <w:sz w:val="17"/>
          <w:szCs w:val="17"/>
          <w:color w:val="auto"/>
        </w:rPr>
        <w:t>. If an Event of Default with respect to the Notes occurs and is continuing, the Trustee or Holders of at least 25% in aggregate</w:t>
      </w:r>
      <w:r>
        <w:rPr>
          <w:rFonts w:ascii="Arial" w:cs="Arial" w:eastAsia="Arial" w:hAnsi="Arial"/>
          <w:sz w:val="17"/>
          <w:szCs w:val="17"/>
          <w:i w:val="1"/>
          <w:iCs w:val="1"/>
          <w:color w:val="auto"/>
        </w:rPr>
        <w:t xml:space="preserve"> </w:t>
      </w:r>
      <w:r>
        <w:rPr>
          <w:rFonts w:ascii="Arial" w:cs="Arial" w:eastAsia="Arial" w:hAnsi="Arial"/>
          <w:sz w:val="17"/>
          <w:szCs w:val="17"/>
          <w:color w:val="auto"/>
        </w:rPr>
        <w:t>principal amount of the Notes may, by notice in writing to the Company (and the Trustee if given by the Holders), declare all the Notes to be due and payable immediately. Holders may not enforce the Indenture or the Notes except as provided in the Indenture. The Trustee may require security or indemnity before it enforces the Indenture or the Notes. Subject to certain limitations, Holders of a majority in principal amount of the outstanding Notes may direct the Trustee in its exercise of any trust or power with respect to the Notes. The Trustee may withhold from Holders of this series notice of any Default or Event of Default (except a Default in payment of principal or interest) if it determines in good faith that withholding notice is in their interests. The Company must furnish an annual compliance certificate to the Trustee.</w:t>
      </w:r>
    </w:p>
    <w:p>
      <w:pPr>
        <w:spacing w:after="0" w:line="177" w:lineRule="exact"/>
        <w:rPr>
          <w:rFonts w:ascii="Arial" w:cs="Arial" w:eastAsia="Arial" w:hAnsi="Arial"/>
          <w:sz w:val="17"/>
          <w:szCs w:val="17"/>
          <w:color w:val="auto"/>
        </w:rPr>
      </w:pPr>
    </w:p>
    <w:p>
      <w:pPr>
        <w:ind w:left="-436" w:right="280" w:firstLine="436"/>
        <w:spacing w:after="0" w:line="259" w:lineRule="auto"/>
        <w:tabs>
          <w:tab w:leader="none" w:pos="34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 xml:space="preserve">Trustee Dealings with Company. </w:t>
      </w:r>
      <w:r>
        <w:rPr>
          <w:rFonts w:ascii="Arial" w:cs="Arial" w:eastAsia="Arial" w:hAnsi="Arial"/>
          <w:sz w:val="18"/>
          <w:szCs w:val="18"/>
          <w:color w:val="auto"/>
        </w:rPr>
        <w:t>Subject to the provisions of the Trust Indenture Act, if applicable, the Trustee under the Indenture, in its</w:t>
      </w:r>
      <w:r>
        <w:rPr>
          <w:rFonts w:ascii="Arial" w:cs="Arial" w:eastAsia="Arial" w:hAnsi="Arial"/>
          <w:sz w:val="18"/>
          <w:szCs w:val="18"/>
          <w:i w:val="1"/>
          <w:iCs w:val="1"/>
          <w:color w:val="auto"/>
        </w:rPr>
        <w:t xml:space="preserve"> </w:t>
      </w:r>
      <w:r>
        <w:rPr>
          <w:rFonts w:ascii="Arial" w:cs="Arial" w:eastAsia="Arial" w:hAnsi="Arial"/>
          <w:sz w:val="18"/>
          <w:szCs w:val="18"/>
          <w:color w:val="auto"/>
        </w:rPr>
        <w:t>individual or any other capacity, may make loans to, accept deposits from, and perform services for the Company or its Affiliates, and may otherwise deal with the Company or its Affiliates, as if it were not Trustee. The Trustee shall initially be U.S. Bank Trust Company, National Association (successor in interest to U.S. Bank National Association).</w:t>
      </w:r>
    </w:p>
    <w:p>
      <w:pPr>
        <w:spacing w:after="0" w:line="186" w:lineRule="exact"/>
        <w:rPr>
          <w:rFonts w:ascii="Arial" w:cs="Arial" w:eastAsia="Arial" w:hAnsi="Arial"/>
          <w:sz w:val="18"/>
          <w:szCs w:val="18"/>
          <w:color w:val="auto"/>
        </w:rPr>
      </w:pPr>
    </w:p>
    <w:p>
      <w:pPr>
        <w:ind w:left="-436" w:firstLine="436"/>
        <w:spacing w:after="0" w:line="259" w:lineRule="auto"/>
        <w:tabs>
          <w:tab w:leader="none" w:pos="34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 xml:space="preserve">No Recourse Against Others. </w:t>
      </w:r>
      <w:r>
        <w:rPr>
          <w:rFonts w:ascii="Arial" w:cs="Arial" w:eastAsia="Arial" w:hAnsi="Arial"/>
          <w:sz w:val="18"/>
          <w:szCs w:val="18"/>
          <w:color w:val="auto"/>
        </w:rPr>
        <w:t>A director, officer, incorporator or shareholder, as such, past, present or future, of the Company or any</w:t>
      </w:r>
      <w:r>
        <w:rPr>
          <w:rFonts w:ascii="Arial" w:cs="Arial" w:eastAsia="Arial" w:hAnsi="Arial"/>
          <w:sz w:val="18"/>
          <w:szCs w:val="18"/>
          <w:i w:val="1"/>
          <w:iCs w:val="1"/>
          <w:color w:val="auto"/>
        </w:rPr>
        <w:t xml:space="preserve"> </w:t>
      </w:r>
      <w:r>
        <w:rPr>
          <w:rFonts w:ascii="Arial" w:cs="Arial" w:eastAsia="Arial" w:hAnsi="Arial"/>
          <w:sz w:val="18"/>
          <w:szCs w:val="18"/>
          <w:color w:val="auto"/>
        </w:rPr>
        <w:t>successor corporation of the Company, shall not have any liability for any obligations of the Company or any Guarantor under the Notes or the Indenture or for any claim based on, in respect of or by reason of such obligations or their creation. Each Holder by accepting a Note waives and releases all such liability. The waiver and release are part of the consideration for the issue of the Notes.</w:t>
      </w:r>
    </w:p>
    <w:p>
      <w:pPr>
        <w:spacing w:after="0" w:line="186" w:lineRule="exact"/>
        <w:rPr>
          <w:rFonts w:ascii="Arial" w:cs="Arial" w:eastAsia="Arial" w:hAnsi="Arial"/>
          <w:sz w:val="18"/>
          <w:szCs w:val="18"/>
          <w:color w:val="auto"/>
        </w:rPr>
      </w:pPr>
    </w:p>
    <w:p>
      <w:pPr>
        <w:ind w:left="-436" w:right="580" w:firstLine="436"/>
        <w:spacing w:after="0" w:line="277" w:lineRule="auto"/>
        <w:tabs>
          <w:tab w:leader="none" w:pos="34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 xml:space="preserve">Authentication. </w:t>
      </w:r>
      <w:r>
        <w:rPr>
          <w:rFonts w:ascii="Arial" w:cs="Arial" w:eastAsia="Arial" w:hAnsi="Arial"/>
          <w:sz w:val="18"/>
          <w:szCs w:val="18"/>
          <w:color w:val="auto"/>
        </w:rPr>
        <w:t>This Note shall not be valid until authenticated by the manual signature of an authorized signatory of the Trustee or an</w:t>
      </w:r>
      <w:r>
        <w:rPr>
          <w:rFonts w:ascii="Arial" w:cs="Arial" w:eastAsia="Arial" w:hAnsi="Arial"/>
          <w:sz w:val="18"/>
          <w:szCs w:val="18"/>
          <w:i w:val="1"/>
          <w:iCs w:val="1"/>
          <w:color w:val="auto"/>
        </w:rPr>
        <w:t xml:space="preserve"> </w:t>
      </w:r>
      <w:r>
        <w:rPr>
          <w:rFonts w:ascii="Arial" w:cs="Arial" w:eastAsia="Arial" w:hAnsi="Arial"/>
          <w:sz w:val="18"/>
          <w:szCs w:val="18"/>
          <w:color w:val="auto"/>
        </w:rPr>
        <w:t>authenticating agent.</w:t>
      </w:r>
    </w:p>
    <w:p>
      <w:pPr>
        <w:spacing w:after="0" w:line="170" w:lineRule="exact"/>
        <w:rPr>
          <w:rFonts w:ascii="Arial" w:cs="Arial" w:eastAsia="Arial" w:hAnsi="Arial"/>
          <w:sz w:val="18"/>
          <w:szCs w:val="18"/>
          <w:color w:val="auto"/>
        </w:rPr>
      </w:pPr>
    </w:p>
    <w:p>
      <w:pPr>
        <w:jc w:val="both"/>
        <w:ind w:left="-436" w:right="340" w:firstLine="436"/>
        <w:spacing w:after="0" w:line="263" w:lineRule="auto"/>
        <w:tabs>
          <w:tab w:leader="none" w:pos="34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 xml:space="preserve">Abbreviations. </w:t>
      </w:r>
      <w:r>
        <w:rPr>
          <w:rFonts w:ascii="Arial" w:cs="Arial" w:eastAsia="Arial" w:hAnsi="Arial"/>
          <w:sz w:val="18"/>
          <w:szCs w:val="18"/>
          <w:color w:val="auto"/>
        </w:rPr>
        <w:t>Customary abbreviations may be used in the name of a Holder or an assignee, such as: TEN COM (= tenants in common),</w:t>
      </w:r>
      <w:r>
        <w:rPr>
          <w:rFonts w:ascii="Arial" w:cs="Arial" w:eastAsia="Arial" w:hAnsi="Arial"/>
          <w:sz w:val="18"/>
          <w:szCs w:val="18"/>
          <w:i w:val="1"/>
          <w:iCs w:val="1"/>
          <w:color w:val="auto"/>
        </w:rPr>
        <w:t xml:space="preserve"> </w:t>
      </w:r>
      <w:r>
        <w:rPr>
          <w:rFonts w:ascii="Arial" w:cs="Arial" w:eastAsia="Arial" w:hAnsi="Arial"/>
          <w:sz w:val="18"/>
          <w:szCs w:val="18"/>
          <w:color w:val="auto"/>
        </w:rPr>
        <w:t>TEN ENT (= tenants by the entireties), JT TEN (= joint tenants with right of survivorship and not as tenants in common), CUST (= Custodian), and U/G/M/A (= Uniform Gifts to Minors Act).</w:t>
      </w:r>
    </w:p>
    <w:p>
      <w:pPr>
        <w:spacing w:after="0" w:line="183" w:lineRule="exact"/>
        <w:rPr>
          <w:rFonts w:ascii="Arial" w:cs="Arial" w:eastAsia="Arial" w:hAnsi="Arial"/>
          <w:sz w:val="18"/>
          <w:szCs w:val="18"/>
          <w:color w:val="auto"/>
        </w:rPr>
      </w:pPr>
    </w:p>
    <w:p>
      <w:pPr>
        <w:ind w:left="-436" w:right="1000" w:firstLine="436"/>
        <w:spacing w:after="0" w:line="277" w:lineRule="auto"/>
        <w:tabs>
          <w:tab w:leader="none" w:pos="349" w:val="left"/>
        </w:tabs>
        <w:numPr>
          <w:ilvl w:val="0"/>
          <w:numId w:val="99"/>
        </w:numPr>
        <w:rPr>
          <w:rFonts w:ascii="Arial" w:cs="Arial" w:eastAsia="Arial" w:hAnsi="Arial"/>
          <w:sz w:val="18"/>
          <w:szCs w:val="18"/>
          <w:color w:val="auto"/>
        </w:rPr>
      </w:pPr>
      <w:r>
        <w:rPr>
          <w:rFonts w:ascii="Arial" w:cs="Arial" w:eastAsia="Arial" w:hAnsi="Arial"/>
          <w:sz w:val="18"/>
          <w:szCs w:val="18"/>
          <w:i w:val="1"/>
          <w:iCs w:val="1"/>
          <w:color w:val="auto"/>
        </w:rPr>
        <w:t>Governing Law</w:t>
      </w:r>
      <w:r>
        <w:rPr>
          <w:rFonts w:ascii="Arial" w:cs="Arial" w:eastAsia="Arial" w:hAnsi="Arial"/>
          <w:sz w:val="18"/>
          <w:szCs w:val="18"/>
          <w:color w:val="auto"/>
        </w:rPr>
        <w:t>. THIS NOTE SHALL BE GOVERNED BY THE LAWS OF THE STATE OF NEW YORK APPLICABLE TO</w:t>
      </w:r>
      <w:r>
        <w:rPr>
          <w:rFonts w:ascii="Arial" w:cs="Arial" w:eastAsia="Arial" w:hAnsi="Arial"/>
          <w:sz w:val="18"/>
          <w:szCs w:val="18"/>
          <w:i w:val="1"/>
          <w:iCs w:val="1"/>
          <w:color w:val="auto"/>
        </w:rPr>
        <w:t xml:space="preserve"> </w:t>
      </w:r>
      <w:r>
        <w:rPr>
          <w:rFonts w:ascii="Arial" w:cs="Arial" w:eastAsia="Arial" w:hAnsi="Arial"/>
          <w:sz w:val="18"/>
          <w:szCs w:val="18"/>
          <w:color w:val="auto"/>
        </w:rPr>
        <w:t>AGREEMENTS MADE AND TO BE PERFORMED IN SUCH STATE.</w:t>
      </w:r>
    </w:p>
    <w:p>
      <w:pPr>
        <w:sectPr>
          <w:pgSz w:w="11900" w:h="16838" w:orient="portrait"/>
          <w:cols w:equalWidth="0" w:num="1">
            <w:col w:w="10584"/>
          </w:cols>
          <w:pgMar w:left="876" w:top="274" w:right="439" w:bottom="1440" w:gutter="0" w:footer="0" w:header="0"/>
        </w:sectPr>
      </w:pPr>
    </w:p>
    <w:bookmarkStart w:id="82" w:name="page83"/>
    <w:bookmarkEnd w:id="82"/>
    <w:p>
      <w:pPr>
        <w:ind w:firstLine="440"/>
        <w:spacing w:after="0" w:line="286" w:lineRule="auto"/>
        <w:rPr>
          <w:sz w:val="20"/>
          <w:szCs w:val="20"/>
          <w:color w:val="auto"/>
        </w:rPr>
      </w:pPr>
      <w:r>
        <w:rPr>
          <w:rFonts w:ascii="Arial" w:cs="Arial" w:eastAsia="Arial" w:hAnsi="Arial"/>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Pursuant to a recommendation promulgated by the Committee on Uniform Security Identification Procedures, the Company has caused CUSIP numbers to be printed on the Notes. No representation is made as to the accuracy of such numbers (or as to the accuracy of ISIN numbers or similar numbers) as printed on the Notes and reliance may be placed only on the other identification numbers placed thereon.</w:t>
      </w:r>
    </w:p>
    <w:p>
      <w:pPr>
        <w:spacing w:after="0" w:line="165" w:lineRule="exact"/>
        <w:rPr>
          <w:sz w:val="20"/>
          <w:szCs w:val="20"/>
          <w:color w:val="auto"/>
        </w:rPr>
      </w:pPr>
    </w:p>
    <w:p>
      <w:pPr>
        <w:ind w:right="360" w:firstLine="440"/>
        <w:spacing w:after="0" w:line="286" w:lineRule="auto"/>
        <w:rPr>
          <w:sz w:val="20"/>
          <w:szCs w:val="20"/>
          <w:color w:val="auto"/>
        </w:rPr>
      </w:pPr>
      <w:r>
        <w:rPr>
          <w:rFonts w:ascii="Arial" w:cs="Arial" w:eastAsia="Arial" w:hAnsi="Arial"/>
          <w:sz w:val="17"/>
          <w:szCs w:val="17"/>
          <w:color w:val="auto"/>
        </w:rPr>
        <w:t>THE COMPANY WILL FURNISH TO ANY HOLDER UPON WRITTEN REQUEST AND WITHOUT CHARGE A COPY OF THE INDENTURE, WHICH HAS IN IT THE TEXT OF THIS NOTE, IN TWELVE-POINT TYPE. REQUESTS MAY BE MADE TO: MARVELL TECHNOLOGY, INC., 1000 N. WEST STREET, SUITE 1200, WILMINGTON, DE 19801, ATTENTION: CORPORATE SECRETARY.</w:t>
      </w:r>
    </w:p>
    <w:p>
      <w:pPr>
        <w:sectPr>
          <w:pgSz w:w="11900" w:h="16838" w:orient="portrait"/>
          <w:cols w:equalWidth="0" w:num="1">
            <w:col w:w="10740"/>
          </w:cols>
          <w:pgMar w:left="440" w:top="274" w:right="719" w:bottom="1440" w:gutter="0" w:footer="0" w:header="0"/>
        </w:sectPr>
      </w:pPr>
    </w:p>
    <w:bookmarkStart w:id="83" w:name="page84"/>
    <w:bookmarkEnd w:id="83"/>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SCHEDULE OF INCREASES AND DECREASES IN GLOBAL NOTES</w:t>
      </w:r>
    </w:p>
    <w:p>
      <w:pPr>
        <w:spacing w:after="0" w:line="229" w:lineRule="exact"/>
        <w:rPr>
          <w:sz w:val="20"/>
          <w:szCs w:val="20"/>
          <w:color w:val="auto"/>
        </w:rPr>
      </w:pPr>
    </w:p>
    <w:p>
      <w:pPr>
        <w:ind w:right="120"/>
        <w:spacing w:after="0" w:line="277" w:lineRule="auto"/>
        <w:rPr>
          <w:sz w:val="20"/>
          <w:szCs w:val="20"/>
          <w:color w:val="auto"/>
        </w:rPr>
      </w:pPr>
      <w:r>
        <w:rPr>
          <w:rFonts w:ascii="Arial" w:cs="Arial" w:eastAsia="Arial" w:hAnsi="Arial"/>
          <w:sz w:val="18"/>
          <w:szCs w:val="18"/>
          <w:color w:val="auto"/>
        </w:rPr>
        <w:t>The initial principal amount of this Global Note is FIVE HUNDRED THOUSAND DOLLARS ($500,000,000). The following increases and decreases in principal amount of this Global Note have been made:</w:t>
      </w:r>
    </w:p>
    <w:p>
      <w:pPr>
        <w:spacing w:after="0" w:line="17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580" w:type="dxa"/>
            <w:vAlign w:val="bottom"/>
          </w:tcPr>
          <w:p>
            <w:pPr>
              <w:spacing w:after="0"/>
              <w:rPr>
                <w:sz w:val="14"/>
                <w:szCs w:val="14"/>
                <w:color w:val="auto"/>
              </w:rPr>
            </w:pPr>
          </w:p>
        </w:tc>
        <w:tc>
          <w:tcPr>
            <w:tcW w:w="448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1440" w:type="dxa"/>
            <w:vAlign w:val="bottom"/>
            <w:gridSpan w:val="2"/>
          </w:tcPr>
          <w:p>
            <w:pPr>
              <w:jc w:val="center"/>
              <w:ind w:right="660"/>
              <w:spacing w:after="0"/>
              <w:rPr>
                <w:sz w:val="20"/>
                <w:szCs w:val="20"/>
                <w:color w:val="auto"/>
              </w:rPr>
            </w:pPr>
            <w:r>
              <w:rPr>
                <w:rFonts w:ascii="Arial" w:cs="Arial" w:eastAsia="Arial" w:hAnsi="Arial"/>
                <w:sz w:val="14"/>
                <w:szCs w:val="14"/>
                <w:b w:val="1"/>
                <w:bCs w:val="1"/>
                <w:color w:val="auto"/>
                <w:w w:val="97"/>
              </w:rPr>
              <w:t>Principal</w:t>
            </w:r>
          </w:p>
        </w:tc>
        <w:tc>
          <w:tcPr>
            <w:tcW w:w="68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140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4"/>
              </w:rPr>
              <w:t>Amount of</w:t>
            </w:r>
          </w:p>
        </w:tc>
        <w:tc>
          <w:tcPr>
            <w:tcW w:w="1400" w:type="dxa"/>
            <w:vAlign w:val="bottom"/>
            <w:gridSpan w:val="2"/>
            <w:vMerge w:val="restart"/>
          </w:tcPr>
          <w:p>
            <w:pPr>
              <w:jc w:val="center"/>
              <w:ind w:right="660"/>
              <w:spacing w:after="0"/>
              <w:rPr>
                <w:sz w:val="20"/>
                <w:szCs w:val="20"/>
                <w:color w:val="auto"/>
              </w:rPr>
            </w:pPr>
            <w:r>
              <w:rPr>
                <w:rFonts w:ascii="Arial" w:cs="Arial" w:eastAsia="Arial" w:hAnsi="Arial"/>
                <w:sz w:val="14"/>
                <w:szCs w:val="14"/>
                <w:b w:val="1"/>
                <w:bCs w:val="1"/>
                <w:color w:val="auto"/>
                <w:w w:val="94"/>
              </w:rPr>
              <w:t>Amount of</w:t>
            </w: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amount</w:t>
            </w:r>
          </w:p>
        </w:tc>
        <w:tc>
          <w:tcPr>
            <w:tcW w:w="6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158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1400" w:type="dxa"/>
            <w:vAlign w:val="bottom"/>
            <w:gridSpan w:val="2"/>
            <w:vMerge w:val="continue"/>
          </w:tcPr>
          <w:p>
            <w:pPr>
              <w:spacing w:after="0"/>
              <w:rPr>
                <w:sz w:val="12"/>
                <w:szCs w:val="12"/>
                <w:color w:val="auto"/>
              </w:rPr>
            </w:pP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of this</w:t>
            </w:r>
          </w:p>
        </w:tc>
        <w:tc>
          <w:tcPr>
            <w:tcW w:w="720" w:type="dxa"/>
            <w:vAlign w:val="bottom"/>
            <w:gridSpan w:val="2"/>
            <w:vMerge w:val="restart"/>
          </w:tcPr>
          <w:p>
            <w:pPr>
              <w:jc w:val="center"/>
              <w:ind w:right="40"/>
              <w:spacing w:after="0"/>
              <w:rPr>
                <w:sz w:val="20"/>
                <w:szCs w:val="20"/>
                <w:color w:val="auto"/>
              </w:rPr>
            </w:pPr>
            <w:r>
              <w:rPr>
                <w:rFonts w:ascii="Arial" w:cs="Arial" w:eastAsia="Arial" w:hAnsi="Arial"/>
                <w:sz w:val="14"/>
                <w:szCs w:val="14"/>
                <w:b w:val="1"/>
                <w:bCs w:val="1"/>
                <w:color w:val="auto"/>
                <w:w w:val="92"/>
              </w:rPr>
              <w:t>Signature</w:t>
            </w: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140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88"/>
              </w:rPr>
              <w:t>decrease in</w:t>
            </w: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increase in</w:t>
            </w: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4"/>
              </w:rPr>
              <w:t>Global Note</w:t>
            </w:r>
          </w:p>
        </w:tc>
        <w:tc>
          <w:tcPr>
            <w:tcW w:w="720" w:type="dxa"/>
            <w:vAlign w:val="bottom"/>
            <w:gridSpan w:val="2"/>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1400" w:type="dxa"/>
            <w:vAlign w:val="bottom"/>
            <w:gridSpan w:val="2"/>
          </w:tcPr>
          <w:p>
            <w:pPr>
              <w:jc w:val="center"/>
              <w:ind w:right="680"/>
              <w:spacing w:after="0" w:line="149" w:lineRule="exact"/>
              <w:rPr>
                <w:sz w:val="20"/>
                <w:szCs w:val="20"/>
                <w:color w:val="auto"/>
              </w:rPr>
            </w:pPr>
            <w:r>
              <w:rPr>
                <w:rFonts w:ascii="Arial" w:cs="Arial" w:eastAsia="Arial" w:hAnsi="Arial"/>
                <w:sz w:val="14"/>
                <w:szCs w:val="14"/>
                <w:b w:val="1"/>
                <w:bCs w:val="1"/>
                <w:color w:val="auto"/>
                <w:w w:val="95"/>
              </w:rPr>
              <w:t>principal</w:t>
            </w:r>
          </w:p>
        </w:tc>
        <w:tc>
          <w:tcPr>
            <w:tcW w:w="140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95"/>
              </w:rPr>
              <w:t>principal</w:t>
            </w: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4"/>
              </w:rPr>
              <w:t>following</w:t>
            </w:r>
          </w:p>
        </w:tc>
        <w:tc>
          <w:tcPr>
            <w:tcW w:w="720" w:type="dxa"/>
            <w:vAlign w:val="bottom"/>
            <w:gridSpan w:val="2"/>
          </w:tcPr>
          <w:p>
            <w:pPr>
              <w:jc w:val="center"/>
              <w:ind w:right="40"/>
              <w:spacing w:after="0" w:line="149" w:lineRule="exact"/>
              <w:rPr>
                <w:sz w:val="20"/>
                <w:szCs w:val="20"/>
                <w:color w:val="auto"/>
              </w:rPr>
            </w:pPr>
            <w:r>
              <w:rPr>
                <w:rFonts w:ascii="Arial" w:cs="Arial" w:eastAsia="Arial" w:hAnsi="Arial"/>
                <w:sz w:val="14"/>
                <w:szCs w:val="14"/>
                <w:b w:val="1"/>
                <w:bCs w:val="1"/>
                <w:color w:val="auto"/>
                <w:w w:val="90"/>
              </w:rPr>
              <w:t>of</w:t>
            </w:r>
          </w:p>
        </w:tc>
        <w:tc>
          <w:tcPr>
            <w:tcW w:w="0" w:type="dxa"/>
            <w:vAlign w:val="bottom"/>
          </w:tcPr>
          <w:p>
            <w:pPr>
              <w:spacing w:after="0"/>
              <w:rPr>
                <w:sz w:val="1"/>
                <w:szCs w:val="1"/>
                <w:color w:val="auto"/>
              </w:rPr>
            </w:pPr>
          </w:p>
        </w:tc>
      </w:tr>
      <w:tr>
        <w:trPr>
          <w:trHeight w:val="148"/>
        </w:trPr>
        <w:tc>
          <w:tcPr>
            <w:tcW w:w="1580" w:type="dxa"/>
            <w:vAlign w:val="bottom"/>
          </w:tcPr>
          <w:p>
            <w:pPr>
              <w:spacing w:after="0"/>
              <w:rPr>
                <w:sz w:val="12"/>
                <w:szCs w:val="12"/>
                <w:color w:val="auto"/>
              </w:rPr>
            </w:pPr>
          </w:p>
        </w:tc>
        <w:tc>
          <w:tcPr>
            <w:tcW w:w="4480" w:type="dxa"/>
            <w:vAlign w:val="bottom"/>
          </w:tcPr>
          <w:p>
            <w:pPr>
              <w:spacing w:after="0"/>
              <w:rPr>
                <w:sz w:val="12"/>
                <w:szCs w:val="12"/>
                <w:color w:val="auto"/>
              </w:rPr>
            </w:pP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amount</w:t>
            </w: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amount</w:t>
            </w:r>
          </w:p>
        </w:tc>
        <w:tc>
          <w:tcPr>
            <w:tcW w:w="1440" w:type="dxa"/>
            <w:vAlign w:val="bottom"/>
            <w:gridSpan w:val="2"/>
          </w:tcPr>
          <w:p>
            <w:pPr>
              <w:jc w:val="center"/>
              <w:ind w:right="640"/>
              <w:spacing w:after="0" w:line="149" w:lineRule="exact"/>
              <w:rPr>
                <w:sz w:val="20"/>
                <w:szCs w:val="20"/>
                <w:color w:val="auto"/>
              </w:rPr>
            </w:pPr>
            <w:r>
              <w:rPr>
                <w:rFonts w:ascii="Arial" w:cs="Arial" w:eastAsia="Arial" w:hAnsi="Arial"/>
                <w:sz w:val="14"/>
                <w:szCs w:val="14"/>
                <w:b w:val="1"/>
                <w:bCs w:val="1"/>
                <w:color w:val="auto"/>
                <w:w w:val="85"/>
              </w:rPr>
              <w:t>such</w:t>
            </w:r>
          </w:p>
        </w:tc>
        <w:tc>
          <w:tcPr>
            <w:tcW w:w="7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3"/>
              </w:rPr>
              <w:t>authorized</w:t>
            </w:r>
          </w:p>
        </w:tc>
        <w:tc>
          <w:tcPr>
            <w:tcW w:w="0" w:type="dxa"/>
            <w:vAlign w:val="bottom"/>
          </w:tcPr>
          <w:p>
            <w:pPr>
              <w:spacing w:after="0"/>
              <w:rPr>
                <w:sz w:val="1"/>
                <w:szCs w:val="1"/>
                <w:color w:val="auto"/>
              </w:rPr>
            </w:pPr>
          </w:p>
        </w:tc>
      </w:tr>
      <w:tr>
        <w:trPr>
          <w:trHeight w:val="148"/>
        </w:trPr>
        <w:tc>
          <w:tcPr>
            <w:tcW w:w="1580" w:type="dxa"/>
            <w:vAlign w:val="bottom"/>
            <w:vMerge w:val="restart"/>
          </w:tcPr>
          <w:p>
            <w:pPr>
              <w:spacing w:after="0"/>
              <w:rPr>
                <w:sz w:val="20"/>
                <w:szCs w:val="20"/>
                <w:color w:val="auto"/>
              </w:rPr>
            </w:pPr>
            <w:r>
              <w:rPr>
                <w:rFonts w:ascii="Arial" w:cs="Arial" w:eastAsia="Arial" w:hAnsi="Arial"/>
                <w:sz w:val="14"/>
                <w:szCs w:val="14"/>
                <w:b w:val="1"/>
                <w:bCs w:val="1"/>
                <w:color w:val="auto"/>
                <w:w w:val="89"/>
              </w:rPr>
              <w:t>Date of Increase/Decrease</w:t>
            </w:r>
          </w:p>
        </w:tc>
        <w:tc>
          <w:tcPr>
            <w:tcW w:w="4480" w:type="dxa"/>
            <w:vAlign w:val="bottom"/>
          </w:tcPr>
          <w:p>
            <w:pPr>
              <w:spacing w:after="0"/>
              <w:rPr>
                <w:sz w:val="12"/>
                <w:szCs w:val="12"/>
                <w:color w:val="auto"/>
              </w:rPr>
            </w:pP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of this</w:t>
            </w:r>
          </w:p>
        </w:tc>
        <w:tc>
          <w:tcPr>
            <w:tcW w:w="140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90"/>
              </w:rPr>
              <w:t>of this</w:t>
            </w:r>
          </w:p>
        </w:tc>
        <w:tc>
          <w:tcPr>
            <w:tcW w:w="1440" w:type="dxa"/>
            <w:vAlign w:val="bottom"/>
            <w:gridSpan w:val="2"/>
          </w:tcPr>
          <w:p>
            <w:pPr>
              <w:jc w:val="center"/>
              <w:ind w:right="660"/>
              <w:spacing w:after="0" w:line="149" w:lineRule="exact"/>
              <w:rPr>
                <w:sz w:val="20"/>
                <w:szCs w:val="20"/>
                <w:color w:val="auto"/>
              </w:rPr>
            </w:pPr>
            <w:r>
              <w:rPr>
                <w:rFonts w:ascii="Arial" w:cs="Arial" w:eastAsia="Arial" w:hAnsi="Arial"/>
                <w:sz w:val="14"/>
                <w:szCs w:val="14"/>
                <w:b w:val="1"/>
                <w:bCs w:val="1"/>
                <w:color w:val="auto"/>
                <w:w w:val="88"/>
              </w:rPr>
              <w:t>decrease</w:t>
            </w:r>
          </w:p>
        </w:tc>
        <w:tc>
          <w:tcPr>
            <w:tcW w:w="720" w:type="dxa"/>
            <w:vAlign w:val="bottom"/>
            <w:gridSpan w:val="2"/>
          </w:tcPr>
          <w:p>
            <w:pPr>
              <w:jc w:val="center"/>
              <w:ind w:right="60"/>
              <w:spacing w:after="0" w:line="149" w:lineRule="exact"/>
              <w:rPr>
                <w:sz w:val="20"/>
                <w:szCs w:val="20"/>
                <w:color w:val="auto"/>
              </w:rPr>
            </w:pPr>
            <w:r>
              <w:rPr>
                <w:rFonts w:ascii="Arial" w:cs="Arial" w:eastAsia="Arial" w:hAnsi="Arial"/>
                <w:sz w:val="14"/>
                <w:szCs w:val="14"/>
                <w:b w:val="1"/>
                <w:bCs w:val="1"/>
                <w:color w:val="auto"/>
                <w:w w:val="91"/>
              </w:rPr>
              <w:t>signatory</w:t>
            </w:r>
          </w:p>
        </w:tc>
        <w:tc>
          <w:tcPr>
            <w:tcW w:w="0" w:type="dxa"/>
            <w:vAlign w:val="bottom"/>
          </w:tcPr>
          <w:p>
            <w:pPr>
              <w:spacing w:after="0"/>
              <w:rPr>
                <w:sz w:val="1"/>
                <w:szCs w:val="1"/>
                <w:color w:val="auto"/>
              </w:rPr>
            </w:pPr>
          </w:p>
        </w:tc>
      </w:tr>
      <w:tr>
        <w:trPr>
          <w:trHeight w:val="165"/>
        </w:trPr>
        <w:tc>
          <w:tcPr>
            <w:tcW w:w="1580" w:type="dxa"/>
            <w:vAlign w:val="bottom"/>
            <w:vMerge w:val="continue"/>
          </w:tcPr>
          <w:p>
            <w:pPr>
              <w:spacing w:after="0"/>
              <w:rPr>
                <w:sz w:val="14"/>
                <w:szCs w:val="14"/>
                <w:color w:val="auto"/>
              </w:rPr>
            </w:pPr>
          </w:p>
        </w:tc>
        <w:tc>
          <w:tcPr>
            <w:tcW w:w="4480" w:type="dxa"/>
            <w:vAlign w:val="bottom"/>
          </w:tcPr>
          <w:p>
            <w:pPr>
              <w:spacing w:after="0"/>
              <w:rPr>
                <w:sz w:val="14"/>
                <w:szCs w:val="14"/>
                <w:color w:val="auto"/>
              </w:rPr>
            </w:pPr>
          </w:p>
        </w:tc>
        <w:tc>
          <w:tcPr>
            <w:tcW w:w="1400" w:type="dxa"/>
            <w:vAlign w:val="bottom"/>
            <w:gridSpan w:val="2"/>
          </w:tcPr>
          <w:p>
            <w:pPr>
              <w:jc w:val="center"/>
              <w:ind w:right="660"/>
              <w:spacing w:after="0" w:line="158" w:lineRule="exact"/>
              <w:rPr>
                <w:sz w:val="20"/>
                <w:szCs w:val="20"/>
                <w:color w:val="auto"/>
              </w:rPr>
            </w:pPr>
            <w:r>
              <w:rPr>
                <w:rFonts w:ascii="Arial" w:cs="Arial" w:eastAsia="Arial" w:hAnsi="Arial"/>
                <w:sz w:val="14"/>
                <w:szCs w:val="14"/>
                <w:b w:val="1"/>
                <w:bCs w:val="1"/>
                <w:color w:val="auto"/>
                <w:w w:val="94"/>
              </w:rPr>
              <w:t>Global Note</w:t>
            </w:r>
          </w:p>
        </w:tc>
        <w:tc>
          <w:tcPr>
            <w:tcW w:w="1400" w:type="dxa"/>
            <w:vAlign w:val="bottom"/>
            <w:gridSpan w:val="2"/>
          </w:tcPr>
          <w:p>
            <w:pPr>
              <w:jc w:val="center"/>
              <w:ind w:right="660"/>
              <w:spacing w:after="0" w:line="158" w:lineRule="exact"/>
              <w:rPr>
                <w:sz w:val="20"/>
                <w:szCs w:val="20"/>
                <w:color w:val="auto"/>
              </w:rPr>
            </w:pPr>
            <w:r>
              <w:rPr>
                <w:rFonts w:ascii="Arial" w:cs="Arial" w:eastAsia="Arial" w:hAnsi="Arial"/>
                <w:sz w:val="14"/>
                <w:szCs w:val="14"/>
                <w:b w:val="1"/>
                <w:bCs w:val="1"/>
                <w:color w:val="auto"/>
                <w:w w:val="94"/>
              </w:rPr>
              <w:t>Global Note</w:t>
            </w:r>
          </w:p>
        </w:tc>
        <w:tc>
          <w:tcPr>
            <w:tcW w:w="1440" w:type="dxa"/>
            <w:vAlign w:val="bottom"/>
            <w:gridSpan w:val="2"/>
          </w:tcPr>
          <w:p>
            <w:pPr>
              <w:jc w:val="center"/>
              <w:ind w:right="660"/>
              <w:spacing w:after="0" w:line="158" w:lineRule="exact"/>
              <w:rPr>
                <w:sz w:val="20"/>
                <w:szCs w:val="20"/>
                <w:color w:val="auto"/>
              </w:rPr>
            </w:pPr>
            <w:r>
              <w:rPr>
                <w:rFonts w:ascii="Arial" w:cs="Arial" w:eastAsia="Arial" w:hAnsi="Arial"/>
                <w:sz w:val="14"/>
                <w:szCs w:val="14"/>
                <w:b w:val="1"/>
                <w:bCs w:val="1"/>
                <w:color w:val="auto"/>
                <w:w w:val="92"/>
              </w:rPr>
              <w:t>(or increase)</w:t>
            </w:r>
          </w:p>
        </w:tc>
        <w:tc>
          <w:tcPr>
            <w:tcW w:w="720" w:type="dxa"/>
            <w:vAlign w:val="bottom"/>
            <w:gridSpan w:val="2"/>
          </w:tcPr>
          <w:p>
            <w:pPr>
              <w:jc w:val="center"/>
              <w:ind w:right="60"/>
              <w:spacing w:after="0" w:line="158" w:lineRule="exact"/>
              <w:rPr>
                <w:sz w:val="20"/>
                <w:szCs w:val="20"/>
                <w:color w:val="auto"/>
              </w:rPr>
            </w:pPr>
            <w:r>
              <w:rPr>
                <w:rFonts w:ascii="Arial" w:cs="Arial" w:eastAsia="Arial" w:hAnsi="Arial"/>
                <w:sz w:val="14"/>
                <w:szCs w:val="14"/>
                <w:b w:val="1"/>
                <w:bCs w:val="1"/>
                <w:color w:val="auto"/>
                <w:w w:val="91"/>
              </w:rPr>
              <w:t>of Trustee</w:t>
            </w:r>
          </w:p>
        </w:tc>
        <w:tc>
          <w:tcPr>
            <w:tcW w:w="0" w:type="dxa"/>
            <w:vAlign w:val="bottom"/>
          </w:tcPr>
          <w:p>
            <w:pPr>
              <w:spacing w:after="0"/>
              <w:rPr>
                <w:sz w:val="1"/>
                <w:szCs w:val="1"/>
                <w:color w:val="auto"/>
              </w:rPr>
            </w:pPr>
          </w:p>
        </w:tc>
      </w:tr>
      <w:tr>
        <w:trPr>
          <w:trHeight w:val="203"/>
        </w:trPr>
        <w:tc>
          <w:tcPr>
            <w:tcW w:w="1580" w:type="dxa"/>
            <w:vAlign w:val="bottom"/>
            <w:tcBorders>
              <w:top w:val="single" w:sz="8" w:color="auto"/>
            </w:tcBorders>
            <w:shd w:val="clear" w:color="auto" w:fill="CCEEFF"/>
          </w:tcPr>
          <w:p>
            <w:pPr>
              <w:spacing w:after="0"/>
              <w:rPr>
                <w:sz w:val="17"/>
                <w:szCs w:val="17"/>
                <w:color w:val="auto"/>
              </w:rPr>
            </w:pPr>
          </w:p>
        </w:tc>
        <w:tc>
          <w:tcPr>
            <w:tcW w:w="448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CCEEFF"/>
            </w:tcBorders>
            <w:shd w:val="clear" w:color="auto" w:fill="CCEEFF"/>
          </w:tcPr>
          <w:p>
            <w:pPr>
              <w:spacing w:after="0"/>
              <w:rPr>
                <w:sz w:val="17"/>
                <w:szCs w:val="17"/>
                <w:color w:val="auto"/>
              </w:rPr>
            </w:pPr>
          </w:p>
        </w:tc>
        <w:tc>
          <w:tcPr>
            <w:tcW w:w="74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CCEEFF"/>
            </w:tcBorders>
            <w:shd w:val="clear" w:color="auto" w:fill="CCEEFF"/>
          </w:tcPr>
          <w:p>
            <w:pPr>
              <w:spacing w:after="0"/>
              <w:rPr>
                <w:sz w:val="17"/>
                <w:szCs w:val="17"/>
                <w:color w:val="auto"/>
              </w:rPr>
            </w:pPr>
          </w:p>
        </w:tc>
        <w:tc>
          <w:tcPr>
            <w:tcW w:w="780" w:type="dxa"/>
            <w:vAlign w:val="bottom"/>
            <w:tcBorders>
              <w:top w:val="single" w:sz="8" w:color="auto"/>
            </w:tcBorders>
            <w:shd w:val="clear" w:color="auto" w:fill="CCEEFF"/>
          </w:tcPr>
          <w:p>
            <w:pPr>
              <w:spacing w:after="0"/>
              <w:rPr>
                <w:sz w:val="17"/>
                <w:szCs w:val="17"/>
                <w:color w:val="auto"/>
              </w:rPr>
            </w:pPr>
          </w:p>
        </w:tc>
        <w:tc>
          <w:tcPr>
            <w:tcW w:w="660" w:type="dxa"/>
            <w:vAlign w:val="bottom"/>
            <w:tcBorders>
              <w:top w:val="single" w:sz="8" w:color="CCEEFF"/>
            </w:tcBorders>
            <w:shd w:val="clear" w:color="auto" w:fill="CCEEFF"/>
          </w:tcPr>
          <w:p>
            <w:pPr>
              <w:spacing w:after="0"/>
              <w:rPr>
                <w:sz w:val="17"/>
                <w:szCs w:val="17"/>
                <w:color w:val="auto"/>
              </w:rPr>
            </w:pPr>
          </w:p>
        </w:tc>
        <w:tc>
          <w:tcPr>
            <w:tcW w:w="680" w:type="dxa"/>
            <w:vAlign w:val="bottom"/>
            <w:tcBorders>
              <w:top w:val="single" w:sz="8" w:color="auto"/>
            </w:tcBorders>
            <w:shd w:val="clear" w:color="auto" w:fill="CCEEFF"/>
          </w:tcPr>
          <w:p>
            <w:pPr>
              <w:spacing w:after="0"/>
              <w:rPr>
                <w:sz w:val="17"/>
                <w:szCs w:val="17"/>
                <w:color w:val="auto"/>
              </w:rPr>
            </w:pPr>
          </w:p>
        </w:tc>
        <w:tc>
          <w:tcPr>
            <w:tcW w:w="40" w:type="dxa"/>
            <w:vAlign w:val="bottom"/>
            <w:tcBorders>
              <w:top w:val="single" w:sz="8" w:color="CCEEFF"/>
            </w:tcBorders>
            <w:shd w:val="clear" w:color="auto" w:fill="CCEEFF"/>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020"/>
          </w:cols>
          <w:pgMar w:left="440" w:top="270" w:right="439" w:bottom="1440" w:gutter="0" w:footer="0" w:header="0"/>
        </w:sectPr>
      </w:pPr>
    </w:p>
    <w:bookmarkStart w:id="84" w:name="page85"/>
    <w:bookmarkEnd w:id="84"/>
    <w:p>
      <w:pPr>
        <w:jc w:val="center"/>
        <w:ind w:right="-19"/>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ASSIGNMENT FORM</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assign this Note, fill in the form below:</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 or we assign and transfer this Note to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(Insert assignee’s soc. sec. or tax I.D. No.)</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(Print or type assignee’s name, address and zip code)</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and irrevocably appoint    agent to transfer this Note on the books of the Company. The agent may substitute another to act for him.</w:t>
      </w:r>
    </w:p>
    <w:p>
      <w:pPr>
        <w:spacing w:after="0" w:line="252" w:lineRule="exact"/>
        <w:rPr>
          <w:sz w:val="20"/>
          <w:szCs w:val="20"/>
          <w:color w:val="auto"/>
        </w:rPr>
      </w:pPr>
    </w:p>
    <w:p>
      <w:pPr>
        <w:spacing w:after="0"/>
        <w:tabs>
          <w:tab w:leader="none" w:pos="5720" w:val="left"/>
        </w:tabs>
        <w:rPr>
          <w:sz w:val="20"/>
          <w:szCs w:val="20"/>
          <w:color w:val="auto"/>
        </w:rPr>
      </w:pPr>
      <w:r>
        <w:rPr>
          <w:rFonts w:ascii="Arial" w:cs="Arial" w:eastAsia="Arial" w:hAnsi="Arial"/>
          <w:sz w:val="18"/>
          <w:szCs w:val="18"/>
          <w:color w:val="auto"/>
        </w:rPr>
        <w:t>Dated:</w:t>
      </w:r>
      <w:r>
        <w:rPr>
          <w:sz w:val="20"/>
          <w:szCs w:val="20"/>
          <w:color w:val="auto"/>
        </w:rPr>
        <w:tab/>
      </w:r>
      <w:r>
        <w:rPr>
          <w:rFonts w:ascii="Arial" w:cs="Arial" w:eastAsia="Arial" w:hAnsi="Arial"/>
          <w:sz w:val="18"/>
          <w:szCs w:val="18"/>
          <w:color w:val="auto"/>
        </w:rPr>
        <w:t>Signed: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340360</wp:posOffset>
            </wp:positionH>
            <wp:positionV relativeFrom="paragraph">
              <wp:posOffset>14605</wp:posOffset>
            </wp:positionV>
            <wp:extent cx="6652260" cy="825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8">
                      <a:extLst>
                        <a:ext uri="{28A0092B-C50C-407E-A947-70E740481C1C}"/>
                      </a:extLst>
                    </a:blip>
                    <a:srcRect/>
                    <a:stretch>
                      <a:fillRect/>
                    </a:stretch>
                  </pic:blipFill>
                  <pic:spPr bwMode="auto">
                    <a:xfrm>
                      <a:off x="0" y="0"/>
                      <a:ext cx="6652260" cy="8255"/>
                    </a:xfrm>
                    <a:prstGeom prst="rect">
                      <a:avLst/>
                    </a:prstGeom>
                    <a:noFill/>
                  </pic:spPr>
                </pic:pic>
              </a:graphicData>
            </a:graphic>
          </wp:anchor>
        </w:drawing>
      </w:r>
    </w:p>
    <w:p>
      <w:pPr>
        <w:spacing w:after="0" w:line="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(Sign exactly as your name appears on the other side of</w:t>
      </w:r>
    </w:p>
    <w:p>
      <w:pPr>
        <w:spacing w:after="0" w:line="23" w:lineRule="exact"/>
        <w:rPr>
          <w:sz w:val="20"/>
          <w:szCs w:val="20"/>
          <w:color w:val="auto"/>
        </w:rPr>
      </w:pPr>
    </w:p>
    <w:p>
      <w:pPr>
        <w:ind w:left="6500"/>
        <w:spacing w:after="0"/>
        <w:rPr>
          <w:sz w:val="20"/>
          <w:szCs w:val="20"/>
          <w:color w:val="auto"/>
        </w:rPr>
      </w:pPr>
      <w:r>
        <w:rPr>
          <w:rFonts w:ascii="Arial" w:cs="Arial" w:eastAsia="Arial" w:hAnsi="Arial"/>
          <w:sz w:val="18"/>
          <w:szCs w:val="18"/>
          <w:color w:val="auto"/>
        </w:rPr>
        <w:t>this Note)</w:t>
      </w:r>
    </w:p>
    <w:p>
      <w:pPr>
        <w:spacing w:after="0" w:line="238" w:lineRule="exact"/>
        <w:rPr>
          <w:sz w:val="20"/>
          <w:szCs w:val="20"/>
          <w:color w:val="auto"/>
        </w:rPr>
      </w:pPr>
    </w:p>
    <w:p>
      <w:pPr>
        <w:spacing w:after="0"/>
        <w:rPr>
          <w:sz w:val="20"/>
          <w:szCs w:val="20"/>
          <w:color w:val="auto"/>
        </w:rPr>
      </w:pPr>
      <w:r>
        <w:rPr>
          <w:rFonts w:ascii="Arial" w:cs="Arial" w:eastAsia="Arial" w:hAnsi="Arial"/>
          <w:sz w:val="18"/>
          <w:szCs w:val="18"/>
          <w:color w:val="auto"/>
        </w:rPr>
        <w:t>Signature Guarantee: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1171575</wp:posOffset>
            </wp:positionH>
            <wp:positionV relativeFrom="paragraph">
              <wp:posOffset>14605</wp:posOffset>
            </wp:positionV>
            <wp:extent cx="1619885"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9">
                      <a:extLst>
                        <a:ext uri="{28A0092B-C50C-407E-A947-70E740481C1C}"/>
                      </a:extLst>
                    </a:blip>
                    <a:srcRect/>
                    <a:stretch>
                      <a:fillRect/>
                    </a:stretch>
                  </pic:blipFill>
                  <pic:spPr bwMode="auto">
                    <a:xfrm>
                      <a:off x="0" y="0"/>
                      <a:ext cx="1619885" cy="8255"/>
                    </a:xfrm>
                    <a:prstGeom prst="rect">
                      <a:avLst/>
                    </a:prstGeom>
                    <a:noFill/>
                  </pic:spPr>
                </pic:pic>
              </a:graphicData>
            </a:graphic>
          </wp:anchor>
        </w:drawing>
      </w:r>
    </w:p>
    <w:p>
      <w:pPr>
        <w:spacing w:after="0" w:line="219" w:lineRule="exact"/>
        <w:rPr>
          <w:sz w:val="20"/>
          <w:szCs w:val="20"/>
          <w:color w:val="auto"/>
        </w:rPr>
      </w:pPr>
    </w:p>
    <w:p>
      <w:pPr>
        <w:ind w:firstLine="440"/>
        <w:spacing w:after="0" w:line="259" w:lineRule="auto"/>
        <w:rPr>
          <w:sz w:val="20"/>
          <w:szCs w:val="20"/>
          <w:color w:val="auto"/>
        </w:rPr>
      </w:pPr>
      <w:r>
        <w:rPr>
          <w:rFonts w:ascii="Arial" w:cs="Arial" w:eastAsia="Arial" w:hAnsi="Arial"/>
          <w:sz w:val="18"/>
          <w:szCs w:val="18"/>
          <w:color w:val="auto"/>
        </w:rPr>
        <w:t>Signatures must be guaranteed by an “eligible guarantor institution” meeting the requirements of the Securities Registrar, which requirements include membership or participation in the Security Transfer Agent Medallion Program (“</w:t>
      </w:r>
      <w:r>
        <w:rPr>
          <w:rFonts w:ascii="Arial" w:cs="Arial" w:eastAsia="Arial" w:hAnsi="Arial"/>
          <w:sz w:val="18"/>
          <w:szCs w:val="18"/>
          <w:u w:val="single" w:color="auto"/>
          <w:color w:val="auto"/>
        </w:rPr>
        <w:t>STAMP</w:t>
      </w:r>
      <w:r>
        <w:rPr>
          <w:rFonts w:ascii="Arial" w:cs="Arial" w:eastAsia="Arial" w:hAnsi="Arial"/>
          <w:sz w:val="18"/>
          <w:szCs w:val="18"/>
          <w:color w:val="auto"/>
        </w:rPr>
        <w:t>”) or such other “signature guarantee program” as may be determined by the Securities Registrar in addition to, or in substitution for, STAMP, all in accordance with the Securities Exchange Act of 1934, as amended.</w:t>
      </w:r>
    </w:p>
    <w:p>
      <w:pPr>
        <w:sectPr>
          <w:pgSz w:w="11900" w:h="16838" w:orient="portrait"/>
          <w:cols w:equalWidth="0" w:num="1">
            <w:col w:w="11000"/>
          </w:cols>
          <w:pgMar w:left="440" w:top="270" w:right="459" w:bottom="1440" w:gutter="0" w:footer="0" w:header="0"/>
        </w:sectPr>
      </w:pPr>
    </w:p>
    <w:bookmarkStart w:id="85" w:name="page86"/>
    <w:bookmarkEnd w:id="85"/>
    <w:p>
      <w:pPr>
        <w:ind w:left="1640"/>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REPURCHASE EXERCISE NOTICE UPON A CHANGE OF CONTROL REPURCHASE EVENT</w:t>
      </w:r>
    </w:p>
    <w:p>
      <w:pPr>
        <w:spacing w:after="0" w:line="229" w:lineRule="exact"/>
        <w:rPr>
          <w:sz w:val="20"/>
          <w:szCs w:val="20"/>
          <w:color w:val="auto"/>
        </w:rPr>
      </w:pPr>
    </w:p>
    <w:p>
      <w:pPr>
        <w:spacing w:after="0"/>
        <w:rPr>
          <w:sz w:val="20"/>
          <w:szCs w:val="20"/>
          <w:color w:val="auto"/>
        </w:rPr>
      </w:pPr>
      <w:r>
        <w:rPr>
          <w:rFonts w:ascii="Arial" w:cs="Arial" w:eastAsia="Arial" w:hAnsi="Arial"/>
          <w:sz w:val="18"/>
          <w:szCs w:val="18"/>
          <w:color w:val="auto"/>
        </w:rPr>
        <w:t>To: Marvell Technology, Inc.</w:t>
      </w:r>
    </w:p>
    <w:p>
      <w:pPr>
        <w:spacing w:after="0" w:line="225" w:lineRule="exact"/>
        <w:rPr>
          <w:sz w:val="20"/>
          <w:szCs w:val="20"/>
          <w:color w:val="auto"/>
        </w:rPr>
      </w:pPr>
    </w:p>
    <w:p>
      <w:pPr>
        <w:ind w:firstLine="440"/>
        <w:spacing w:after="0" w:line="273" w:lineRule="auto"/>
        <w:rPr>
          <w:sz w:val="20"/>
          <w:szCs w:val="20"/>
          <w:color w:val="auto"/>
        </w:rPr>
      </w:pPr>
      <w:r>
        <w:rPr>
          <w:rFonts w:ascii="Arial" w:cs="Arial" w:eastAsia="Arial" w:hAnsi="Arial"/>
          <w:sz w:val="17"/>
          <w:szCs w:val="17"/>
          <w:color w:val="auto"/>
        </w:rPr>
        <w:t>The undersigned registered owner of this Note hereby acknowledges receipt of a notice from Marvell Technology, Inc. (the “</w:t>
      </w:r>
      <w:r>
        <w:rPr>
          <w:rFonts w:ascii="Arial" w:cs="Arial" w:eastAsia="Arial" w:hAnsi="Arial"/>
          <w:sz w:val="17"/>
          <w:szCs w:val="17"/>
          <w:u w:val="single" w:color="auto"/>
          <w:color w:val="auto"/>
        </w:rPr>
        <w:t>Company</w:t>
      </w:r>
      <w:r>
        <w:rPr>
          <w:rFonts w:ascii="Arial" w:cs="Arial" w:eastAsia="Arial" w:hAnsi="Arial"/>
          <w:sz w:val="17"/>
          <w:szCs w:val="17"/>
          <w:color w:val="auto"/>
        </w:rPr>
        <w:t>”) as to the occurrence of a Change of Control Repurchase Event with respect to the Company and hereby directs the Company to pay, or cause the Trustee to pay, an amount in cash equal to 101% of the aggregate principal amount of the Notes, or the portion thereof (in an aggregate principal amount of at least $2,000 or a multiple of $1,000 in excess thereof) as designated below to be repurchased, plus interest accrued and unpaid to, but excluding, the repurchase date, except as provided in the Indenture. The undersigned hereby agrees that the Notes will be repurchased as of the Change of Control Payment Date pursuant to the terms and conditions thereof and the Indenture.</w:t>
      </w:r>
    </w:p>
    <w:p>
      <w:pPr>
        <w:spacing w:after="0" w:line="205" w:lineRule="exact"/>
        <w:rPr>
          <w:sz w:val="20"/>
          <w:szCs w:val="20"/>
          <w:color w:val="auto"/>
        </w:rPr>
      </w:pPr>
    </w:p>
    <w:p>
      <w:pPr>
        <w:spacing w:after="0"/>
        <w:rPr>
          <w:sz w:val="20"/>
          <w:szCs w:val="20"/>
          <w:color w:val="auto"/>
        </w:rPr>
      </w:pPr>
      <w:r>
        <w:rPr>
          <w:rFonts w:ascii="Arial" w:cs="Arial" w:eastAsia="Arial" w:hAnsi="Arial"/>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357505</wp:posOffset>
            </wp:positionH>
            <wp:positionV relativeFrom="paragraph">
              <wp:posOffset>14605</wp:posOffset>
            </wp:positionV>
            <wp:extent cx="243459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1">
                      <a:extLst>
                        <a:ext uri="{28A0092B-C50C-407E-A947-70E740481C1C}"/>
                      </a:extLst>
                    </a:blip>
                    <a:srcRect/>
                    <a:stretch>
                      <a:fillRect/>
                    </a:stretch>
                  </pic:blipFill>
                  <pic:spPr bwMode="auto">
                    <a:xfrm>
                      <a:off x="0" y="0"/>
                      <a:ext cx="2434590" cy="8890"/>
                    </a:xfrm>
                    <a:prstGeom prst="rect">
                      <a:avLst/>
                    </a:prstGeom>
                    <a:noFill/>
                  </pic:spPr>
                </pic:pic>
              </a:graphicData>
            </a:graphic>
          </wp:anchor>
        </w:drawing>
      </w:r>
    </w:p>
    <w:p>
      <w:pPr>
        <w:spacing w:after="0" w:line="124" w:lineRule="exact"/>
        <w:rPr>
          <w:sz w:val="20"/>
          <w:szCs w:val="20"/>
          <w:color w:val="auto"/>
        </w:rPr>
      </w:pPr>
    </w:p>
    <w:p>
      <w:pPr>
        <w:spacing w:after="0"/>
        <w:rPr>
          <w:sz w:val="20"/>
          <w:szCs w:val="20"/>
          <w:color w:val="auto"/>
        </w:rPr>
      </w:pPr>
      <w:r>
        <w:rPr>
          <w:rFonts w:ascii="Arial" w:cs="Arial" w:eastAsia="Arial" w:hAnsi="Arial"/>
          <w:sz w:val="18"/>
          <w:szCs w:val="18"/>
          <w:color w:val="auto"/>
        </w:rPr>
        <w:t>Signature: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554355</wp:posOffset>
            </wp:positionH>
            <wp:positionV relativeFrom="paragraph">
              <wp:posOffset>14605</wp:posOffset>
            </wp:positionV>
            <wp:extent cx="2237105" cy="825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2">
                      <a:extLst>
                        <a:ext uri="{28A0092B-C50C-407E-A947-70E740481C1C}"/>
                      </a:extLst>
                    </a:blip>
                    <a:srcRect/>
                    <a:stretch>
                      <a:fillRect/>
                    </a:stretch>
                  </pic:blipFill>
                  <pic:spPr bwMode="auto">
                    <a:xfrm>
                      <a:off x="0" y="0"/>
                      <a:ext cx="2237105" cy="8255"/>
                    </a:xfrm>
                    <a:prstGeom prst="rect">
                      <a:avLst/>
                    </a:prstGeom>
                    <a:noFill/>
                  </pic:spPr>
                </pic:pic>
              </a:graphicData>
            </a:graphic>
          </wp:anchor>
        </w:drawing>
      </w:r>
    </w:p>
    <w:p>
      <w:pPr>
        <w:spacing w:after="0" w:line="219" w:lineRule="exact"/>
        <w:rPr>
          <w:sz w:val="20"/>
          <w:szCs w:val="20"/>
          <w:color w:val="auto"/>
        </w:rPr>
      </w:pPr>
    </w:p>
    <w:p>
      <w:pPr>
        <w:ind w:left="440"/>
        <w:spacing w:after="0"/>
        <w:rPr>
          <w:sz w:val="20"/>
          <w:szCs w:val="20"/>
          <w:color w:val="auto"/>
        </w:rPr>
      </w:pPr>
      <w:r>
        <w:rPr>
          <w:rFonts w:ascii="Arial" w:cs="Arial" w:eastAsia="Arial" w:hAnsi="Arial"/>
          <w:sz w:val="18"/>
          <w:szCs w:val="18"/>
          <w:color w:val="auto"/>
        </w:rPr>
        <w:t>Principal amount to be repurchased (at least $2,000 or a multiple of $1,000 in excess thereof): _________</w:t>
      </w:r>
    </w:p>
    <w:p>
      <w:pPr>
        <w:spacing w:after="0" w:line="117" w:lineRule="exact"/>
        <w:rPr>
          <w:sz w:val="20"/>
          <w:szCs w:val="20"/>
          <w:color w:val="auto"/>
        </w:rPr>
      </w:pPr>
    </w:p>
    <w:p>
      <w:pPr>
        <w:ind w:left="440"/>
        <w:spacing w:after="0"/>
        <w:rPr>
          <w:sz w:val="20"/>
          <w:szCs w:val="20"/>
          <w:color w:val="auto"/>
        </w:rPr>
      </w:pPr>
      <w:r>
        <w:rPr>
          <w:rFonts w:ascii="Arial" w:cs="Arial" w:eastAsia="Arial" w:hAnsi="Arial"/>
          <w:sz w:val="18"/>
          <w:szCs w:val="18"/>
          <w:color w:val="auto"/>
        </w:rPr>
        <w:t>Remaining principal amount following such repurchase: _________</w:t>
      </w:r>
    </w:p>
    <w:p>
      <w:pPr>
        <w:spacing w:after="0" w:line="252" w:lineRule="exact"/>
        <w:rPr>
          <w:sz w:val="20"/>
          <w:szCs w:val="20"/>
          <w:color w:val="auto"/>
        </w:rPr>
      </w:pPr>
    </w:p>
    <w:p>
      <w:pPr>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194310</wp:posOffset>
            </wp:positionH>
            <wp:positionV relativeFrom="paragraph">
              <wp:posOffset>14605</wp:posOffset>
            </wp:positionV>
            <wp:extent cx="2597150" cy="825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360"/>
        <w:spacing w:after="0"/>
        <w:rPr>
          <w:sz w:val="20"/>
          <w:szCs w:val="20"/>
          <w:color w:val="auto"/>
        </w:rPr>
      </w:pPr>
      <w:r>
        <w:rPr>
          <w:rFonts w:ascii="Arial" w:cs="Arial" w:eastAsia="Arial" w:hAnsi="Arial"/>
          <w:sz w:val="18"/>
          <w:szCs w:val="18"/>
          <w:color w:val="auto"/>
        </w:rPr>
        <w:t>Authorized Signatory</w:t>
      </w:r>
    </w:p>
    <w:p>
      <w:pPr>
        <w:sectPr>
          <w:pgSz w:w="11900" w:h="16838" w:orient="portrait"/>
          <w:cols w:equalWidth="0" w:num="1">
            <w:col w:w="10900"/>
          </w:cols>
          <w:pgMar w:left="440" w:top="270" w:right="559" w:bottom="1440" w:gutter="0" w:footer="0" w:header="0"/>
        </w:sectPr>
      </w:pPr>
    </w:p>
    <w:bookmarkStart w:id="86" w:name="page87"/>
    <w:bookmarkEnd w:id="86"/>
    <w:tbl>
      <w:tblPr>
        <w:tblLayout w:type="fixed"/>
        <w:tblInd w:w="0" w:type="dxa"/>
        <w:tblCellMar>
          <w:top w:w="0" w:type="dxa"/>
          <w:left w:w="0" w:type="dxa"/>
          <w:bottom w:w="0" w:type="dxa"/>
          <w:right w:w="0" w:type="dxa"/>
        </w:tblCellMar>
      </w:tblPr>
      <w:tr>
        <w:trPr>
          <w:trHeight w:val="234"/>
        </w:trPr>
        <w:tc>
          <w:tcPr>
            <w:tcW w:w="420" w:type="dxa"/>
            <w:vAlign w:val="bottom"/>
          </w:tcPr>
          <w:p>
            <w:pPr>
              <w:spacing w:after="0"/>
              <w:rPr>
                <w:sz w:val="20"/>
                <w:szCs w:val="20"/>
                <w:color w:val="auto"/>
              </w:rPr>
            </w:pPr>
          </w:p>
        </w:tc>
        <w:tc>
          <w:tcPr>
            <w:tcW w:w="3520" w:type="dxa"/>
            <w:vAlign w:val="bottom"/>
          </w:tcPr>
          <w:p>
            <w:pPr>
              <w:spacing w:after="0"/>
              <w:rPr>
                <w:sz w:val="20"/>
                <w:szCs w:val="20"/>
                <w:color w:val="auto"/>
              </w:rPr>
            </w:pPr>
          </w:p>
        </w:tc>
        <w:tc>
          <w:tcPr>
            <w:tcW w:w="254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3080" w:type="dxa"/>
            <w:vAlign w:val="bottom"/>
          </w:tcPr>
          <w:p>
            <w:pPr>
              <w:ind w:left="2120"/>
              <w:spacing w:after="0"/>
              <w:rPr>
                <w:sz w:val="20"/>
                <w:szCs w:val="20"/>
                <w:color w:val="auto"/>
              </w:rPr>
            </w:pPr>
            <w:r>
              <w:rPr>
                <w:rFonts w:ascii="Arial" w:cs="Arial" w:eastAsia="Arial" w:hAnsi="Arial"/>
                <w:sz w:val="18"/>
                <w:szCs w:val="18"/>
                <w:b w:val="1"/>
                <w:bCs w:val="1"/>
                <w:color w:val="auto"/>
              </w:rPr>
              <w:t>EXHIBIT C</w:t>
            </w:r>
          </w:p>
        </w:tc>
      </w:tr>
      <w:tr>
        <w:trPr>
          <w:trHeight w:val="432"/>
        </w:trPr>
        <w:tc>
          <w:tcPr>
            <w:tcW w:w="420" w:type="dxa"/>
            <w:vAlign w:val="bottom"/>
          </w:tcPr>
          <w:p>
            <w:pPr>
              <w:spacing w:after="0"/>
              <w:rPr>
                <w:sz w:val="24"/>
                <w:szCs w:val="24"/>
                <w:color w:val="auto"/>
              </w:rPr>
            </w:pPr>
          </w:p>
        </w:tc>
        <w:tc>
          <w:tcPr>
            <w:tcW w:w="7520" w:type="dxa"/>
            <w:vAlign w:val="bottom"/>
            <w:gridSpan w:val="3"/>
          </w:tcPr>
          <w:p>
            <w:pPr>
              <w:ind w:left="3060"/>
              <w:spacing w:after="0"/>
              <w:rPr>
                <w:sz w:val="20"/>
                <w:szCs w:val="20"/>
                <w:color w:val="auto"/>
              </w:rPr>
            </w:pPr>
            <w:r>
              <w:rPr>
                <w:rFonts w:ascii="Arial" w:cs="Arial" w:eastAsia="Arial" w:hAnsi="Arial"/>
                <w:sz w:val="18"/>
                <w:szCs w:val="18"/>
                <w:b w:val="1"/>
                <w:bCs w:val="1"/>
                <w:color w:val="auto"/>
              </w:rPr>
              <w:t>Form of Supplemental Indenture to Add Guarantors</w:t>
            </w:r>
          </w:p>
        </w:tc>
        <w:tc>
          <w:tcPr>
            <w:tcW w:w="3080" w:type="dxa"/>
            <w:vAlign w:val="bottom"/>
          </w:tcPr>
          <w:p>
            <w:pPr>
              <w:spacing w:after="0"/>
              <w:rPr>
                <w:sz w:val="24"/>
                <w:szCs w:val="24"/>
                <w:color w:val="auto"/>
              </w:rPr>
            </w:pPr>
          </w:p>
        </w:tc>
      </w:tr>
      <w:tr>
        <w:trPr>
          <w:trHeight w:val="391"/>
        </w:trPr>
        <w:tc>
          <w:tcPr>
            <w:tcW w:w="420" w:type="dxa"/>
            <w:vAlign w:val="bottom"/>
          </w:tcPr>
          <w:p>
            <w:pPr>
              <w:jc w:val="right"/>
              <w:ind w:right="270"/>
              <w:spacing w:after="0"/>
              <w:rPr>
                <w:sz w:val="20"/>
                <w:szCs w:val="20"/>
                <w:color w:val="auto"/>
              </w:rPr>
            </w:pPr>
            <w:r>
              <w:rPr>
                <w:rFonts w:ascii="Arial" w:cs="Arial" w:eastAsia="Arial" w:hAnsi="Arial"/>
                <w:sz w:val="18"/>
                <w:szCs w:val="18"/>
                <w:color w:val="auto"/>
                <w:w w:val="78"/>
              </w:rPr>
              <w:t>[</w:t>
            </w:r>
          </w:p>
        </w:tc>
        <w:tc>
          <w:tcPr>
            <w:tcW w:w="3520" w:type="dxa"/>
            <w:vAlign w:val="bottom"/>
          </w:tcPr>
          <w:p>
            <w:pPr>
              <w:ind w:left="360"/>
              <w:spacing w:after="0"/>
              <w:rPr>
                <w:sz w:val="20"/>
                <w:szCs w:val="20"/>
                <w:color w:val="auto"/>
              </w:rPr>
            </w:pPr>
            <w:r>
              <w:rPr>
                <w:rFonts w:ascii="Arial" w:cs="Arial" w:eastAsia="Arial" w:hAnsi="Arial"/>
                <w:sz w:val="18"/>
                <w:szCs w:val="18"/>
                <w:color w:val="auto"/>
                <w:w w:val="96"/>
              </w:rPr>
              <w:t>] SUPPLEMENTAL INDENTURE, (this “</w:t>
            </w:r>
            <w:r>
              <w:rPr>
                <w:rFonts w:ascii="Arial" w:cs="Arial" w:eastAsia="Arial" w:hAnsi="Arial"/>
                <w:sz w:val="18"/>
                <w:szCs w:val="18"/>
                <w:u w:val="single" w:color="auto"/>
                <w:color w:val="auto"/>
                <w:w w:val="96"/>
              </w:rPr>
              <w:t>[</w:t>
            </w:r>
          </w:p>
        </w:tc>
        <w:tc>
          <w:tcPr>
            <w:tcW w:w="4000" w:type="dxa"/>
            <w:vAlign w:val="bottom"/>
            <w:gridSpan w:val="2"/>
          </w:tcPr>
          <w:p>
            <w:pPr>
              <w:ind w:left="720"/>
              <w:spacing w:after="0"/>
              <w:rPr>
                <w:sz w:val="20"/>
                <w:szCs w:val="20"/>
                <w:color w:val="auto"/>
              </w:rPr>
            </w:pPr>
            <w:r>
              <w:rPr>
                <w:rFonts w:ascii="Arial" w:cs="Arial" w:eastAsia="Arial" w:hAnsi="Arial"/>
                <w:sz w:val="18"/>
                <w:szCs w:val="18"/>
                <w:color w:val="auto"/>
              </w:rPr>
              <w:t>] Supplemental Indenture”) dated as of [</w:t>
            </w:r>
          </w:p>
        </w:tc>
        <w:tc>
          <w:tcPr>
            <w:tcW w:w="3080" w:type="dxa"/>
            <w:vAlign w:val="bottom"/>
          </w:tcPr>
          <w:p>
            <w:pPr>
              <w:ind w:left="380"/>
              <w:spacing w:after="0"/>
              <w:rPr>
                <w:sz w:val="20"/>
                <w:szCs w:val="20"/>
                <w:color w:val="auto"/>
              </w:rPr>
            </w:pPr>
            <w:r>
              <w:rPr>
                <w:rFonts w:ascii="Arial" w:cs="Arial" w:eastAsia="Arial" w:hAnsi="Arial"/>
                <w:sz w:val="18"/>
                <w:szCs w:val="18"/>
                <w:color w:val="auto"/>
                <w:w w:val="94"/>
              </w:rPr>
              <w:t>], by and among the parties that are</w:t>
            </w:r>
          </w:p>
        </w:tc>
      </w:tr>
      <w:tr>
        <w:trPr>
          <w:trHeight w:val="20"/>
        </w:trPr>
        <w:tc>
          <w:tcPr>
            <w:tcW w:w="420" w:type="dxa"/>
            <w:vAlign w:val="bottom"/>
          </w:tcPr>
          <w:p>
            <w:pPr>
              <w:spacing w:after="0" w:line="20" w:lineRule="exact"/>
              <w:rPr>
                <w:sz w:val="1"/>
                <w:szCs w:val="1"/>
                <w:color w:val="auto"/>
              </w:rPr>
            </w:pPr>
          </w:p>
        </w:tc>
        <w:tc>
          <w:tcPr>
            <w:tcW w:w="3520" w:type="dxa"/>
            <w:vAlign w:val="bottom"/>
          </w:tcPr>
          <w:p>
            <w:pPr>
              <w:spacing w:after="0" w:line="20" w:lineRule="exact"/>
              <w:rPr>
                <w:sz w:val="1"/>
                <w:szCs w:val="1"/>
                <w:color w:val="auto"/>
              </w:rPr>
            </w:pPr>
          </w:p>
        </w:tc>
        <w:tc>
          <w:tcPr>
            <w:tcW w:w="2540" w:type="dxa"/>
            <w:vAlign w:val="bottom"/>
            <w:shd w:val="clear" w:color="auto" w:fill="000000"/>
          </w:tcPr>
          <w:p>
            <w:pPr>
              <w:spacing w:after="0" w:line="20" w:lineRule="exact"/>
              <w:rPr>
                <w:sz w:val="1"/>
                <w:szCs w:val="1"/>
                <w:color w:val="auto"/>
              </w:rPr>
            </w:pPr>
          </w:p>
        </w:tc>
        <w:tc>
          <w:tcPr>
            <w:tcW w:w="1460" w:type="dxa"/>
            <w:vAlign w:val="bottom"/>
          </w:tcPr>
          <w:p>
            <w:pPr>
              <w:spacing w:after="0" w:line="20" w:lineRule="exact"/>
              <w:rPr>
                <w:sz w:val="1"/>
                <w:szCs w:val="1"/>
                <w:color w:val="auto"/>
              </w:rPr>
            </w:pPr>
          </w:p>
        </w:tc>
        <w:tc>
          <w:tcPr>
            <w:tcW w:w="3080" w:type="dxa"/>
            <w:vAlign w:val="bottom"/>
          </w:tcPr>
          <w:p>
            <w:pPr>
              <w:spacing w:after="0" w:line="20" w:lineRule="exact"/>
              <w:rPr>
                <w:sz w:val="1"/>
                <w:szCs w:val="1"/>
                <w:color w:val="auto"/>
              </w:rPr>
            </w:pPr>
          </w:p>
        </w:tc>
      </w:tr>
    </w:tbl>
    <w:p>
      <w:pPr>
        <w:spacing w:after="0" w:line="1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both"/>
        <w:ind w:right="160"/>
        <w:spacing w:after="0" w:line="263" w:lineRule="auto"/>
        <w:rPr>
          <w:sz w:val="20"/>
          <w:szCs w:val="20"/>
          <w:color w:val="auto"/>
        </w:rPr>
      </w:pPr>
      <w:r>
        <w:rPr>
          <w:rFonts w:ascii="Arial" w:cs="Arial" w:eastAsia="Arial" w:hAnsi="Arial"/>
          <w:sz w:val="18"/>
          <w:szCs w:val="18"/>
          <w:color w:val="auto"/>
        </w:rPr>
        <w:t>signatories hereto as Guarantors (the “</w:t>
      </w:r>
      <w:r>
        <w:rPr>
          <w:rFonts w:ascii="Arial" w:cs="Arial" w:eastAsia="Arial" w:hAnsi="Arial"/>
          <w:sz w:val="18"/>
          <w:szCs w:val="18"/>
          <w:u w:val="single" w:color="auto"/>
          <w:color w:val="auto"/>
        </w:rPr>
        <w:t>Guaranteeing Entities</w:t>
      </w:r>
      <w:r>
        <w:rPr>
          <w:rFonts w:ascii="Arial" w:cs="Arial" w:eastAsia="Arial" w:hAnsi="Arial"/>
          <w:sz w:val="18"/>
          <w:szCs w:val="18"/>
          <w:color w:val="auto"/>
        </w:rPr>
        <w:t>” and each a “</w:t>
      </w:r>
      <w:r>
        <w:rPr>
          <w:rFonts w:ascii="Arial" w:cs="Arial" w:eastAsia="Arial" w:hAnsi="Arial"/>
          <w:sz w:val="18"/>
          <w:szCs w:val="18"/>
          <w:u w:val="single" w:color="auto"/>
          <w:color w:val="auto"/>
        </w:rPr>
        <w:t>Guaranteeing Entity</w:t>
      </w:r>
      <w:r>
        <w:rPr>
          <w:rFonts w:ascii="Arial" w:cs="Arial" w:eastAsia="Arial" w:hAnsi="Arial"/>
          <w:sz w:val="18"/>
          <w:szCs w:val="18"/>
          <w:color w:val="auto"/>
        </w:rPr>
        <w:t>”), Marvell Technology, Inc., as issuer (the “</w:t>
      </w:r>
      <w:r>
        <w:rPr>
          <w:rFonts w:ascii="Arial" w:cs="Arial" w:eastAsia="Arial" w:hAnsi="Arial"/>
          <w:sz w:val="18"/>
          <w:szCs w:val="18"/>
          <w:u w:val="single" w:color="auto"/>
          <w:color w:val="auto"/>
        </w:rPr>
        <w:t>Company</w:t>
      </w:r>
      <w:r>
        <w:rPr>
          <w:rFonts w:ascii="Arial" w:cs="Arial" w:eastAsia="Arial" w:hAnsi="Arial"/>
          <w:sz w:val="18"/>
          <w:szCs w:val="18"/>
          <w:color w:val="auto"/>
        </w:rPr>
        <w:t>”), and U.S. Bank Trust Company, National Association (successor in interest to U.S. Bank National Association), as Trustee under the Indenture referred to below.</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W I T N E S S E T H</w:t>
      </w:r>
      <w:r>
        <w:rPr>
          <w:rFonts w:ascii="Arial" w:cs="Arial" w:eastAsia="Arial" w:hAnsi="Arial"/>
          <w:sz w:val="18"/>
          <w:szCs w:val="18"/>
          <w:color w:val="auto"/>
        </w:rPr>
        <w:t>:</w:t>
      </w:r>
    </w:p>
    <w:p>
      <w:pPr>
        <w:spacing w:after="0" w:line="225" w:lineRule="exact"/>
        <w:rPr>
          <w:sz w:val="20"/>
          <w:szCs w:val="20"/>
          <w:color w:val="auto"/>
        </w:rPr>
      </w:pPr>
    </w:p>
    <w:p>
      <w:pPr>
        <w:ind w:right="340" w:firstLine="440"/>
        <w:spacing w:after="0" w:line="301" w:lineRule="auto"/>
        <w:rPr>
          <w:sz w:val="20"/>
          <w:szCs w:val="20"/>
          <w:color w:val="auto"/>
        </w:rPr>
      </w:pPr>
      <w:r>
        <w:rPr>
          <w:rFonts w:ascii="Arial" w:cs="Arial" w:eastAsia="Arial" w:hAnsi="Arial"/>
          <w:sz w:val="16"/>
          <w:szCs w:val="16"/>
          <w:color w:val="auto"/>
        </w:rPr>
        <w:t>WHEREAS, each of the Company and the Trustee has heretofore executed and delivered an Indenture, dated as of April 12, 2021, as supplemented by the Third Supplemental Indenture, dated as of September 18, 2023, between the Company and the Trustee (as further amended, supplemented, waived or otherwise modified, the “</w:t>
      </w:r>
      <w:r>
        <w:rPr>
          <w:rFonts w:ascii="Arial" w:cs="Arial" w:eastAsia="Arial" w:hAnsi="Arial"/>
          <w:sz w:val="16"/>
          <w:szCs w:val="16"/>
          <w:u w:val="single" w:color="auto"/>
          <w:color w:val="auto"/>
        </w:rPr>
        <w:t>Indenture</w:t>
      </w:r>
      <w:r>
        <w:rPr>
          <w:rFonts w:ascii="Arial" w:cs="Arial" w:eastAsia="Arial" w:hAnsi="Arial"/>
          <w:sz w:val="16"/>
          <w:szCs w:val="16"/>
          <w:color w:val="auto"/>
        </w:rPr>
        <w:t>”), providing for the issuance of $500,000,000 in aggregate principal amount of 5.750% Senior Notes due 2029 and $500,000,000 in aggregate principal amount of 5.950% Senior Notes due 2033 of the Company (the “</w:t>
      </w:r>
      <w:r>
        <w:rPr>
          <w:rFonts w:ascii="Arial" w:cs="Arial" w:eastAsia="Arial" w:hAnsi="Arial"/>
          <w:sz w:val="16"/>
          <w:szCs w:val="16"/>
          <w:u w:val="single" w:color="auto"/>
          <w:color w:val="auto"/>
        </w:rPr>
        <w:t>Notes</w:t>
      </w:r>
      <w:r>
        <w:rPr>
          <w:rFonts w:ascii="Arial" w:cs="Arial" w:eastAsia="Arial" w:hAnsi="Arial"/>
          <w:sz w:val="16"/>
          <w:szCs w:val="16"/>
          <w:color w:val="auto"/>
        </w:rPr>
        <w:t>”);</w:t>
      </w:r>
    </w:p>
    <w:p>
      <w:pPr>
        <w:spacing w:after="0" w:line="157"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WHEREAS, the Indenture provides that under certain circumstances, each Guaranteeing Entity shall execute and deliver to the Trustee a supplemental indenture pursuant to which such Guaranteeing Entity shall unconditionally guarantee, on a joint and several basis with the other Guarantors, all of the Company’s obligations under the Notes and the Indenture on the terms and conditions set forth herein and under the Indenture (the “</w:t>
      </w:r>
      <w:r>
        <w:rPr>
          <w:rFonts w:ascii="Arial" w:cs="Arial" w:eastAsia="Arial" w:hAnsi="Arial"/>
          <w:sz w:val="18"/>
          <w:szCs w:val="18"/>
          <w:u w:val="single" w:color="auto"/>
          <w:color w:val="auto"/>
        </w:rPr>
        <w:t>guarantee</w:t>
      </w:r>
      <w:r>
        <w:rPr>
          <w:rFonts w:ascii="Arial" w:cs="Arial" w:eastAsia="Arial" w:hAnsi="Arial"/>
          <w:sz w:val="18"/>
          <w:szCs w:val="18"/>
          <w:color w:val="auto"/>
        </w:rPr>
        <w:t>”); and</w:t>
      </w:r>
    </w:p>
    <w:p>
      <w:pPr>
        <w:spacing w:after="0" w:line="187" w:lineRule="exact"/>
        <w:rPr>
          <w:sz w:val="20"/>
          <w:szCs w:val="20"/>
          <w:color w:val="auto"/>
        </w:rPr>
      </w:pPr>
    </w:p>
    <w:p>
      <w:pPr>
        <w:ind w:right="200" w:firstLine="440"/>
        <w:spacing w:after="0" w:line="277" w:lineRule="auto"/>
        <w:rPr>
          <w:sz w:val="20"/>
          <w:szCs w:val="20"/>
          <w:color w:val="auto"/>
        </w:rPr>
      </w:pPr>
      <w:r>
        <w:rPr>
          <w:rFonts w:ascii="Arial" w:cs="Arial" w:eastAsia="Arial" w:hAnsi="Arial"/>
          <w:sz w:val="18"/>
          <w:szCs w:val="18"/>
          <w:color w:val="auto"/>
        </w:rPr>
        <w:t>WHEREAS, pursuant to Section 901 of the Base Indenture, the Company, any Guarantor and the Trustee are authorized to execute and deliver a supplemental indenture to add additional Guarantors, without the consent of any Holder.</w:t>
      </w:r>
    </w:p>
    <w:p>
      <w:pPr>
        <w:spacing w:after="0" w:line="170" w:lineRule="exact"/>
        <w:rPr>
          <w:sz w:val="20"/>
          <w:szCs w:val="20"/>
          <w:color w:val="auto"/>
        </w:rPr>
      </w:pPr>
    </w:p>
    <w:p>
      <w:pPr>
        <w:ind w:right="520" w:firstLine="440"/>
        <w:spacing w:after="0" w:line="263" w:lineRule="auto"/>
        <w:rPr>
          <w:sz w:val="20"/>
          <w:szCs w:val="20"/>
          <w:color w:val="auto"/>
        </w:rPr>
      </w:pPr>
      <w:r>
        <w:rPr>
          <w:rFonts w:ascii="Arial" w:cs="Arial" w:eastAsia="Arial" w:hAnsi="Arial"/>
          <w:sz w:val="18"/>
          <w:szCs w:val="18"/>
          <w:color w:val="auto"/>
        </w:rPr>
        <w:t>NOW, THEREFORE, in consideration of the foregoing and for other good and valuable consideration, the receipt of which is hereby acknowledged, the Guaranteeing Entity, the Company, the other Guarantors and the Trustee mutually covenant and agree for the equal and ratable benefit of the Holders as follows:</w:t>
      </w:r>
    </w:p>
    <w:p>
      <w:pPr>
        <w:spacing w:after="0" w:line="184"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DEFINITIONS</w:t>
      </w:r>
    </w:p>
    <w:p>
      <w:pPr>
        <w:spacing w:after="0" w:line="225" w:lineRule="exact"/>
        <w:rPr>
          <w:sz w:val="20"/>
          <w:szCs w:val="20"/>
          <w:color w:val="auto"/>
        </w:rPr>
      </w:pPr>
    </w:p>
    <w:p>
      <w:pPr>
        <w:ind w:left="440"/>
        <w:spacing w:after="0"/>
        <w:tabs>
          <w:tab w:leader="none" w:pos="4020" w:val="left"/>
        </w:tabs>
        <w:rPr>
          <w:sz w:val="20"/>
          <w:szCs w:val="20"/>
          <w:color w:val="auto"/>
        </w:rPr>
      </w:pPr>
      <w:r>
        <w:rPr>
          <w:rFonts w:ascii="Arial" w:cs="Arial" w:eastAsia="Arial" w:hAnsi="Arial"/>
          <w:sz w:val="18"/>
          <w:szCs w:val="18"/>
          <w:color w:val="auto"/>
        </w:rPr>
        <w:t xml:space="preserve">Section 1.1. </w:t>
      </w:r>
      <w:r>
        <w:rPr>
          <w:rFonts w:ascii="Arial" w:cs="Arial" w:eastAsia="Arial" w:hAnsi="Arial"/>
          <w:sz w:val="18"/>
          <w:szCs w:val="18"/>
          <w:i w:val="1"/>
          <w:iCs w:val="1"/>
          <w:color w:val="auto"/>
        </w:rPr>
        <w:t>Defined Terms</w:t>
      </w:r>
      <w:r>
        <w:rPr>
          <w:rFonts w:ascii="Arial" w:cs="Arial" w:eastAsia="Arial" w:hAnsi="Arial"/>
          <w:sz w:val="18"/>
          <w:szCs w:val="18"/>
          <w:color w:val="auto"/>
        </w:rPr>
        <w:t>. As used in this [</w:t>
      </w:r>
      <w:r>
        <w:rPr>
          <w:sz w:val="20"/>
          <w:szCs w:val="20"/>
          <w:color w:val="auto"/>
        </w:rPr>
        <w:tab/>
      </w:r>
      <w:r>
        <w:rPr>
          <w:rFonts w:ascii="Arial" w:cs="Arial" w:eastAsia="Arial" w:hAnsi="Arial"/>
          <w:sz w:val="16"/>
          <w:szCs w:val="16"/>
          <w:color w:val="auto"/>
        </w:rPr>
        <w:t>] Supplemental Indenture, terms defined in the Indenture or in the preamble or recitals hereto</w:t>
      </w:r>
    </w:p>
    <w:p>
      <w:pPr>
        <w:spacing w:after="0" w:line="23" w:lineRule="exact"/>
        <w:rPr>
          <w:sz w:val="20"/>
          <w:szCs w:val="20"/>
          <w:color w:val="auto"/>
        </w:rPr>
      </w:pPr>
    </w:p>
    <w:p>
      <w:pPr>
        <w:spacing w:after="0"/>
        <w:tabs>
          <w:tab w:leader="none" w:pos="9440" w:val="left"/>
        </w:tabs>
        <w:rPr>
          <w:sz w:val="20"/>
          <w:szCs w:val="20"/>
          <w:color w:val="auto"/>
        </w:rPr>
      </w:pPr>
      <w:r>
        <w:rPr>
          <w:rFonts w:ascii="Arial" w:cs="Arial" w:eastAsia="Arial" w:hAnsi="Arial"/>
          <w:sz w:val="18"/>
          <w:szCs w:val="18"/>
          <w:color w:val="auto"/>
        </w:rPr>
        <w:t>are used herein as therein defined. The words “herein,” “hereof” and “hereby” and other words of similar import used in this [</w:t>
      </w:r>
      <w:r>
        <w:rPr>
          <w:sz w:val="20"/>
          <w:szCs w:val="20"/>
          <w:color w:val="auto"/>
        </w:rPr>
        <w:tab/>
      </w:r>
      <w:r>
        <w:rPr>
          <w:rFonts w:ascii="Arial" w:cs="Arial" w:eastAsia="Arial" w:hAnsi="Arial"/>
          <w:sz w:val="16"/>
          <w:szCs w:val="16"/>
          <w:color w:val="auto"/>
        </w:rPr>
        <w:t>] Supplemental</w:t>
      </w:r>
    </w:p>
    <w:p>
      <w:pPr>
        <w:spacing w:after="0" w:line="9" w:lineRule="exact"/>
        <w:rPr>
          <w:sz w:val="20"/>
          <w:szCs w:val="20"/>
          <w:color w:val="auto"/>
        </w:rPr>
      </w:pPr>
    </w:p>
    <w:p>
      <w:pPr>
        <w:spacing w:after="0"/>
        <w:tabs>
          <w:tab w:leader="none" w:pos="2040" w:val="left"/>
        </w:tabs>
        <w:rPr>
          <w:sz w:val="20"/>
          <w:szCs w:val="20"/>
          <w:color w:val="auto"/>
        </w:rPr>
      </w:pPr>
      <w:r>
        <w:rPr>
          <w:rFonts w:ascii="Arial" w:cs="Arial" w:eastAsia="Arial" w:hAnsi="Arial"/>
          <w:sz w:val="18"/>
          <w:szCs w:val="18"/>
          <w:color w:val="auto"/>
        </w:rPr>
        <w:t>Indenture refer to this [</w:t>
      </w:r>
      <w:r>
        <w:rPr>
          <w:sz w:val="20"/>
          <w:szCs w:val="20"/>
          <w:color w:val="auto"/>
        </w:rPr>
        <w:tab/>
      </w:r>
      <w:r>
        <w:rPr>
          <w:rFonts w:ascii="Arial" w:cs="Arial" w:eastAsia="Arial" w:hAnsi="Arial"/>
          <w:sz w:val="16"/>
          <w:szCs w:val="16"/>
          <w:color w:val="auto"/>
        </w:rPr>
        <w:t>] Supplemental Indenture as a whole and not to any particular Section hereof.</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ARTICLE II</w:t>
      </w:r>
    </w:p>
    <w:p>
      <w:pPr>
        <w:spacing w:after="0" w:line="117"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AGREEMENT TO BE BOUND; GUARANTEE</w:t>
      </w:r>
    </w:p>
    <w:p>
      <w:pPr>
        <w:spacing w:after="0" w:line="225" w:lineRule="exact"/>
        <w:rPr>
          <w:sz w:val="20"/>
          <w:szCs w:val="20"/>
          <w:color w:val="auto"/>
        </w:rPr>
      </w:pPr>
    </w:p>
    <w:p>
      <w:pPr>
        <w:ind w:right="20" w:firstLine="440"/>
        <w:spacing w:after="0" w:line="277" w:lineRule="auto"/>
        <w:rPr>
          <w:sz w:val="20"/>
          <w:szCs w:val="20"/>
          <w:color w:val="auto"/>
        </w:rPr>
      </w:pPr>
      <w:r>
        <w:rPr>
          <w:rFonts w:ascii="Arial" w:cs="Arial" w:eastAsia="Arial" w:hAnsi="Arial"/>
          <w:sz w:val="18"/>
          <w:szCs w:val="18"/>
          <w:color w:val="auto"/>
        </w:rPr>
        <w:t xml:space="preserve">Section 2.1. </w:t>
      </w:r>
      <w:r>
        <w:rPr>
          <w:rFonts w:ascii="Arial" w:cs="Arial" w:eastAsia="Arial" w:hAnsi="Arial"/>
          <w:sz w:val="18"/>
          <w:szCs w:val="18"/>
          <w:i w:val="1"/>
          <w:iCs w:val="1"/>
          <w:color w:val="auto"/>
        </w:rPr>
        <w:t>Agreement to be Bound</w:t>
      </w:r>
      <w:r>
        <w:rPr>
          <w:rFonts w:ascii="Arial" w:cs="Arial" w:eastAsia="Arial" w:hAnsi="Arial"/>
          <w:sz w:val="18"/>
          <w:szCs w:val="18"/>
          <w:color w:val="auto"/>
        </w:rPr>
        <w:t>. Each Guaranteeing Entity hereby becomes a party to the Indenture as a Guarantor and as such will have all of the rights and be subject to all of the obligations and agreements of a Guarantor under the Indenture.</w:t>
      </w:r>
    </w:p>
    <w:p>
      <w:pPr>
        <w:spacing w:after="0" w:line="170" w:lineRule="exact"/>
        <w:rPr>
          <w:sz w:val="20"/>
          <w:szCs w:val="20"/>
          <w:color w:val="auto"/>
        </w:rPr>
      </w:pPr>
    </w:p>
    <w:p>
      <w:pPr>
        <w:jc w:val="both"/>
        <w:ind w:right="60" w:firstLine="440"/>
        <w:spacing w:after="0" w:line="263" w:lineRule="auto"/>
        <w:rPr>
          <w:sz w:val="20"/>
          <w:szCs w:val="20"/>
          <w:color w:val="auto"/>
        </w:rPr>
      </w:pPr>
      <w:r>
        <w:rPr>
          <w:rFonts w:ascii="Arial" w:cs="Arial" w:eastAsia="Arial" w:hAnsi="Arial"/>
          <w:sz w:val="18"/>
          <w:szCs w:val="18"/>
          <w:color w:val="auto"/>
        </w:rPr>
        <w:t xml:space="preserve">Section 2.2. </w:t>
      </w:r>
      <w:r>
        <w:rPr>
          <w:rFonts w:ascii="Arial" w:cs="Arial" w:eastAsia="Arial" w:hAnsi="Arial"/>
          <w:sz w:val="18"/>
          <w:szCs w:val="18"/>
          <w:i w:val="1"/>
          <w:iCs w:val="1"/>
          <w:color w:val="auto"/>
        </w:rPr>
        <w:t>Guarantee</w:t>
      </w:r>
      <w:r>
        <w:rPr>
          <w:rFonts w:ascii="Arial" w:cs="Arial" w:eastAsia="Arial" w:hAnsi="Arial"/>
          <w:sz w:val="18"/>
          <w:szCs w:val="18"/>
          <w:color w:val="auto"/>
        </w:rPr>
        <w:t>. Each Guaranteeing Entity agrees, on a joint and several basis with all the existing Guarantors [and the other Guaranteeing Entities], to fully, unconditionally and irrevocably guarantee to each Holder of the Notes and the Trustee the Guaranteed Obligations pursuant to Article VII of the Third Supplemental Indenture on a senior basis.</w:t>
      </w:r>
    </w:p>
    <w:p>
      <w:pPr>
        <w:sectPr>
          <w:pgSz w:w="11900" w:h="16838" w:orient="portrait"/>
          <w:cols w:equalWidth="0" w:num="1">
            <w:col w:w="11020"/>
          </w:cols>
          <w:pgMar w:left="440" w:top="270" w:right="439" w:bottom="1440" w:gutter="0" w:footer="0" w:header="0"/>
        </w:sectPr>
      </w:pPr>
    </w:p>
    <w:bookmarkStart w:id="87" w:name="page88"/>
    <w:bookmarkEnd w:id="87"/>
    <w:p>
      <w:pPr>
        <w:jc w:val="center"/>
        <w:ind w:right="-19"/>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III</w:t>
      </w:r>
    </w:p>
    <w:p>
      <w:pPr>
        <w:spacing w:after="0" w:line="117"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MISCELLANEOUS</w:t>
      </w:r>
    </w:p>
    <w:p>
      <w:pPr>
        <w:spacing w:after="0" w:line="225" w:lineRule="exact"/>
        <w:rPr>
          <w:sz w:val="20"/>
          <w:szCs w:val="20"/>
          <w:color w:val="auto"/>
        </w:rPr>
      </w:pPr>
    </w:p>
    <w:p>
      <w:pPr>
        <w:ind w:right="540" w:firstLine="440"/>
        <w:spacing w:after="0" w:line="342" w:lineRule="auto"/>
        <w:rPr>
          <w:sz w:val="20"/>
          <w:szCs w:val="20"/>
          <w:color w:val="auto"/>
        </w:rPr>
      </w:pPr>
      <w:r>
        <w:rPr>
          <w:rFonts w:ascii="Arial" w:cs="Arial" w:eastAsia="Arial" w:hAnsi="Arial"/>
          <w:sz w:val="16"/>
          <w:szCs w:val="16"/>
          <w:color w:val="auto"/>
        </w:rPr>
        <w:t xml:space="preserve">Section 3.1. </w:t>
      </w:r>
      <w:r>
        <w:rPr>
          <w:rFonts w:ascii="Arial" w:cs="Arial" w:eastAsia="Arial" w:hAnsi="Arial"/>
          <w:sz w:val="16"/>
          <w:szCs w:val="16"/>
          <w:i w:val="1"/>
          <w:iCs w:val="1"/>
          <w:color w:val="auto"/>
        </w:rPr>
        <w:t>Notices</w:t>
      </w:r>
      <w:r>
        <w:rPr>
          <w:rFonts w:ascii="Arial" w:cs="Arial" w:eastAsia="Arial" w:hAnsi="Arial"/>
          <w:sz w:val="16"/>
          <w:szCs w:val="16"/>
          <w:color w:val="auto"/>
        </w:rPr>
        <w:t>. All notices and other communications to the Guaranteeing Entities shall be given as provided in the Indenture to such Guaranteeing Entities, at their addresses set forth below, with a copy to the Company as provided in the Indenture for notices to the Company.</w:t>
      </w:r>
    </w:p>
    <w:p>
      <w:pPr>
        <w:spacing w:after="0" w:line="124" w:lineRule="exact"/>
        <w:rPr>
          <w:sz w:val="20"/>
          <w:szCs w:val="20"/>
          <w:color w:val="auto"/>
        </w:rPr>
      </w:pPr>
    </w:p>
    <w:p>
      <w:pPr>
        <w:jc w:val="center"/>
        <w:ind w:right="-19"/>
        <w:spacing w:after="0"/>
        <w:rPr>
          <w:sz w:val="20"/>
          <w:szCs w:val="20"/>
          <w:color w:val="auto"/>
        </w:rPr>
      </w:pPr>
      <w:r>
        <w:rPr>
          <w:rFonts w:ascii="Arial" w:cs="Arial" w:eastAsia="Arial" w:hAnsi="Arial"/>
          <w:sz w:val="18"/>
          <w:szCs w:val="18"/>
          <w:color w:val="auto"/>
        </w:rPr>
        <w:t>[INSERT ADDRESS]</w:t>
      </w:r>
    </w:p>
    <w:p>
      <w:pPr>
        <w:spacing w:after="0" w:line="225" w:lineRule="exact"/>
        <w:rPr>
          <w:sz w:val="20"/>
          <w:szCs w:val="20"/>
          <w:color w:val="auto"/>
        </w:rPr>
      </w:pPr>
    </w:p>
    <w:p>
      <w:pPr>
        <w:ind w:left="440"/>
        <w:spacing w:after="0"/>
        <w:rPr>
          <w:sz w:val="20"/>
          <w:szCs w:val="20"/>
          <w:color w:val="auto"/>
        </w:rPr>
      </w:pPr>
      <w:r>
        <w:rPr>
          <w:rFonts w:ascii="Arial" w:cs="Arial" w:eastAsia="Arial" w:hAnsi="Arial"/>
          <w:sz w:val="17"/>
          <w:szCs w:val="17"/>
          <w:color w:val="auto"/>
        </w:rPr>
        <w:t xml:space="preserve">Section 3.2. </w:t>
      </w:r>
      <w:r>
        <w:rPr>
          <w:rFonts w:ascii="Arial" w:cs="Arial" w:eastAsia="Arial" w:hAnsi="Arial"/>
          <w:sz w:val="17"/>
          <w:szCs w:val="17"/>
          <w:i w:val="1"/>
          <w:iCs w:val="1"/>
          <w:color w:val="auto"/>
        </w:rPr>
        <w:t>Release of Guarantee</w:t>
      </w:r>
      <w:r>
        <w:rPr>
          <w:rFonts w:ascii="Arial" w:cs="Arial" w:eastAsia="Arial" w:hAnsi="Arial"/>
          <w:sz w:val="17"/>
          <w:szCs w:val="17"/>
          <w:color w:val="auto"/>
        </w:rPr>
        <w:t>. This guarantee shall be released in accordance with Section 7.02 of the Third Supplemental Indenture.</w:t>
      </w:r>
    </w:p>
    <w:p>
      <w:pPr>
        <w:spacing w:after="0" w:line="237" w:lineRule="exact"/>
        <w:rPr>
          <w:sz w:val="20"/>
          <w:szCs w:val="20"/>
          <w:color w:val="auto"/>
        </w:rPr>
      </w:pPr>
    </w:p>
    <w:p>
      <w:pPr>
        <w:jc w:val="both"/>
        <w:ind w:right="140" w:firstLine="440"/>
        <w:spacing w:after="0" w:line="263" w:lineRule="auto"/>
        <w:rPr>
          <w:sz w:val="20"/>
          <w:szCs w:val="20"/>
          <w:color w:val="auto"/>
        </w:rPr>
      </w:pPr>
      <w:r>
        <w:rPr>
          <w:rFonts w:ascii="Arial" w:cs="Arial" w:eastAsia="Arial" w:hAnsi="Arial"/>
          <w:sz w:val="18"/>
          <w:szCs w:val="18"/>
          <w:color w:val="auto"/>
        </w:rPr>
        <w:t xml:space="preserve">Section 3.3. </w:t>
      </w:r>
      <w:r>
        <w:rPr>
          <w:rFonts w:ascii="Arial" w:cs="Arial" w:eastAsia="Arial" w:hAnsi="Arial"/>
          <w:sz w:val="18"/>
          <w:szCs w:val="18"/>
          <w:i w:val="1"/>
          <w:iCs w:val="1"/>
          <w:color w:val="auto"/>
        </w:rPr>
        <w:t>Parties</w:t>
      </w:r>
      <w:r>
        <w:rPr>
          <w:rFonts w:ascii="Arial" w:cs="Arial" w:eastAsia="Arial" w:hAnsi="Arial"/>
          <w:sz w:val="18"/>
          <w:szCs w:val="18"/>
          <w:color w:val="auto"/>
        </w:rPr>
        <w:t>. Nothing expressed or mentioned herein is intended or shall be construed to give any Person, firm or corporation, other than the Holders and the Trustee, any legal or equitable right, remedy or claim under or in respect of this [   ] Supplemental Indenture or the Indenture or any provision herein or therein contained.</w:t>
      </w:r>
    </w:p>
    <w:p>
      <w:pPr>
        <w:spacing w:after="0" w:line="184" w:lineRule="exact"/>
        <w:rPr>
          <w:sz w:val="20"/>
          <w:szCs w:val="20"/>
          <w:color w:val="auto"/>
        </w:rPr>
      </w:pPr>
    </w:p>
    <w:p>
      <w:pPr>
        <w:ind w:right="60" w:firstLine="440"/>
        <w:spacing w:after="0" w:line="277" w:lineRule="auto"/>
        <w:rPr>
          <w:sz w:val="20"/>
          <w:szCs w:val="20"/>
          <w:color w:val="auto"/>
        </w:rPr>
      </w:pPr>
      <w:r>
        <w:rPr>
          <w:rFonts w:ascii="Arial" w:cs="Arial" w:eastAsia="Arial" w:hAnsi="Arial"/>
          <w:sz w:val="18"/>
          <w:szCs w:val="18"/>
          <w:color w:val="auto"/>
        </w:rPr>
        <w:t xml:space="preserve">Section 3.4. </w:t>
      </w:r>
      <w:r>
        <w:rPr>
          <w:rFonts w:ascii="Arial" w:cs="Arial" w:eastAsia="Arial" w:hAnsi="Arial"/>
          <w:sz w:val="18"/>
          <w:szCs w:val="18"/>
          <w:i w:val="1"/>
          <w:iCs w:val="1"/>
          <w:color w:val="auto"/>
        </w:rPr>
        <w:t>Governing Law</w:t>
      </w:r>
      <w:r>
        <w:rPr>
          <w:rFonts w:ascii="Arial" w:cs="Arial" w:eastAsia="Arial" w:hAnsi="Arial"/>
          <w:sz w:val="18"/>
          <w:szCs w:val="18"/>
          <w:color w:val="auto"/>
        </w:rPr>
        <w:t>. This [   ] Supplemental Indenture shall be governed by, and construed in accordance with, the laws of the State of New York.</w:t>
      </w:r>
    </w:p>
    <w:p>
      <w:pPr>
        <w:spacing w:after="0" w:line="170" w:lineRule="exact"/>
        <w:rPr>
          <w:sz w:val="20"/>
          <w:szCs w:val="20"/>
          <w:color w:val="auto"/>
        </w:rPr>
      </w:pPr>
    </w:p>
    <w:p>
      <w:pPr>
        <w:ind w:right="100" w:firstLine="440"/>
        <w:spacing w:after="0" w:line="263" w:lineRule="auto"/>
        <w:rPr>
          <w:sz w:val="20"/>
          <w:szCs w:val="20"/>
          <w:color w:val="auto"/>
        </w:rPr>
      </w:pPr>
      <w:r>
        <w:rPr>
          <w:rFonts w:ascii="Arial" w:cs="Arial" w:eastAsia="Arial" w:hAnsi="Arial"/>
          <w:sz w:val="18"/>
          <w:szCs w:val="18"/>
          <w:color w:val="auto"/>
        </w:rPr>
        <w:t xml:space="preserve">Section 3.5. </w:t>
      </w:r>
      <w:r>
        <w:rPr>
          <w:rFonts w:ascii="Arial" w:cs="Arial" w:eastAsia="Arial" w:hAnsi="Arial"/>
          <w:sz w:val="18"/>
          <w:szCs w:val="18"/>
          <w:i w:val="1"/>
          <w:iCs w:val="1"/>
          <w:color w:val="auto"/>
        </w:rPr>
        <w:t>Severability</w:t>
      </w:r>
      <w:r>
        <w:rPr>
          <w:rFonts w:ascii="Arial" w:cs="Arial" w:eastAsia="Arial" w:hAnsi="Arial"/>
          <w:sz w:val="18"/>
          <w:szCs w:val="18"/>
          <w:color w:val="auto"/>
        </w:rPr>
        <w:t>. In case any provision in this [   ] Supplemental Indenture shall be invalid, illegal or unenforceable, the validity, legality and enforceability of the remaining provisions shall not in any way be affected or impaired thereby and such provision shall be ineffective only to the extent of such invalidity, illegality or unenforceability.</w:t>
      </w:r>
    </w:p>
    <w:p>
      <w:pPr>
        <w:spacing w:after="0" w:line="184" w:lineRule="exact"/>
        <w:rPr>
          <w:sz w:val="20"/>
          <w:szCs w:val="20"/>
          <w:color w:val="auto"/>
        </w:rPr>
      </w:pPr>
    </w:p>
    <w:p>
      <w:pPr>
        <w:ind w:right="40" w:firstLine="440"/>
        <w:spacing w:after="0" w:line="259" w:lineRule="auto"/>
        <w:rPr>
          <w:sz w:val="20"/>
          <w:szCs w:val="20"/>
          <w:color w:val="auto"/>
        </w:rPr>
      </w:pPr>
      <w:r>
        <w:rPr>
          <w:rFonts w:ascii="Arial" w:cs="Arial" w:eastAsia="Arial" w:hAnsi="Arial"/>
          <w:sz w:val="18"/>
          <w:szCs w:val="18"/>
          <w:color w:val="auto"/>
        </w:rPr>
        <w:t xml:space="preserve">Section 3.6. </w:t>
      </w:r>
      <w:r>
        <w:rPr>
          <w:rFonts w:ascii="Arial" w:cs="Arial" w:eastAsia="Arial" w:hAnsi="Arial"/>
          <w:sz w:val="18"/>
          <w:szCs w:val="18"/>
          <w:i w:val="1"/>
          <w:iCs w:val="1"/>
          <w:color w:val="auto"/>
        </w:rPr>
        <w:t>Benefits Acknowledged</w:t>
      </w:r>
      <w:r>
        <w:rPr>
          <w:rFonts w:ascii="Arial" w:cs="Arial" w:eastAsia="Arial" w:hAnsi="Arial"/>
          <w:sz w:val="18"/>
          <w:szCs w:val="18"/>
          <w:color w:val="auto"/>
        </w:rPr>
        <w:t>. Each Guaranteeing Entity’s guarantee is subject to the terms and conditions set forth in the Indenture. Each Guaranteeing Entity acknowledges that it will receive direct and indirect benefits from the financing arrangements contemplated by the Indenture and this [   ] Supplemental Indenture and that the guarantee and waivers made by it pursuant to this guarantee are knowingly made in contemplation of such benefits.</w:t>
      </w:r>
    </w:p>
    <w:p>
      <w:pPr>
        <w:spacing w:after="0" w:line="187" w:lineRule="exact"/>
        <w:rPr>
          <w:sz w:val="20"/>
          <w:szCs w:val="20"/>
          <w:color w:val="auto"/>
        </w:rPr>
      </w:pPr>
    </w:p>
    <w:p>
      <w:pPr>
        <w:ind w:right="280" w:firstLine="440"/>
        <w:spacing w:after="0" w:line="259" w:lineRule="auto"/>
        <w:rPr>
          <w:sz w:val="20"/>
          <w:szCs w:val="20"/>
          <w:color w:val="auto"/>
        </w:rPr>
      </w:pPr>
      <w:r>
        <w:rPr>
          <w:rFonts w:ascii="Arial" w:cs="Arial" w:eastAsia="Arial" w:hAnsi="Arial"/>
          <w:sz w:val="18"/>
          <w:szCs w:val="18"/>
          <w:color w:val="auto"/>
        </w:rPr>
        <w:t xml:space="preserve">Section 3.7. </w:t>
      </w:r>
      <w:r>
        <w:rPr>
          <w:rFonts w:ascii="Arial" w:cs="Arial" w:eastAsia="Arial" w:hAnsi="Arial"/>
          <w:sz w:val="18"/>
          <w:szCs w:val="18"/>
          <w:i w:val="1"/>
          <w:iCs w:val="1"/>
          <w:color w:val="auto"/>
        </w:rPr>
        <w:t>Ratification of Indenture; Supplemental Indentures Part of Indenture</w:t>
      </w:r>
      <w:r>
        <w:rPr>
          <w:rFonts w:ascii="Arial" w:cs="Arial" w:eastAsia="Arial" w:hAnsi="Arial"/>
          <w:sz w:val="18"/>
          <w:szCs w:val="18"/>
          <w:color w:val="auto"/>
        </w:rPr>
        <w:t>. Except as expressly amended hereby, the Indenture is in all respects ratified and confirmed and all the terms, conditions and provisions thereof shall remain in full force and effect. This [   ] Supplemental Indenture shall form a part of the Indenture for all purposes, and every Holder of Notes heretofore or hereafter authenticated and delivered shall be bound hereby.</w:t>
      </w:r>
    </w:p>
    <w:p>
      <w:pPr>
        <w:spacing w:after="0" w:line="187" w:lineRule="exact"/>
        <w:rPr>
          <w:sz w:val="20"/>
          <w:szCs w:val="20"/>
          <w:color w:val="auto"/>
        </w:rPr>
      </w:pPr>
    </w:p>
    <w:p>
      <w:pPr>
        <w:ind w:right="660" w:firstLine="440"/>
        <w:spacing w:after="0" w:line="308" w:lineRule="auto"/>
        <w:rPr>
          <w:sz w:val="20"/>
          <w:szCs w:val="20"/>
          <w:color w:val="auto"/>
        </w:rPr>
      </w:pPr>
      <w:r>
        <w:rPr>
          <w:rFonts w:ascii="Arial" w:cs="Arial" w:eastAsia="Arial" w:hAnsi="Arial"/>
          <w:sz w:val="17"/>
          <w:szCs w:val="17"/>
          <w:color w:val="auto"/>
        </w:rPr>
        <w:t xml:space="preserve">Section 3.8. </w:t>
      </w:r>
      <w:r>
        <w:rPr>
          <w:rFonts w:ascii="Arial" w:cs="Arial" w:eastAsia="Arial" w:hAnsi="Arial"/>
          <w:sz w:val="17"/>
          <w:szCs w:val="17"/>
          <w:i w:val="1"/>
          <w:iCs w:val="1"/>
          <w:color w:val="auto"/>
        </w:rPr>
        <w:t>The Trustee</w:t>
      </w:r>
      <w:r>
        <w:rPr>
          <w:rFonts w:ascii="Arial" w:cs="Arial" w:eastAsia="Arial" w:hAnsi="Arial"/>
          <w:sz w:val="17"/>
          <w:szCs w:val="17"/>
          <w:color w:val="auto"/>
        </w:rPr>
        <w:t>. The Trustee makes no representation or warranty as to the validity or sufficiency of this [   ] Supplemental Indenture or with respect to the recitals contained herein, all of which recitals are made solely by the other parties hereto.</w:t>
      </w:r>
    </w:p>
    <w:p>
      <w:pPr>
        <w:spacing w:after="0" w:line="146" w:lineRule="exact"/>
        <w:rPr>
          <w:sz w:val="20"/>
          <w:szCs w:val="20"/>
          <w:color w:val="auto"/>
        </w:rPr>
      </w:pPr>
    </w:p>
    <w:p>
      <w:pPr>
        <w:ind w:firstLine="440"/>
        <w:spacing w:after="0" w:line="287" w:lineRule="auto"/>
        <w:rPr>
          <w:sz w:val="20"/>
          <w:szCs w:val="20"/>
          <w:color w:val="auto"/>
        </w:rPr>
      </w:pPr>
      <w:r>
        <w:rPr>
          <w:rFonts w:ascii="Arial" w:cs="Arial" w:eastAsia="Arial" w:hAnsi="Arial"/>
          <w:sz w:val="16"/>
          <w:szCs w:val="16"/>
          <w:color w:val="auto"/>
        </w:rPr>
        <w:t xml:space="preserve">Section 3.9. </w:t>
      </w:r>
      <w:r>
        <w:rPr>
          <w:rFonts w:ascii="Arial" w:cs="Arial" w:eastAsia="Arial" w:hAnsi="Arial"/>
          <w:sz w:val="16"/>
          <w:szCs w:val="16"/>
          <w:i w:val="1"/>
          <w:iCs w:val="1"/>
          <w:color w:val="auto"/>
        </w:rPr>
        <w:t>Counterparts</w:t>
      </w:r>
      <w:r>
        <w:rPr>
          <w:rFonts w:ascii="Arial" w:cs="Arial" w:eastAsia="Arial" w:hAnsi="Arial"/>
          <w:sz w:val="16"/>
          <w:szCs w:val="16"/>
          <w:color w:val="auto"/>
        </w:rPr>
        <w:t>. The parties hereto may sign any number of copies of this [   ] Supplemental Indenture. Each signed copy shall be an original, but all of them together represent the same agreement. The exchange of copies of this [   ] Supplemental Indenture and of signature pages by facsimile or PDF transmission shall constitute effective execution and delivery of this [   ] Supplemental Indenture as to the parties hereto and may be used in lieu of the original Supplemental Indenture for all purposes. Signatures of the parties hereto transmitted by facsimile or PDF shall be deemed to be their original signatures for all purposes.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[   ] Supplemental Indenture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ectPr>
          <w:pgSz w:w="11900" w:h="16838" w:orient="portrait"/>
          <w:cols w:equalWidth="0" w:num="1">
            <w:col w:w="10980"/>
          </w:cols>
          <w:pgMar w:left="440" w:top="274" w:right="479" w:bottom="1440" w:gutter="0" w:footer="0" w:header="0"/>
        </w:sectPr>
      </w:pPr>
    </w:p>
    <w:bookmarkStart w:id="88" w:name="page89"/>
    <w:bookmarkEnd w:id="88"/>
    <w:p>
      <w:pPr>
        <w:ind w:firstLine="440"/>
        <w:spacing w:after="0" w:line="277" w:lineRule="auto"/>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3.10. </w:t>
      </w:r>
      <w:r>
        <w:rPr>
          <w:rFonts w:ascii="Arial" w:cs="Arial" w:eastAsia="Arial" w:hAnsi="Arial"/>
          <w:sz w:val="18"/>
          <w:szCs w:val="18"/>
          <w:i w:val="1"/>
          <w:iCs w:val="1"/>
          <w:color w:val="auto"/>
        </w:rPr>
        <w:t>Execution and Delivery</w:t>
      </w:r>
      <w:r>
        <w:rPr>
          <w:rFonts w:ascii="Arial" w:cs="Arial" w:eastAsia="Arial" w:hAnsi="Arial"/>
          <w:sz w:val="18"/>
          <w:szCs w:val="18"/>
          <w:color w:val="auto"/>
        </w:rPr>
        <w:t>. Each Guaranteeing Entity agrees that its guarantee shall remain in full force and effect notwithstanding any failure to endorse on each Note a notation of any such guarantee.</w:t>
      </w:r>
    </w:p>
    <w:p>
      <w:pPr>
        <w:spacing w:after="0" w:line="170" w:lineRule="exact"/>
        <w:rPr>
          <w:sz w:val="20"/>
          <w:szCs w:val="20"/>
          <w:color w:val="auto"/>
        </w:rPr>
      </w:pPr>
    </w:p>
    <w:p>
      <w:pPr>
        <w:ind w:right="140" w:firstLine="440"/>
        <w:spacing w:after="0" w:line="277" w:lineRule="auto"/>
        <w:rPr>
          <w:sz w:val="20"/>
          <w:szCs w:val="20"/>
          <w:color w:val="auto"/>
        </w:rPr>
      </w:pPr>
      <w:r>
        <w:rPr>
          <w:rFonts w:ascii="Arial" w:cs="Arial" w:eastAsia="Arial" w:hAnsi="Arial"/>
          <w:sz w:val="18"/>
          <w:szCs w:val="18"/>
          <w:color w:val="auto"/>
        </w:rPr>
        <w:t xml:space="preserve">Section 3.11. </w:t>
      </w:r>
      <w:r>
        <w:rPr>
          <w:rFonts w:ascii="Arial" w:cs="Arial" w:eastAsia="Arial" w:hAnsi="Arial"/>
          <w:sz w:val="18"/>
          <w:szCs w:val="18"/>
          <w:i w:val="1"/>
          <w:iCs w:val="1"/>
          <w:color w:val="auto"/>
        </w:rPr>
        <w:t>Headings</w:t>
      </w:r>
      <w:r>
        <w:rPr>
          <w:rFonts w:ascii="Arial" w:cs="Arial" w:eastAsia="Arial" w:hAnsi="Arial"/>
          <w:sz w:val="18"/>
          <w:szCs w:val="18"/>
          <w:color w:val="auto"/>
        </w:rPr>
        <w:t>. The headings of the Articles and the Sections in this [   ] Supplemental Indenture are for convenience of reference only and shall not be deemed to alter or affect the meaning or interpretation of any provisions hereof.</w:t>
      </w:r>
    </w:p>
    <w:p>
      <w:pPr>
        <w:spacing w:after="0" w:line="170" w:lineRule="exact"/>
        <w:rPr>
          <w:sz w:val="20"/>
          <w:szCs w:val="20"/>
          <w:color w:val="auto"/>
        </w:rPr>
      </w:pPr>
    </w:p>
    <w:p>
      <w:pPr>
        <w:ind w:right="300" w:firstLine="440"/>
        <w:spacing w:after="0" w:line="277" w:lineRule="auto"/>
        <w:rPr>
          <w:sz w:val="20"/>
          <w:szCs w:val="20"/>
          <w:color w:val="auto"/>
        </w:rPr>
      </w:pPr>
      <w:r>
        <w:rPr>
          <w:rFonts w:ascii="Arial" w:cs="Arial" w:eastAsia="Arial" w:hAnsi="Arial"/>
          <w:sz w:val="18"/>
          <w:szCs w:val="18"/>
          <w:color w:val="auto"/>
        </w:rPr>
        <w:t>IN WITNESS WHEREOF, the parties hereto have caused this [   ] Supplemental Indenture to be duly executed as of the date first above written.</w:t>
      </w:r>
    </w:p>
    <w:p>
      <w:pPr>
        <w:spacing w:after="0" w:line="197"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[GUARANTEEING ENTITY],</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a Guarantor</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MARVELL TECHNOLOGY, INC.</w:t>
      </w:r>
    </w:p>
    <w:p>
      <w:pPr>
        <w:spacing w:after="0" w:line="225"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8">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pacing w:after="0" w:line="211"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U.S. BANK TRUST COMPANY, NATIONAL</w:t>
      </w:r>
    </w:p>
    <w:p>
      <w:pPr>
        <w:spacing w:after="0" w:line="23"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ASSOCIATION,</w:t>
      </w:r>
    </w:p>
    <w:p>
      <w:pPr>
        <w:spacing w:after="0" w:line="9"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as Trustee</w:t>
      </w:r>
    </w:p>
    <w:p>
      <w:pPr>
        <w:spacing w:after="0" w:line="224" w:lineRule="exact"/>
        <w:rPr>
          <w:sz w:val="20"/>
          <w:szCs w:val="20"/>
          <w:color w:val="auto"/>
        </w:rPr>
      </w:pPr>
    </w:p>
    <w:p>
      <w:pPr>
        <w:ind w:left="6620"/>
        <w:spacing w:after="0"/>
        <w:rPr>
          <w:sz w:val="20"/>
          <w:szCs w:val="20"/>
          <w:color w:val="auto"/>
        </w:rPr>
      </w:pPr>
      <w:r>
        <w:rPr>
          <w:rFonts w:ascii="Arial" w:cs="Arial" w:eastAsia="Arial" w:hAnsi="Arial"/>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14605</wp:posOffset>
            </wp:positionV>
            <wp:extent cx="2597150" cy="825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9">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Arial" w:cs="Arial" w:eastAsia="Arial" w:hAnsi="Arial"/>
          <w:sz w:val="18"/>
          <w:szCs w:val="18"/>
          <w:color w:val="auto"/>
        </w:rPr>
        <w:t>Title:</w:t>
      </w:r>
    </w:p>
    <w:p>
      <w:pPr>
        <w:sectPr>
          <w:pgSz w:w="11900" w:h="16838" w:orient="portrait"/>
          <w:cols w:equalWidth="0" w:num="1">
            <w:col w:w="10940"/>
          </w:cols>
          <w:pgMar w:left="440" w:top="274" w:right="519" w:bottom="1440" w:gutter="0" w:footer="0" w:header="0"/>
        </w:sectPr>
      </w:pPr>
    </w:p>
    <w:bookmarkStart w:id="89" w:name="page90"/>
    <w:bookmarkEnd w:id="89"/>
    <w:p>
      <w:pPr>
        <w:jc w:val="right"/>
        <w:spacing w:after="0"/>
        <w:rPr>
          <w:sz w:val="20"/>
          <w:szCs w:val="20"/>
          <w:color w:val="auto"/>
        </w:rPr>
      </w:pPr>
      <w:r>
        <w:rPr>
          <w:rFonts w:ascii="Arial" w:cs="Arial" w:eastAsia="Arial" w:hAnsi="Arial"/>
          <w:sz w:val="18"/>
          <w:szCs w:val="18"/>
          <w:b w:val="1"/>
          <w:bCs w:val="1"/>
          <w:color w:val="auto"/>
        </w:rPr>
        <w:t>Exhibit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4517390</wp:posOffset>
            </wp:positionH>
            <wp:positionV relativeFrom="paragraph">
              <wp:posOffset>171450</wp:posOffset>
            </wp:positionV>
            <wp:extent cx="2477135" cy="17145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0">
                      <a:extLst>
                        <a:ext uri="{28A0092B-C50C-407E-A947-70E740481C1C}"/>
                      </a:extLst>
                    </a:blip>
                    <a:srcRect/>
                    <a:stretch>
                      <a:fillRect/>
                    </a:stretch>
                  </pic:blipFill>
                  <pic:spPr bwMode="auto">
                    <a:xfrm>
                      <a:off x="0" y="0"/>
                      <a:ext cx="2477135" cy="1714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right"/>
        <w:spacing w:after="0"/>
        <w:rPr>
          <w:sz w:val="20"/>
          <w:szCs w:val="20"/>
          <w:color w:val="auto"/>
        </w:rPr>
      </w:pPr>
      <w:r>
        <w:rPr>
          <w:rFonts w:ascii="Arial" w:cs="Arial" w:eastAsia="Arial" w:hAnsi="Arial"/>
          <w:sz w:val="18"/>
          <w:szCs w:val="18"/>
          <w:color w:val="auto"/>
        </w:rPr>
        <w:t>767 Fifth Avenue</w:t>
      </w:r>
    </w:p>
    <w:p>
      <w:pPr>
        <w:spacing w:after="0" w:line="23" w:lineRule="exact"/>
        <w:rPr>
          <w:sz w:val="20"/>
          <w:szCs w:val="20"/>
          <w:color w:val="auto"/>
        </w:rPr>
      </w:pPr>
    </w:p>
    <w:p>
      <w:pPr>
        <w:jc w:val="right"/>
        <w:spacing w:after="0"/>
        <w:rPr>
          <w:sz w:val="20"/>
          <w:szCs w:val="20"/>
          <w:color w:val="auto"/>
        </w:rPr>
      </w:pPr>
      <w:r>
        <w:rPr>
          <w:rFonts w:ascii="Arial" w:cs="Arial" w:eastAsia="Arial" w:hAnsi="Arial"/>
          <w:sz w:val="18"/>
          <w:szCs w:val="18"/>
          <w:color w:val="auto"/>
        </w:rPr>
        <w:t>New York, NY 10153-0119</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+1 212 310 8000 tel</w:t>
      </w:r>
    </w:p>
    <w:p>
      <w:pPr>
        <w:spacing w:after="0" w:line="9" w:lineRule="exact"/>
        <w:rPr>
          <w:sz w:val="20"/>
          <w:szCs w:val="20"/>
          <w:color w:val="auto"/>
        </w:rPr>
      </w:pPr>
    </w:p>
    <w:p>
      <w:pPr>
        <w:jc w:val="right"/>
        <w:spacing w:after="0"/>
        <w:rPr>
          <w:sz w:val="20"/>
          <w:szCs w:val="20"/>
          <w:color w:val="auto"/>
        </w:rPr>
      </w:pPr>
      <w:r>
        <w:rPr>
          <w:rFonts w:ascii="Arial" w:cs="Arial" w:eastAsia="Arial" w:hAnsi="Arial"/>
          <w:sz w:val="18"/>
          <w:szCs w:val="18"/>
          <w:color w:val="auto"/>
        </w:rPr>
        <w:t>+1 212 310 8007 fax</w:t>
      </w:r>
    </w:p>
    <w:p>
      <w:pPr>
        <w:spacing w:after="0" w:line="224" w:lineRule="exact"/>
        <w:rPr>
          <w:sz w:val="20"/>
          <w:szCs w:val="20"/>
          <w:color w:val="auto"/>
        </w:rPr>
      </w:pPr>
    </w:p>
    <w:p>
      <w:pPr>
        <w:ind w:left="4"/>
        <w:spacing w:after="0"/>
        <w:rPr>
          <w:sz w:val="20"/>
          <w:szCs w:val="20"/>
          <w:color w:val="auto"/>
        </w:rPr>
      </w:pPr>
      <w:r>
        <w:rPr>
          <w:rFonts w:ascii="Arial" w:cs="Arial" w:eastAsia="Arial" w:hAnsi="Arial"/>
          <w:sz w:val="18"/>
          <w:szCs w:val="18"/>
          <w:color w:val="auto"/>
        </w:rPr>
        <w:t>September 18, 2023</w:t>
      </w:r>
    </w:p>
    <w:p>
      <w:pPr>
        <w:spacing w:after="0" w:line="225" w:lineRule="exact"/>
        <w:rPr>
          <w:sz w:val="20"/>
          <w:szCs w:val="20"/>
          <w:color w:val="auto"/>
        </w:rPr>
      </w:pPr>
    </w:p>
    <w:p>
      <w:pPr>
        <w:ind w:left="4"/>
        <w:spacing w:after="0"/>
        <w:rPr>
          <w:sz w:val="20"/>
          <w:szCs w:val="20"/>
          <w:color w:val="auto"/>
        </w:rPr>
      </w:pPr>
      <w:r>
        <w:rPr>
          <w:rFonts w:ascii="Arial" w:cs="Arial" w:eastAsia="Arial" w:hAnsi="Arial"/>
          <w:sz w:val="18"/>
          <w:szCs w:val="18"/>
          <w:color w:val="auto"/>
        </w:rPr>
        <w:t>Marvell Technology, Inc.</w:t>
      </w:r>
    </w:p>
    <w:p>
      <w:pPr>
        <w:spacing w:after="0" w:line="23" w:lineRule="exact"/>
        <w:rPr>
          <w:sz w:val="20"/>
          <w:szCs w:val="20"/>
          <w:color w:val="auto"/>
        </w:rPr>
      </w:pPr>
    </w:p>
    <w:p>
      <w:pPr>
        <w:ind w:left="4"/>
        <w:spacing w:after="0"/>
        <w:rPr>
          <w:sz w:val="20"/>
          <w:szCs w:val="20"/>
          <w:color w:val="auto"/>
        </w:rPr>
      </w:pPr>
      <w:r>
        <w:rPr>
          <w:rFonts w:ascii="Arial" w:cs="Arial" w:eastAsia="Arial" w:hAnsi="Arial"/>
          <w:sz w:val="18"/>
          <w:szCs w:val="18"/>
          <w:color w:val="auto"/>
        </w:rPr>
        <w:t>1000 N. West Street, Suite 1200</w:t>
      </w:r>
    </w:p>
    <w:p>
      <w:pPr>
        <w:spacing w:after="0" w:line="9" w:lineRule="exact"/>
        <w:rPr>
          <w:sz w:val="20"/>
          <w:szCs w:val="20"/>
          <w:color w:val="auto"/>
        </w:rPr>
      </w:pPr>
    </w:p>
    <w:p>
      <w:pPr>
        <w:ind w:left="4"/>
        <w:spacing w:after="0"/>
        <w:rPr>
          <w:sz w:val="20"/>
          <w:szCs w:val="20"/>
          <w:color w:val="auto"/>
        </w:rPr>
      </w:pPr>
      <w:r>
        <w:rPr>
          <w:rFonts w:ascii="Arial" w:cs="Arial" w:eastAsia="Arial" w:hAnsi="Arial"/>
          <w:sz w:val="18"/>
          <w:szCs w:val="18"/>
          <w:color w:val="auto"/>
        </w:rPr>
        <w:t>Wilmington, DE 19801</w:t>
      </w:r>
    </w:p>
    <w:p>
      <w:pPr>
        <w:spacing w:after="0" w:line="211" w:lineRule="exact"/>
        <w:rPr>
          <w:sz w:val="20"/>
          <w:szCs w:val="20"/>
          <w:color w:val="auto"/>
        </w:rPr>
      </w:pPr>
    </w:p>
    <w:p>
      <w:pPr>
        <w:ind w:left="4"/>
        <w:spacing w:after="0"/>
        <w:rPr>
          <w:sz w:val="20"/>
          <w:szCs w:val="20"/>
          <w:color w:val="auto"/>
        </w:rPr>
      </w:pPr>
      <w:r>
        <w:rPr>
          <w:rFonts w:ascii="Arial" w:cs="Arial" w:eastAsia="Arial" w:hAnsi="Arial"/>
          <w:sz w:val="18"/>
          <w:szCs w:val="18"/>
          <w:color w:val="auto"/>
        </w:rPr>
        <w:t>Ladies and Gentlemen:</w:t>
      </w:r>
    </w:p>
    <w:p>
      <w:pPr>
        <w:spacing w:after="0" w:line="117" w:lineRule="exact"/>
        <w:rPr>
          <w:sz w:val="20"/>
          <w:szCs w:val="20"/>
          <w:color w:val="auto"/>
        </w:rPr>
      </w:pPr>
    </w:p>
    <w:p>
      <w:pPr>
        <w:ind w:left="4" w:right="80"/>
        <w:spacing w:after="0" w:line="254" w:lineRule="auto"/>
        <w:rPr>
          <w:sz w:val="20"/>
          <w:szCs w:val="20"/>
          <w:color w:val="auto"/>
        </w:rPr>
      </w:pPr>
      <w:r>
        <w:rPr>
          <w:rFonts w:ascii="Arial" w:cs="Arial" w:eastAsia="Arial" w:hAnsi="Arial"/>
          <w:sz w:val="18"/>
          <w:szCs w:val="18"/>
          <w:color w:val="auto"/>
        </w:rPr>
        <w:t>We have acted as counsel to Marvell Technology, Inc., a Delaware corporation (the “Company”), in connection with the issuance and sale by the Company of $500,000,000 aggregate principal amount of its 5.750% Senior Notes due 2029 (the “2029 Notes”) and $500,000,000 aggregate principal amount of its 5.950% Senior Notes due 2033 (the “2033 Notes” and, together with the 2029 Notes, the “Notes”). The Notes were issued under an Indenture, dated as of April 12, 2021 (the “Base Indenture”), between the Company and U.S. Bank Trust Company, National Association (successor in interest to U.S. Bank National Association), as trustee (the “Trustee”), as amended and supplemented by the third supplemental indenture, dated as of September 18, 2023, between the Company and the Trustee, setting forth the terms of the Notes (the “Third Supplemental Indenture” and, together with the Base Indenture, the “Indenture”).</w:t>
      </w:r>
    </w:p>
    <w:p>
      <w:pPr>
        <w:spacing w:after="0" w:line="195" w:lineRule="exact"/>
        <w:rPr>
          <w:sz w:val="20"/>
          <w:szCs w:val="20"/>
          <w:color w:val="auto"/>
        </w:rPr>
      </w:pPr>
    </w:p>
    <w:p>
      <w:pPr>
        <w:ind w:left="4" w:right="80"/>
        <w:spacing w:after="0" w:line="286" w:lineRule="auto"/>
        <w:rPr>
          <w:sz w:val="20"/>
          <w:szCs w:val="20"/>
          <w:color w:val="auto"/>
        </w:rPr>
      </w:pPr>
      <w:r>
        <w:rPr>
          <w:rFonts w:ascii="Arial" w:cs="Arial" w:eastAsia="Arial" w:hAnsi="Arial"/>
          <w:sz w:val="16"/>
          <w:szCs w:val="16"/>
          <w:color w:val="auto"/>
        </w:rPr>
        <w:t>In so acting, we have examined originals or copies (certified or otherwise identified to our satisfaction) of (i) the Company’s Registration Statement on Form S-3 (File No. 333-259141) filed with the Securities and Exchange Commission (the “Commission”) on August 27, 2021 and declared effective on September 7, 2021 (the “Registration Statement”); (ii) the prospectus, dated August 27, 2021, contained within the Registration Statement (the “Base Prospectus”); (iii) the prospectus supplement, dated September 11, 2023 (together with the Base Prospectus, the “Prospectus”); (iv) the Base Indenture;</w:t>
      </w:r>
    </w:p>
    <w:p>
      <w:pPr>
        <w:spacing w:after="0" w:line="1" w:lineRule="exact"/>
        <w:rPr>
          <w:sz w:val="20"/>
          <w:szCs w:val="20"/>
          <w:color w:val="auto"/>
        </w:rPr>
      </w:pPr>
    </w:p>
    <w:p>
      <w:pPr>
        <w:ind w:left="264" w:hanging="264"/>
        <w:spacing w:after="0"/>
        <w:tabs>
          <w:tab w:leader="none" w:pos="264" w:val="left"/>
        </w:tabs>
        <w:numPr>
          <w:ilvl w:val="0"/>
          <w:numId w:val="100"/>
        </w:numPr>
        <w:rPr>
          <w:rFonts w:ascii="Arial" w:cs="Arial" w:eastAsia="Arial" w:hAnsi="Arial"/>
          <w:sz w:val="17"/>
          <w:szCs w:val="17"/>
          <w:color w:val="auto"/>
        </w:rPr>
      </w:pPr>
      <w:r>
        <w:rPr>
          <w:rFonts w:ascii="Arial" w:cs="Arial" w:eastAsia="Arial" w:hAnsi="Arial"/>
          <w:sz w:val="17"/>
          <w:szCs w:val="17"/>
          <w:color w:val="auto"/>
        </w:rPr>
        <w:t>the Third Supplemental Indenture; (vi) the global certificate representing the 2029 Notes and the global certificate representing the 2033 Notes;</w:t>
      </w:r>
    </w:p>
    <w:p>
      <w:pPr>
        <w:spacing w:after="0" w:line="20" w:lineRule="exact"/>
        <w:rPr>
          <w:rFonts w:ascii="Arial" w:cs="Arial" w:eastAsia="Arial" w:hAnsi="Arial"/>
          <w:sz w:val="17"/>
          <w:szCs w:val="17"/>
          <w:color w:val="auto"/>
        </w:rPr>
      </w:pPr>
    </w:p>
    <w:p>
      <w:pPr>
        <w:ind w:left="4" w:right="100" w:hanging="4"/>
        <w:spacing w:after="0" w:line="253" w:lineRule="auto"/>
        <w:tabs>
          <w:tab w:leader="none" w:pos="359" w:val="left"/>
        </w:tabs>
        <w:numPr>
          <w:ilvl w:val="0"/>
          <w:numId w:val="101"/>
        </w:numPr>
        <w:rPr>
          <w:rFonts w:ascii="Arial" w:cs="Arial" w:eastAsia="Arial" w:hAnsi="Arial"/>
          <w:sz w:val="18"/>
          <w:szCs w:val="18"/>
          <w:color w:val="auto"/>
        </w:rPr>
      </w:pPr>
      <w:r>
        <w:rPr>
          <w:rFonts w:ascii="Arial" w:cs="Arial" w:eastAsia="Arial" w:hAnsi="Arial"/>
          <w:sz w:val="18"/>
          <w:szCs w:val="18"/>
          <w:color w:val="auto"/>
        </w:rPr>
        <w:t>the Underwriting Agreement, dated September 11, 2023, among the Company and J.P. Morgan Securities LLC, BofA Securities, Inc. and Wells Fargo Securities, LLC, as representatives of the several underwriters named in Schedule 1 therein; and (viii) such corporate records, agreements, documents and other instruments, and such certificates or comparable documents of public officials and of officers and representatives of the Company, and have made such inquiries of such officers and representatives, as we have deemed relevant and necessary as a basis for the opinions hereinafter set forth.</w:t>
      </w:r>
    </w:p>
    <w:p>
      <w:pPr>
        <w:sectPr>
          <w:pgSz w:w="11900" w:h="16838" w:orient="portrait"/>
          <w:cols w:equalWidth="0" w:num="1">
            <w:col w:w="11024"/>
          </w:cols>
          <w:pgMar w:left="436" w:top="121" w:right="439" w:bottom="1440" w:gutter="0" w:footer="0" w:header="0"/>
        </w:sectPr>
      </w:pPr>
    </w:p>
    <w:bookmarkStart w:id="90" w:name="page91"/>
    <w:bookmarkEnd w:id="90"/>
    <w:p>
      <w:pPr>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September 18, 2023</w:t>
      </w:r>
    </w:p>
    <w:p>
      <w:pPr>
        <w:spacing w:after="0" w:line="23" w:lineRule="exact"/>
        <w:rPr>
          <w:sz w:val="20"/>
          <w:szCs w:val="20"/>
          <w:color w:val="auto"/>
        </w:rPr>
      </w:pPr>
    </w:p>
    <w:p>
      <w:pPr>
        <w:spacing w:after="0"/>
        <w:rPr>
          <w:sz w:val="20"/>
          <w:szCs w:val="20"/>
          <w:color w:val="auto"/>
        </w:rPr>
      </w:pPr>
      <w:r>
        <w:rPr>
          <w:rFonts w:ascii="Arial" w:cs="Arial" w:eastAsia="Arial" w:hAnsi="Arial"/>
          <w:sz w:val="18"/>
          <w:szCs w:val="18"/>
          <w:color w:val="auto"/>
        </w:rPr>
        <w:t>Page 2</w:t>
      </w:r>
    </w:p>
    <w:p>
      <w:pPr>
        <w:spacing w:after="0" w:line="143" w:lineRule="exact"/>
        <w:rPr>
          <w:sz w:val="20"/>
          <w:szCs w:val="20"/>
          <w:color w:val="auto"/>
        </w:rPr>
      </w:pPr>
    </w:p>
    <w:p>
      <w:pPr>
        <w:spacing w:after="0" w:line="279" w:lineRule="auto"/>
        <w:rPr>
          <w:sz w:val="20"/>
          <w:szCs w:val="20"/>
          <w:color w:val="auto"/>
        </w:rPr>
      </w:pPr>
      <w:r>
        <w:rPr>
          <w:rFonts w:ascii="Arial" w:cs="Arial" w:eastAsia="Arial" w:hAnsi="Arial"/>
          <w:sz w:val="17"/>
          <w:szCs w:val="17"/>
          <w:color w:val="auto"/>
        </w:rPr>
        <w:t>In such examination, we have assumed the genuineness of all signatures, the legal capacity of all natural persons, the authenticity of all documents submitted to us as originals, the conformity to original documents of all documents submitted to us as certified, conformed or photostatic copies and the authenticity of the originals of such latter documents. As to all questions of fact material to this opinion that have not been independently established, we have relied upon certificates or comparable documents of officers and representatives of the Company.</w:t>
      </w:r>
    </w:p>
    <w:p>
      <w:pPr>
        <w:spacing w:after="0" w:line="171" w:lineRule="exact"/>
        <w:rPr>
          <w:sz w:val="20"/>
          <w:szCs w:val="20"/>
          <w:color w:val="auto"/>
        </w:rPr>
      </w:pPr>
    </w:p>
    <w:p>
      <w:pPr>
        <w:ind w:right="140"/>
        <w:spacing w:after="0" w:line="296" w:lineRule="auto"/>
        <w:rPr>
          <w:sz w:val="20"/>
          <w:szCs w:val="20"/>
          <w:color w:val="auto"/>
        </w:rPr>
      </w:pPr>
      <w:r>
        <w:rPr>
          <w:rFonts w:ascii="Arial" w:cs="Arial" w:eastAsia="Arial" w:hAnsi="Arial"/>
          <w:sz w:val="16"/>
          <w:szCs w:val="16"/>
          <w:color w:val="auto"/>
        </w:rPr>
        <w:t>Based on the foregoing, and subject to the qualifications stated herein, we are of the opinion that the Notes (assuming due authentication and delivery thereof by the Trustee in accordance with the terms of the Indenture) constitute the legal, valid and binding obligations of the Company, enforceable against the Company in accordance with their terms, subject to applicable bankruptcy, insolvency, fraudulent conveyance, reorganization, moratorium and similar laws affecting creditors’ rights and remedies generally, and subject, as to enforceability, to general principles of equity, including principles of commercial reasonableness, good faith and fair dealing (regardless of whether enforcement is sought in a proceeding at law or in equity).</w:t>
      </w:r>
    </w:p>
    <w:p>
      <w:pPr>
        <w:spacing w:after="0" w:line="161" w:lineRule="exact"/>
        <w:rPr>
          <w:sz w:val="20"/>
          <w:szCs w:val="20"/>
          <w:color w:val="auto"/>
        </w:rPr>
      </w:pPr>
    </w:p>
    <w:p>
      <w:pPr>
        <w:ind w:right="20"/>
        <w:spacing w:after="0" w:line="277" w:lineRule="auto"/>
        <w:rPr>
          <w:sz w:val="20"/>
          <w:szCs w:val="20"/>
          <w:color w:val="auto"/>
        </w:rPr>
      </w:pPr>
      <w:r>
        <w:rPr>
          <w:rFonts w:ascii="Arial" w:cs="Arial" w:eastAsia="Arial" w:hAnsi="Arial"/>
          <w:sz w:val="18"/>
          <w:szCs w:val="18"/>
          <w:color w:val="auto"/>
        </w:rPr>
        <w:t>The opinion expressed herein is limited to the corporate laws of the State of Delaware and the laws of the State of New York, and we express no opinion as to the effect on the matters covered by this letter of the laws of any other jurisdiction.</w:t>
      </w:r>
    </w:p>
    <w:p>
      <w:pPr>
        <w:spacing w:after="0" w:line="170" w:lineRule="exact"/>
        <w:rPr>
          <w:sz w:val="20"/>
          <w:szCs w:val="20"/>
          <w:color w:val="auto"/>
        </w:rPr>
      </w:pPr>
    </w:p>
    <w:p>
      <w:pPr>
        <w:ind w:right="260"/>
        <w:spacing w:after="0" w:line="286" w:lineRule="auto"/>
        <w:rPr>
          <w:sz w:val="20"/>
          <w:szCs w:val="20"/>
          <w:color w:val="auto"/>
        </w:rPr>
      </w:pPr>
      <w:r>
        <w:rPr>
          <w:rFonts w:ascii="Arial" w:cs="Arial" w:eastAsia="Arial" w:hAnsi="Arial"/>
          <w:sz w:val="17"/>
          <w:szCs w:val="17"/>
          <w:color w:val="auto"/>
        </w:rPr>
        <w:t>We hereby consent to the filing of this letter as an exhibit to the Registration Statement and to the reference to our firm under the caption “Legal Matters” in the Prospectus which is a part of the Registration Statement. In giving such consent we do not hereby admit that we are in the category of persons whose consent is required under Section 7 of the Securities Act or the rules and regulations of the Commission.</w:t>
      </w:r>
    </w:p>
    <w:p>
      <w:pPr>
        <w:spacing w:after="0" w:line="192" w:lineRule="exact"/>
        <w:rPr>
          <w:sz w:val="20"/>
          <w:szCs w:val="20"/>
          <w:color w:val="auto"/>
        </w:rPr>
      </w:pPr>
    </w:p>
    <w:p>
      <w:pPr>
        <w:spacing w:after="0"/>
        <w:rPr>
          <w:sz w:val="20"/>
          <w:szCs w:val="20"/>
          <w:color w:val="auto"/>
        </w:rPr>
      </w:pPr>
      <w:r>
        <w:rPr>
          <w:rFonts w:ascii="Arial" w:cs="Arial" w:eastAsia="Arial" w:hAnsi="Arial"/>
          <w:sz w:val="18"/>
          <w:szCs w:val="18"/>
          <w:color w:val="auto"/>
        </w:rPr>
        <w:t>Very truly yours,</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/s/ Weil, Gotshal &amp; Manges LLP</w:t>
      </w:r>
    </w:p>
    <w:sectPr>
      <w:pgSz w:w="11900" w:h="16838" w:orient="portrait"/>
      <w:cols w:equalWidth="0" w:num="1">
        <w:col w:w="11000"/>
      </w:cols>
      <w:pgMar w:left="440" w:top="274"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BA026FA"/>
    <w:multiLevelType w:val="hybridMultilevel"/>
    <w:lvl w:ilvl="0">
      <w:lvlJc w:val="left"/>
      <w:lvlText w:val="☐"/>
      <w:numFmt w:val="bullet"/>
      <w:start w:val="1"/>
    </w:lvl>
  </w:abstractNum>
  <w:abstractNum w:abstractNumId="1">
    <w:nsid w:val="79A1DEAA"/>
    <w:multiLevelType w:val="hybridMultilevel"/>
    <w:lvl w:ilvl="0">
      <w:lvlJc w:val="left"/>
      <w:lvlText w:val="%1."/>
      <w:numFmt w:val="decimal"/>
      <w:start w:val="1"/>
    </w:lvl>
  </w:abstractNum>
  <w:abstractNum w:abstractNumId="2">
    <w:nsid w:val="75C6C33A"/>
    <w:multiLevelType w:val="hybridMultilevel"/>
    <w:lvl w:ilvl="0">
      <w:lvlJc w:val="left"/>
      <w:lvlText w:val="%1."/>
      <w:numFmt w:val="decimal"/>
      <w:start w:val="2"/>
    </w:lvl>
  </w:abstractNum>
  <w:abstractNum w:abstractNumId="3">
    <w:nsid w:val="12E685FB"/>
    <w:multiLevelType w:val="hybridMultilevel"/>
    <w:lvl w:ilvl="0">
      <w:lvlJc w:val="left"/>
      <w:lvlText w:val="(%1)"/>
      <w:numFmt w:val="lowerLetter"/>
      <w:start w:val="1"/>
    </w:lvl>
  </w:abstractNum>
  <w:abstractNum w:abstractNumId="4">
    <w:nsid w:val="70C6A529"/>
    <w:multiLevelType w:val="hybridMultilevel"/>
    <w:lvl w:ilvl="0">
      <w:lvlJc w:val="left"/>
      <w:lvlText w:val="(%1)"/>
      <w:numFmt w:val="lowerLetter"/>
      <w:start w:val="2"/>
    </w:lvl>
  </w:abstractNum>
  <w:abstractNum w:abstractNumId="5">
    <w:nsid w:val="520EEDD1"/>
    <w:multiLevelType w:val="hybridMultilevel"/>
    <w:lvl w:ilvl="0">
      <w:lvlJc w:val="left"/>
      <w:lvlText w:val="(%1)"/>
      <w:numFmt w:val="lowerLetter"/>
      <w:start w:val="1"/>
    </w:lvl>
  </w:abstractNum>
  <w:abstractNum w:abstractNumId="6">
    <w:nsid w:val="374A3FE6"/>
    <w:multiLevelType w:val="hybridMultilevel"/>
    <w:lvl w:ilvl="0">
      <w:lvlJc w:val="left"/>
      <w:lvlText w:val="(%1)"/>
      <w:numFmt w:val="lowerLetter"/>
      <w:start w:val="4"/>
    </w:lvl>
  </w:abstractNum>
  <w:abstractNum w:abstractNumId="7">
    <w:nsid w:val="4F4EF005"/>
    <w:multiLevelType w:val="hybridMultilevel"/>
    <w:lvl w:ilvl="0">
      <w:lvlJc w:val="left"/>
      <w:lvlText w:val="(%1)"/>
      <w:numFmt w:val="lowerLetter"/>
      <w:start w:val="7"/>
    </w:lvl>
  </w:abstractNum>
  <w:abstractNum w:abstractNumId="8">
    <w:nsid w:val="23F9C13C"/>
    <w:multiLevelType w:val="hybridMultilevel"/>
    <w:lvl w:ilvl="0">
      <w:lvlJc w:val="left"/>
      <w:lvlText w:val="(%1)"/>
      <w:numFmt w:val="lowerLetter"/>
      <w:start w:val="8"/>
    </w:lvl>
  </w:abstractNum>
  <w:abstractNum w:abstractNumId="9">
    <w:nsid w:val="649BB77C"/>
    <w:multiLevelType w:val="hybridMultilevel"/>
    <w:lvl w:ilvl="0">
      <w:lvlJc w:val="left"/>
      <w:lvlText w:val="%1"/>
      <w:numFmt w:val="upperLetter"/>
      <w:start w:val="1"/>
    </w:lvl>
    <w:lvl w:ilvl="1">
      <w:lvlJc w:val="left"/>
      <w:lvlText w:val="(%2)"/>
      <w:numFmt w:val="lowerLetter"/>
      <w:start w:val="14"/>
    </w:lvl>
  </w:abstractNum>
  <w:abstractNum w:abstractNumId="10">
    <w:nsid w:val="275AC794"/>
    <w:multiLevelType w:val="hybridMultilevel"/>
    <w:lvl w:ilvl="0">
      <w:lvlJc w:val="left"/>
      <w:lvlText w:val="(%1)"/>
      <w:numFmt w:val="upperLetter"/>
      <w:start w:val="1"/>
    </w:lvl>
    <w:lvl w:ilvl="1">
      <w:lvlJc w:val="left"/>
      <w:lvlText w:val="(%2)"/>
      <w:numFmt w:val="lowerLetter"/>
      <w:start w:val="17"/>
    </w:lvl>
  </w:abstractNum>
  <w:abstractNum w:abstractNumId="11">
    <w:nsid w:val="39386575"/>
    <w:multiLevelType w:val="hybridMultilevel"/>
    <w:lvl w:ilvl="0">
      <w:lvlJc w:val="left"/>
      <w:lvlText w:val="(%1)"/>
      <w:numFmt w:val="lowerLetter"/>
      <w:start w:val="18"/>
    </w:lvl>
  </w:abstractNum>
  <w:abstractNum w:abstractNumId="12">
    <w:nsid w:val="1CF10FD8"/>
    <w:multiLevelType w:val="hybridMultilevel"/>
    <w:lvl w:ilvl="0">
      <w:lvlJc w:val="left"/>
      <w:lvlText w:val="%1"/>
      <w:numFmt w:val="lowerLetter"/>
      <w:start w:val="1"/>
    </w:lvl>
    <w:lvl w:ilvl="1">
      <w:lvlJc w:val="left"/>
      <w:lvlText w:val="(%2)"/>
      <w:numFmt w:val="lowerLetter"/>
      <w:start w:val="21"/>
    </w:lvl>
  </w:abstractNum>
  <w:abstractNum w:abstractNumId="13">
    <w:nsid w:val="180115BE"/>
    <w:multiLevelType w:val="hybridMultilevel"/>
    <w:lvl w:ilvl="0">
      <w:lvlJc w:val="left"/>
      <w:lvlText w:val="(%1)"/>
      <w:numFmt w:val="lowerLetter"/>
      <w:start w:val="9"/>
    </w:lvl>
    <w:lvl w:ilvl="1">
      <w:lvlJc w:val="left"/>
      <w:lvlText w:val="%2"/>
      <w:numFmt w:val="lowerLetter"/>
      <w:start w:val="1"/>
    </w:lvl>
  </w:abstractNum>
  <w:abstractNum w:abstractNumId="14">
    <w:nsid w:val="235BA861"/>
    <w:multiLevelType w:val="hybridMultilevel"/>
    <w:lvl w:ilvl="0">
      <w:lvlJc w:val="left"/>
      <w:lvlText w:val="(%1)"/>
      <w:numFmt w:val="lowerLetter"/>
      <w:start w:val="26"/>
    </w:lvl>
  </w:abstractNum>
  <w:abstractNum w:abstractNumId="15">
    <w:nsid w:val="47398C89"/>
    <w:multiLevelType w:val="hybridMultilevel"/>
    <w:lvl w:ilvl="0">
      <w:lvlJc w:val="left"/>
      <w:lvlText w:val="(%1)"/>
      <w:numFmt w:val="lowerLetter"/>
      <w:start w:val="27"/>
    </w:lvl>
  </w:abstractNum>
  <w:abstractNum w:abstractNumId="16">
    <w:nsid w:val="354FE9F9"/>
    <w:multiLevelType w:val="hybridMultilevel"/>
    <w:lvl w:ilvl="0">
      <w:lvlJc w:val="left"/>
      <w:lvlText w:val="(%1)"/>
      <w:numFmt w:val="lowerLetter"/>
      <w:start w:val="28"/>
    </w:lvl>
  </w:abstractNum>
  <w:abstractNum w:abstractNumId="17">
    <w:nsid w:val="15B5AF5C"/>
    <w:multiLevelType w:val="hybridMultilevel"/>
    <w:lvl w:ilvl="0">
      <w:lvlJc w:val="left"/>
      <w:lvlText w:val="(%1)"/>
      <w:numFmt w:val="lowerLetter"/>
      <w:start w:val="9"/>
    </w:lvl>
    <w:lvl w:ilvl="1">
      <w:lvlJc w:val="left"/>
      <w:lvlText w:val="(%2)"/>
      <w:numFmt w:val="lowerLetter"/>
      <w:start w:val="32"/>
    </w:lvl>
  </w:abstractNum>
  <w:abstractNum w:abstractNumId="18">
    <w:nsid w:val="741226BB"/>
    <w:multiLevelType w:val="hybridMultilevel"/>
    <w:lvl w:ilvl="0">
      <w:lvlJc w:val="left"/>
      <w:lvlText w:val="(%1)"/>
      <w:numFmt w:val="lowerLetter"/>
      <w:start w:val="37"/>
    </w:lvl>
  </w:abstractNum>
  <w:abstractNum w:abstractNumId="19">
    <w:nsid w:val="D34B6A8"/>
    <w:multiLevelType w:val="hybridMultilevel"/>
    <w:lvl w:ilvl="0">
      <w:lvlJc w:val="left"/>
      <w:lvlText w:val="(%1)"/>
      <w:numFmt w:val="lowerLetter"/>
      <w:start w:val="1"/>
    </w:lvl>
  </w:abstractNum>
  <w:abstractNum w:abstractNumId="20">
    <w:nsid w:val="10233C99"/>
    <w:multiLevelType w:val="hybridMultilevel"/>
    <w:lvl w:ilvl="0">
      <w:lvlJc w:val="left"/>
      <w:lvlText w:val="(%1)"/>
      <w:numFmt w:val="lowerLetter"/>
      <w:start w:val="4"/>
    </w:lvl>
  </w:abstractNum>
  <w:abstractNum w:abstractNumId="21">
    <w:nsid w:val="3F6AB60F"/>
    <w:multiLevelType w:val="hybridMultilevel"/>
    <w:lvl w:ilvl="0">
      <w:lvlJc w:val="left"/>
      <w:lvlText w:val="(%1)"/>
      <w:numFmt w:val="lowerLetter"/>
      <w:start w:val="7"/>
    </w:lvl>
  </w:abstractNum>
  <w:abstractNum w:abstractNumId="22">
    <w:nsid w:val="61574095"/>
    <w:multiLevelType w:val="hybridMultilevel"/>
    <w:lvl w:ilvl="0">
      <w:lvlJc w:val="left"/>
      <w:lvlText w:val="(%1)"/>
      <w:numFmt w:val="lowerLetter"/>
      <w:start w:val="1"/>
    </w:lvl>
  </w:abstractNum>
  <w:abstractNum w:abstractNumId="23">
    <w:nsid w:val="7E0C57B1"/>
    <w:multiLevelType w:val="hybridMultilevel"/>
    <w:lvl w:ilvl="0">
      <w:lvlJc w:val="left"/>
      <w:lvlText w:val="%1."/>
      <w:numFmt w:val="decimal"/>
      <w:start w:val="6"/>
    </w:lvl>
  </w:abstractNum>
  <w:abstractNum w:abstractNumId="24">
    <w:nsid w:val="77AE35EB"/>
    <w:multiLevelType w:val="hybridMultilevel"/>
    <w:lvl w:ilvl="0">
      <w:lvlJc w:val="left"/>
      <w:lvlText w:val="(%1)"/>
      <w:numFmt w:val="lowerLetter"/>
      <w:start w:val="1"/>
    </w:lvl>
  </w:abstractNum>
  <w:abstractNum w:abstractNumId="25">
    <w:nsid w:val="579BE4F1"/>
    <w:multiLevelType w:val="hybridMultilevel"/>
    <w:lvl w:ilvl="0">
      <w:lvlJc w:val="left"/>
      <w:lvlText w:val="(%1)"/>
      <w:numFmt w:val="lowerLetter"/>
      <w:start w:val="4"/>
    </w:lvl>
  </w:abstractNum>
  <w:abstractNum w:abstractNumId="26">
    <w:nsid w:val="310C50B3"/>
    <w:multiLevelType w:val="hybridMultilevel"/>
    <w:lvl w:ilvl="0">
      <w:lvlJc w:val="left"/>
      <w:lvlText w:val="(%1)"/>
      <w:numFmt w:val="lowerLetter"/>
      <w:start w:val="9"/>
    </w:lvl>
  </w:abstractNum>
  <w:abstractNum w:abstractNumId="27">
    <w:nsid w:val="5FF87E05"/>
    <w:multiLevelType w:val="hybridMultilevel"/>
    <w:lvl w:ilvl="0">
      <w:lvlJc w:val="left"/>
      <w:lvlText w:val="%1."/>
      <w:numFmt w:val="decimal"/>
      <w:start w:val="7"/>
    </w:lvl>
  </w:abstractNum>
  <w:abstractNum w:abstractNumId="28">
    <w:nsid w:val="2F305DEF"/>
    <w:multiLevelType w:val="hybridMultilevel"/>
    <w:lvl w:ilvl="0">
      <w:lvlJc w:val="left"/>
      <w:lvlText w:val="%1"/>
      <w:numFmt w:val="lowerLetter"/>
      <w:start w:val="1"/>
    </w:lvl>
    <w:lvl w:ilvl="1">
      <w:lvlJc w:val="left"/>
      <w:lvlText w:val="(%2)"/>
      <w:numFmt w:val="lowerLetter"/>
      <w:start w:val="1"/>
    </w:lvl>
  </w:abstractNum>
  <w:abstractNum w:abstractNumId="29">
    <w:nsid w:val="25A70BF7"/>
    <w:multiLevelType w:val="hybridMultilevel"/>
    <w:lvl w:ilvl="0">
      <w:lvlJc w:val="left"/>
      <w:lvlText w:val="(%1)"/>
      <w:numFmt w:val="lowerLetter"/>
      <w:start w:val="35"/>
    </w:lvl>
    <w:lvl w:ilvl="1">
      <w:lvlJc w:val="left"/>
      <w:lvlText w:val="%2"/>
      <w:numFmt w:val="lowerLetter"/>
      <w:start w:val="1"/>
    </w:lvl>
  </w:abstractNum>
  <w:abstractNum w:abstractNumId="30">
    <w:nsid w:val="1DBABF00"/>
    <w:multiLevelType w:val="hybridMultilevel"/>
    <w:lvl w:ilvl="0">
      <w:lvlJc w:val="left"/>
      <w:lvlText w:val="(%1)"/>
      <w:numFmt w:val="lowerLetter"/>
      <w:start w:val="2"/>
    </w:lvl>
  </w:abstractNum>
  <w:abstractNum w:abstractNumId="31">
    <w:nsid w:val="4AD084E9"/>
    <w:multiLevelType w:val="hybridMultilevel"/>
    <w:lvl w:ilvl="0">
      <w:lvlJc w:val="left"/>
      <w:lvlText w:val="(%1)"/>
      <w:numFmt w:val="lowerLetter"/>
      <w:start w:val="4"/>
    </w:lvl>
  </w:abstractNum>
  <w:abstractNum w:abstractNumId="32">
    <w:nsid w:val="1F48EAA1"/>
    <w:multiLevelType w:val="hybridMultilevel"/>
    <w:lvl w:ilvl="0">
      <w:lvlJc w:val="left"/>
      <w:lvlText w:val="(%1)"/>
      <w:numFmt w:val="lowerLetter"/>
      <w:start w:val="5"/>
    </w:lvl>
  </w:abstractNum>
  <w:abstractNum w:abstractNumId="33">
    <w:nsid w:val="1381823A"/>
    <w:multiLevelType w:val="hybridMultilevel"/>
    <w:lvl w:ilvl="0">
      <w:lvlJc w:val="left"/>
      <w:lvlText w:val="%1."/>
      <w:numFmt w:val="decimal"/>
      <w:start w:val="8"/>
    </w:lvl>
  </w:abstractNum>
  <w:abstractNum w:abstractNumId="34">
    <w:nsid w:val="5DB70AE5"/>
    <w:multiLevelType w:val="hybridMultilevel"/>
    <w:lvl w:ilvl="0">
      <w:lvlJc w:val="left"/>
      <w:lvlText w:val="%1."/>
      <w:numFmt w:val="decimal"/>
      <w:start w:val="10"/>
    </w:lvl>
  </w:abstractNum>
  <w:abstractNum w:abstractNumId="35">
    <w:nsid w:val="100F8FCA"/>
    <w:multiLevelType w:val="hybridMultilevel"/>
    <w:lvl w:ilvl="0">
      <w:lvlJc w:val="left"/>
      <w:lvlText w:val="(%1)"/>
      <w:numFmt w:val="lowerLetter"/>
      <w:start w:val="1"/>
    </w:lvl>
  </w:abstractNum>
  <w:abstractNum w:abstractNumId="36">
    <w:nsid w:val="6590700B"/>
    <w:multiLevelType w:val="hybridMultilevel"/>
    <w:lvl w:ilvl="0">
      <w:lvlJc w:val="left"/>
      <w:lvlText w:val="(%1)"/>
      <w:numFmt w:val="lowerLetter"/>
      <w:start w:val="4"/>
    </w:lvl>
  </w:abstractNum>
  <w:abstractNum w:abstractNumId="37">
    <w:nsid w:val="15014ACB"/>
    <w:multiLevelType w:val="hybridMultilevel"/>
    <w:lvl w:ilvl="0">
      <w:lvlJc w:val="left"/>
      <w:lvlText w:val="%1."/>
      <w:numFmt w:val="decimal"/>
      <w:start w:val="11"/>
    </w:lvl>
  </w:abstractNum>
  <w:abstractNum w:abstractNumId="38">
    <w:nsid w:val="5F5E7FD0"/>
    <w:multiLevelType w:val="hybridMultilevel"/>
    <w:lvl w:ilvl="0">
      <w:lvlJc w:val="left"/>
      <w:lvlText w:val="%1"/>
      <w:numFmt w:val="lowerRoman"/>
      <w:start w:val="1"/>
    </w:lvl>
    <w:lvl w:ilvl="1">
      <w:lvlJc w:val="left"/>
      <w:lvlText w:val="(%2)"/>
      <w:numFmt w:val="lowerLetter"/>
      <w:start w:val="1"/>
    </w:lvl>
  </w:abstractNum>
  <w:abstractNum w:abstractNumId="39">
    <w:nsid w:val="98A3148"/>
    <w:multiLevelType w:val="hybridMultilevel"/>
    <w:lvl w:ilvl="0">
      <w:lvlJc w:val="left"/>
      <w:lvlText w:val="(%1)"/>
      <w:numFmt w:val="lowerRoman"/>
      <w:start w:val="9"/>
    </w:lvl>
    <w:lvl w:ilvl="1">
      <w:lvlJc w:val="left"/>
      <w:lvlText w:val="(%2)"/>
      <w:numFmt w:val="lowerLetter"/>
      <w:start w:val="2"/>
    </w:lvl>
  </w:abstractNum>
  <w:abstractNum w:abstractNumId="40">
    <w:nsid w:val="799D0247"/>
    <w:multiLevelType w:val="hybridMultilevel"/>
    <w:lvl w:ilvl="0">
      <w:lvlJc w:val="left"/>
      <w:lvlText w:val="%1."/>
      <w:numFmt w:val="decimal"/>
      <w:start w:val="12"/>
    </w:lvl>
  </w:abstractNum>
  <w:abstractNum w:abstractNumId="41">
    <w:nsid w:val="6B94764"/>
    <w:multiLevelType w:val="hybridMultilevel"/>
    <w:lvl w:ilvl="0">
      <w:lvlJc w:val="left"/>
      <w:lvlText w:val="%1."/>
      <w:numFmt w:val="decimal"/>
      <w:start w:val="13"/>
    </w:lvl>
  </w:abstractNum>
  <w:abstractNum w:abstractNumId="42">
    <w:nsid w:val="42C296BD"/>
    <w:multiLevelType w:val="hybridMultilevel"/>
    <w:lvl w:ilvl="0">
      <w:lvlJc w:val="left"/>
      <w:lvlText w:val="(%1)"/>
      <w:numFmt w:val="lowerLetter"/>
      <w:start w:val="1"/>
    </w:lvl>
  </w:abstractNum>
  <w:abstractNum w:abstractNumId="43">
    <w:nsid w:val="168E121F"/>
    <w:multiLevelType w:val="hybridMultilevel"/>
    <w:lvl w:ilvl="0">
      <w:lvlJc w:val="left"/>
      <w:lvlText w:val="(%1)"/>
      <w:numFmt w:val="lowerLetter"/>
      <w:start w:val="3"/>
    </w:lvl>
    <w:lvl w:ilvl="1">
      <w:lvlJc w:val="left"/>
      <w:lvlText w:val="(%2)"/>
      <w:numFmt w:val="lowerRoman"/>
      <w:start w:val="1"/>
    </w:lvl>
  </w:abstractNum>
  <w:abstractNum w:abstractNumId="44">
    <w:nsid w:val="1EBA5D23"/>
    <w:multiLevelType w:val="hybridMultilevel"/>
    <w:lvl w:ilvl="0">
      <w:lvlJc w:val="left"/>
      <w:lvlText w:val="(%1)"/>
      <w:numFmt w:val="lowerRoman"/>
      <w:start w:val="1"/>
    </w:lvl>
  </w:abstractNum>
  <w:abstractNum w:abstractNumId="45">
    <w:nsid w:val="661E3F1E"/>
    <w:multiLevelType w:val="hybridMultilevel"/>
    <w:lvl w:ilvl="0">
      <w:lvlJc w:val="left"/>
      <w:lvlText w:val="%1"/>
      <w:numFmt w:val="lowerLetter"/>
      <w:start w:val="1"/>
    </w:lvl>
    <w:lvl w:ilvl="1">
      <w:lvlJc w:val="left"/>
      <w:lvlText w:val="(%2)"/>
      <w:numFmt w:val="lowerLetter"/>
      <w:start w:val="35"/>
    </w:lvl>
  </w:abstractNum>
  <w:abstractNum w:abstractNumId="46">
    <w:nsid w:val="5DC79EA8"/>
    <w:multiLevelType w:val="hybridMultilevel"/>
    <w:lvl w:ilvl="0">
      <w:lvlJc w:val="left"/>
      <w:lvlText w:val="(%1)"/>
      <w:numFmt w:val="lowerLetter"/>
      <w:start w:val="7"/>
    </w:lvl>
    <w:lvl w:ilvl="1">
      <w:lvlJc w:val="left"/>
      <w:lvlText w:val="%2"/>
      <w:numFmt w:val="lowerLetter"/>
      <w:start w:val="1"/>
    </w:lvl>
  </w:abstractNum>
  <w:abstractNum w:abstractNumId="47">
    <w:nsid w:val="540A471C"/>
    <w:multiLevelType w:val="hybridMultilevel"/>
    <w:lvl w:ilvl="0">
      <w:lvlJc w:val="left"/>
      <w:lvlText w:val="%1."/>
      <w:numFmt w:val="decimal"/>
      <w:start w:val="1"/>
    </w:lvl>
  </w:abstractNum>
  <w:abstractNum w:abstractNumId="48">
    <w:nsid w:val="7BD3EE7B"/>
    <w:multiLevelType w:val="hybridMultilevel"/>
    <w:lvl w:ilvl="0">
      <w:lvlJc w:val="left"/>
      <w:lvlText w:val="•"/>
      <w:numFmt w:val="bullet"/>
      <w:start w:val="1"/>
    </w:lvl>
  </w:abstractNum>
  <w:abstractNum w:abstractNumId="49">
    <w:nsid w:val="51D9C564"/>
    <w:multiLevelType w:val="hybridMultilevel"/>
    <w:lvl w:ilvl="0">
      <w:lvlJc w:val="left"/>
      <w:lvlText w:val="(%1)"/>
      <w:numFmt w:val="decimal"/>
      <w:start w:val="2"/>
    </w:lvl>
  </w:abstractNum>
  <w:abstractNum w:abstractNumId="50">
    <w:nsid w:val="613EFDC5"/>
    <w:multiLevelType w:val="hybridMultilevel"/>
    <w:lvl w:ilvl="0">
      <w:lvlJc w:val="left"/>
      <w:lvlText w:val="*"/>
      <w:numFmt w:val="bullet"/>
      <w:start w:val="1"/>
    </w:lvl>
  </w:abstractNum>
  <w:abstractNum w:abstractNumId="51">
    <w:nsid w:val="BF72B14"/>
    <w:multiLevelType w:val="hybridMultilevel"/>
    <w:lvl w:ilvl="0">
      <w:lvlJc w:val="left"/>
      <w:lvlText w:val="**"/>
      <w:numFmt w:val="bullet"/>
      <w:start w:val="1"/>
    </w:lvl>
  </w:abstractNum>
  <w:abstractNum w:abstractNumId="52">
    <w:nsid w:val="11447B73"/>
    <w:multiLevelType w:val="hybridMultilevel"/>
    <w:lvl w:ilvl="0">
      <w:lvlJc w:val="left"/>
      <w:lvlText w:val="(%1)"/>
      <w:numFmt w:val="lowerRoman"/>
      <w:start w:val="2"/>
    </w:lvl>
  </w:abstractNum>
  <w:abstractNum w:abstractNumId="53">
    <w:nsid w:val="42963E5A"/>
    <w:multiLevelType w:val="hybridMultilevel"/>
    <w:lvl w:ilvl="0">
      <w:lvlJc w:val="left"/>
      <w:lvlText w:val="(%1)"/>
      <w:numFmt w:val="decimal"/>
      <w:start w:val="62"/>
    </w:lvl>
  </w:abstractNum>
  <w:abstractNum w:abstractNumId="54">
    <w:nsid w:val="A0382C5"/>
    <w:multiLevelType w:val="hybridMultilevel"/>
    <w:lvl w:ilvl="0">
      <w:lvlJc w:val="left"/>
      <w:lvlText w:val="(%1)"/>
      <w:numFmt w:val="lowerLetter"/>
      <w:start w:val="1"/>
    </w:lvl>
    <w:lvl w:ilvl="1">
      <w:lvlJc w:val="left"/>
      <w:lvlText w:val="(%2)"/>
      <w:numFmt w:val="lowerLetter"/>
      <w:start w:val="9"/>
    </w:lvl>
  </w:abstractNum>
  <w:abstractNum w:abstractNumId="55">
    <w:nsid w:val="8F2B15E"/>
    <w:multiLevelType w:val="hybridMultilevel"/>
    <w:lvl w:ilvl="0">
      <w:lvlJc w:val="left"/>
      <w:lvlText w:val="%1"/>
      <w:numFmt w:val="lowerLetter"/>
      <w:start w:val="1"/>
    </w:lvl>
    <w:lvl w:ilvl="1">
      <w:lvlJc w:val="left"/>
      <w:lvlText w:val="(%2)"/>
      <w:numFmt w:val="lowerRoman"/>
      <w:start w:val="1"/>
    </w:lvl>
  </w:abstractNum>
  <w:abstractNum w:abstractNumId="56">
    <w:nsid w:val="1A32234B"/>
    <w:multiLevelType w:val="hybridMultilevel"/>
    <w:lvl w:ilvl="0">
      <w:lvlJc w:val="left"/>
      <w:lvlText w:val="(%1)"/>
      <w:numFmt w:val="lowerLetter"/>
      <w:start w:val="3"/>
    </w:lvl>
    <w:lvl w:ilvl="1">
      <w:lvlJc w:val="left"/>
      <w:lvlText w:val="%2"/>
      <w:numFmt w:val="lowerRoman"/>
      <w:start w:val="1"/>
    </w:lvl>
  </w:abstractNum>
  <w:abstractNum w:abstractNumId="57">
    <w:nsid w:val="3B0FD379"/>
    <w:multiLevelType w:val="hybridMultilevel"/>
    <w:lvl w:ilvl="0">
      <w:lvlJc w:val="left"/>
      <w:lvlText w:val="(%1)"/>
      <w:numFmt w:val="lowerLetter"/>
      <w:start w:val="1"/>
    </w:lvl>
  </w:abstractNum>
  <w:abstractNum w:abstractNumId="58">
    <w:nsid w:val="68EB2F63"/>
    <w:multiLevelType w:val="hybridMultilevel"/>
    <w:lvl w:ilvl="0">
      <w:lvlJc w:val="left"/>
      <w:lvlText w:val="%1"/>
      <w:numFmt w:val="lowerLetter"/>
      <w:start w:val="1"/>
    </w:lvl>
    <w:lvl w:ilvl="1">
      <w:lvlJc w:val="left"/>
      <w:lvlText w:val="(%2)"/>
      <w:numFmt w:val="lowerLetter"/>
      <w:start w:val="9"/>
    </w:lvl>
  </w:abstractNum>
  <w:abstractNum w:abstractNumId="59">
    <w:nsid w:val="4962813B"/>
    <w:multiLevelType w:val="hybridMultilevel"/>
    <w:lvl w:ilvl="0">
      <w:lvlJc w:val="left"/>
      <w:lvlText w:val="(%1)"/>
      <w:numFmt w:val="lowerLetter"/>
      <w:start w:val="2"/>
    </w:lvl>
    <w:lvl w:ilvl="1">
      <w:lvlJc w:val="left"/>
      <w:lvlText w:val="(%2)"/>
      <w:numFmt w:val="lowerLetter"/>
      <w:start w:val="9"/>
    </w:lvl>
  </w:abstractNum>
  <w:abstractNum w:abstractNumId="60">
    <w:nsid w:val="60B6DF70"/>
    <w:multiLevelType w:val="hybridMultilevel"/>
    <w:lvl w:ilvl="0">
      <w:lvlJc w:val="left"/>
      <w:lvlText w:val="%1"/>
      <w:numFmt w:val="lowerLetter"/>
      <w:start w:val="1"/>
    </w:lvl>
    <w:lvl w:ilvl="1">
      <w:lvlJc w:val="left"/>
      <w:lvlText w:val="(%2)"/>
      <w:numFmt w:val="lowerRoman"/>
      <w:start w:val="2"/>
    </w:lvl>
  </w:abstractNum>
  <w:abstractNum w:abstractNumId="61">
    <w:nsid w:val="6A5EE64"/>
    <w:multiLevelType w:val="hybridMultilevel"/>
    <w:lvl w:ilvl="0">
      <w:lvlJc w:val="left"/>
      <w:lvlText w:val="(%1)"/>
      <w:numFmt w:val="lowerLetter"/>
      <w:start w:val="3"/>
    </w:lvl>
    <w:lvl w:ilvl="1">
      <w:lvlJc w:val="left"/>
      <w:lvlText w:val="%2"/>
      <w:numFmt w:val="lowerRoman"/>
      <w:start w:val="1"/>
    </w:lvl>
  </w:abstractNum>
  <w:abstractNum w:abstractNumId="62">
    <w:nsid w:val="14330624"/>
    <w:multiLevelType w:val="hybridMultilevel"/>
    <w:lvl w:ilvl="0">
      <w:lvlJc w:val="left"/>
      <w:lvlText w:val="(%1)"/>
      <w:numFmt w:val="lowerLetter"/>
      <w:start w:val="1"/>
    </w:lvl>
  </w:abstractNum>
  <w:abstractNum w:abstractNumId="63">
    <w:nsid w:val="7FFFCA11"/>
    <w:multiLevelType w:val="hybridMultilevel"/>
    <w:lvl w:ilvl="0">
      <w:lvlJc w:val="left"/>
      <w:lvlText w:val="(%1)"/>
      <w:numFmt w:val="lowerLetter"/>
      <w:start w:val="2"/>
    </w:lvl>
  </w:abstractNum>
  <w:abstractNum w:abstractNumId="64">
    <w:nsid w:val="1A27709E"/>
    <w:multiLevelType w:val="hybridMultilevel"/>
    <w:lvl w:ilvl="0">
      <w:lvlJc w:val="left"/>
      <w:lvlText w:val="%1"/>
      <w:numFmt w:val="lowerLetter"/>
      <w:start w:val="1"/>
    </w:lvl>
    <w:lvl w:ilvl="1">
      <w:lvlJc w:val="left"/>
      <w:lvlText w:val="%2"/>
      <w:numFmt w:val="lowerRoman"/>
      <w:start w:val="1"/>
    </w:lvl>
    <w:lvl w:ilvl="2">
      <w:lvlJc w:val="left"/>
      <w:lvlText w:val="(%3)"/>
      <w:numFmt w:val="lowerLetter"/>
      <w:start w:val="1"/>
    </w:lvl>
  </w:abstractNum>
  <w:abstractNum w:abstractNumId="65">
    <w:nsid w:val="71EA1109"/>
    <w:multiLevelType w:val="hybridMultilevel"/>
    <w:lvl w:ilvl="0">
      <w:lvlJc w:val="left"/>
      <w:lvlText w:val="%1"/>
      <w:numFmt w:val="lowerLetter"/>
      <w:start w:val="1"/>
    </w:lvl>
    <w:lvl w:ilvl="1">
      <w:lvlJc w:val="left"/>
      <w:lvlText w:val="(%2)"/>
      <w:numFmt w:val="lowerRoman"/>
      <w:start w:val="1"/>
    </w:lvl>
    <w:lvl w:ilvl="2">
      <w:lvlJc w:val="left"/>
      <w:lvlText w:val="%3"/>
      <w:numFmt w:val="lowerLetter"/>
      <w:start w:val="1"/>
    </w:lvl>
  </w:abstractNum>
  <w:abstractNum w:abstractNumId="66">
    <w:nsid w:val="100F59DC"/>
    <w:multiLevelType w:val="hybridMultilevel"/>
    <w:lvl w:ilvl="0">
      <w:lvlJc w:val="left"/>
      <w:lvlText w:val="(%1)"/>
      <w:numFmt w:val="lowerLetter"/>
      <w:start w:val="2"/>
    </w:lvl>
    <w:lvl w:ilvl="1">
      <w:lvlJc w:val="left"/>
      <w:lvlText w:val="%2"/>
      <w:numFmt w:val="lowerRoman"/>
      <w:start w:val="1"/>
    </w:lvl>
    <w:lvl w:ilvl="2">
      <w:lvlJc w:val="left"/>
      <w:lvlText w:val="%3"/>
      <w:numFmt w:val="lowerLetter"/>
      <w:start w:val="1"/>
    </w:lvl>
  </w:abstractNum>
  <w:abstractNum w:abstractNumId="67">
    <w:nsid w:val="7FB7E0AA"/>
    <w:multiLevelType w:val="hybridMultilevel"/>
    <w:lvl w:ilvl="0">
      <w:lvlJc w:val="left"/>
      <w:lvlText w:val="(%1)"/>
      <w:numFmt w:val="lowerLetter"/>
      <w:start w:val="1"/>
    </w:lvl>
  </w:abstractNum>
  <w:abstractNum w:abstractNumId="68">
    <w:nsid w:val="6EB5BD4"/>
    <w:multiLevelType w:val="hybridMultilevel"/>
    <w:lvl w:ilvl="0">
      <w:lvlJc w:val="left"/>
      <w:lvlText w:val="(%1)"/>
      <w:numFmt w:val="lowerLetter"/>
      <w:start w:val="3"/>
    </w:lvl>
  </w:abstractNum>
  <w:abstractNum w:abstractNumId="69">
    <w:nsid w:val="6F6DD9AC"/>
    <w:multiLevelType w:val="hybridMultilevel"/>
    <w:lvl w:ilvl="0">
      <w:lvlJc w:val="left"/>
      <w:lvlText w:val="(%1)"/>
      <w:numFmt w:val="lowerLetter"/>
      <w:start w:val="1"/>
    </w:lvl>
  </w:abstractNum>
  <w:abstractNum w:abstractNumId="70">
    <w:nsid w:val="94211F2"/>
    <w:multiLevelType w:val="hybridMultilevel"/>
    <w:lvl w:ilvl="0">
      <w:lvlJc w:val="left"/>
      <w:lvlText w:val="(%1)"/>
      <w:numFmt w:val="lowerLetter"/>
      <w:start w:val="2"/>
    </w:lvl>
    <w:lvl w:ilvl="1">
      <w:lvlJc w:val="left"/>
      <w:lvlText w:val="(%2)"/>
      <w:numFmt w:val="lowerRoman"/>
      <w:start w:val="1"/>
    </w:lvl>
  </w:abstractNum>
  <w:abstractNum w:abstractNumId="71">
    <w:nsid w:val="885E1B"/>
    <w:multiLevelType w:val="hybridMultilevel"/>
    <w:lvl w:ilvl="0">
      <w:lvlJc w:val="left"/>
      <w:lvlText w:val="(%1)"/>
      <w:numFmt w:val="lowerLetter"/>
      <w:start w:val="1"/>
    </w:lvl>
    <w:lvl w:ilvl="1">
      <w:lvlJc w:val="left"/>
      <w:lvlText w:val="(%2)"/>
      <w:numFmt w:val="lowerRoman"/>
      <w:start w:val="1"/>
    </w:lvl>
  </w:abstractNum>
  <w:abstractNum w:abstractNumId="72">
    <w:nsid w:val="76272110"/>
    <w:multiLevelType w:val="hybridMultilevel"/>
    <w:lvl w:ilvl="0">
      <w:lvlJc w:val="left"/>
      <w:lvlText w:val="(%1)"/>
      <w:numFmt w:val="lowerRoman"/>
      <w:start w:val="10"/>
    </w:lvl>
  </w:abstractNum>
  <w:abstractNum w:abstractNumId="73">
    <w:nsid w:val="4C04A8AF"/>
    <w:multiLevelType w:val="hybridMultilevel"/>
    <w:lvl w:ilvl="0">
      <w:lvlJc w:val="left"/>
      <w:lvlText w:val="%1"/>
      <w:numFmt w:val="lowerLetter"/>
      <w:start w:val="1"/>
    </w:lvl>
    <w:lvl w:ilvl="1">
      <w:lvlJc w:val="left"/>
      <w:lvlText w:val="(%2)"/>
      <w:numFmt w:val="lowerLetter"/>
      <w:start w:val="50"/>
    </w:lvl>
  </w:abstractNum>
  <w:abstractNum w:abstractNumId="74">
    <w:nsid w:val="1716703B"/>
    <w:multiLevelType w:val="hybridMultilevel"/>
    <w:lvl w:ilvl="0">
      <w:lvlJc w:val="left"/>
      <w:lvlText w:val="(%1)"/>
      <w:numFmt w:val="lowerLetter"/>
      <w:start w:val="3"/>
    </w:lvl>
    <w:lvl w:ilvl="1">
      <w:lvlJc w:val="left"/>
      <w:lvlText w:val="%2"/>
      <w:numFmt w:val="lowerLetter"/>
      <w:start w:val="1"/>
    </w:lvl>
  </w:abstractNum>
  <w:abstractNum w:abstractNumId="75">
    <w:nsid w:val="14E17E33"/>
    <w:multiLevelType w:val="hybridMultilevel"/>
    <w:lvl w:ilvl="0">
      <w:lvlJc w:val="left"/>
      <w:lvlText w:val="(%1)"/>
      <w:numFmt w:val="lowerLetter"/>
      <w:start w:val="1"/>
    </w:lvl>
    <w:lvl w:ilvl="1">
      <w:lvlJc w:val="left"/>
      <w:lvlText w:val="(%2)"/>
      <w:numFmt w:val="lowerRoman"/>
      <w:start w:val="1"/>
    </w:lvl>
  </w:abstractNum>
  <w:abstractNum w:abstractNumId="76">
    <w:nsid w:val="3222E7CD"/>
    <w:multiLevelType w:val="hybridMultilevel"/>
    <w:lvl w:ilvl="0">
      <w:lvlJc w:val="left"/>
      <w:lvlText w:val="(%1)"/>
      <w:numFmt w:val="lowerRoman"/>
      <w:start w:val="5"/>
    </w:lvl>
  </w:abstractNum>
  <w:abstractNum w:abstractNumId="77">
    <w:nsid w:val="74DE0EE3"/>
    <w:multiLevelType w:val="hybridMultilevel"/>
    <w:lvl w:ilvl="0">
      <w:lvlJc w:val="left"/>
      <w:lvlText w:val="(%1)"/>
      <w:numFmt w:val="lowerLetter"/>
      <w:start w:val="2"/>
    </w:lvl>
  </w:abstractNum>
  <w:abstractNum w:abstractNumId="78">
    <w:nsid w:val="68EBC550"/>
    <w:multiLevelType w:val="hybridMultilevel"/>
    <w:lvl w:ilvl="0">
      <w:lvlJc w:val="left"/>
      <w:lvlText w:val="%1"/>
      <w:numFmt w:val="lowerRoman"/>
      <w:start w:val="1"/>
    </w:lvl>
    <w:lvl w:ilvl="1">
      <w:lvlJc w:val="left"/>
      <w:lvlText w:val="(%2)"/>
      <w:numFmt w:val="lowerLetter"/>
      <w:start w:val="1"/>
    </w:lvl>
  </w:abstractNum>
  <w:abstractNum w:abstractNumId="79">
    <w:nsid w:val="2DF6D648"/>
    <w:multiLevelType w:val="hybridMultilevel"/>
    <w:lvl w:ilvl="0">
      <w:lvlJc w:val="left"/>
      <w:lvlText w:val="(%1)"/>
      <w:numFmt w:val="lowerRoman"/>
      <w:start w:val="1"/>
    </w:lvl>
    <w:lvl w:ilvl="1">
      <w:lvlJc w:val="left"/>
      <w:lvlText w:val="%2"/>
      <w:numFmt w:val="lowerLetter"/>
      <w:start w:val="1"/>
    </w:lvl>
  </w:abstractNum>
  <w:abstractNum w:abstractNumId="80">
    <w:nsid w:val="46B7D447"/>
    <w:multiLevelType w:val="hybridMultilevel"/>
    <w:lvl w:ilvl="0">
      <w:lvlJc w:val="left"/>
      <w:lvlText w:val="%1"/>
      <w:numFmt w:val="lowerLetter"/>
      <w:start w:val="1"/>
    </w:lvl>
    <w:lvl w:ilvl="1">
      <w:lvlJc w:val="left"/>
      <w:lvlText w:val="(%2)"/>
      <w:numFmt w:val="lowerRoman"/>
      <w:start w:val="8"/>
    </w:lvl>
  </w:abstractNum>
  <w:abstractNum w:abstractNumId="81">
    <w:nsid w:val="4A2AC315"/>
    <w:multiLevelType w:val="hybridMultilevel"/>
    <w:lvl w:ilvl="0">
      <w:lvlJc w:val="left"/>
      <w:lvlText w:val="(%1)"/>
      <w:numFmt w:val="lowerLetter"/>
      <w:start w:val="2"/>
    </w:lvl>
    <w:lvl w:ilvl="1">
      <w:lvlJc w:val="left"/>
      <w:lvlText w:val="%2"/>
      <w:numFmt w:val="lowerRoman"/>
      <w:start w:val="1"/>
    </w:lvl>
  </w:abstractNum>
  <w:abstractNum w:abstractNumId="82">
    <w:nsid w:val="39EE015C"/>
    <w:multiLevelType w:val="hybridMultilevel"/>
    <w:lvl w:ilvl="0">
      <w:lvlJc w:val="left"/>
      <w:lvlText w:val="(%1)"/>
      <w:numFmt w:val="lowerLetter"/>
      <w:start w:val="1"/>
    </w:lvl>
  </w:abstractNum>
  <w:abstractNum w:abstractNumId="83">
    <w:nsid w:val="57FC4FBB"/>
    <w:multiLevelType w:val="hybridMultilevel"/>
    <w:lvl w:ilvl="0">
      <w:lvlJc w:val="left"/>
      <w:lvlText w:val="%1"/>
      <w:numFmt w:val="lowerLetter"/>
      <w:start w:val="1"/>
    </w:lvl>
    <w:lvl w:ilvl="1">
      <w:lvlJc w:val="left"/>
      <w:lvlText w:val="(%2)"/>
      <w:numFmt w:val="lowerLetter"/>
      <w:start w:val="5"/>
    </w:lvl>
  </w:abstractNum>
  <w:abstractNum w:abstractNumId="84">
    <w:nsid w:val="CC1016F"/>
    <w:multiLevelType w:val="hybridMultilevel"/>
    <w:lvl w:ilvl="0">
      <w:lvlJc w:val="left"/>
      <w:lvlText w:val="(%1)"/>
      <w:numFmt w:val="lowerLetter"/>
      <w:start w:val="5"/>
    </w:lvl>
    <w:lvl w:ilvl="1">
      <w:lvlJc w:val="left"/>
      <w:lvlText w:val="(%2)"/>
      <w:numFmt w:val="lowerLetter"/>
      <w:start w:val="9"/>
    </w:lvl>
  </w:abstractNum>
  <w:abstractNum w:abstractNumId="85">
    <w:nsid w:val="43F18422"/>
    <w:multiLevelType w:val="hybridMultilevel"/>
    <w:lvl w:ilvl="0">
      <w:lvlJc w:val="left"/>
      <w:lvlText w:val="(%1)"/>
      <w:numFmt w:val="lowerLetter"/>
      <w:start w:val="25"/>
    </w:lvl>
    <w:lvl w:ilvl="1">
      <w:lvlJc w:val="left"/>
      <w:lvlText w:val="(%2)"/>
      <w:numFmt w:val="lowerLetter"/>
      <w:start w:val="12"/>
    </w:lvl>
  </w:abstractNum>
  <w:abstractNum w:abstractNumId="86">
    <w:nsid w:val="60EF0119"/>
    <w:multiLevelType w:val="hybridMultilevel"/>
    <w:lvl w:ilvl="0">
      <w:lvlJc w:val="left"/>
      <w:lvlText w:val="(%1)"/>
      <w:numFmt w:val="lowerLetter"/>
      <w:start w:val="1"/>
    </w:lvl>
    <w:lvl w:ilvl="1">
      <w:lvlJc w:val="left"/>
      <w:lvlText w:val="(%2)"/>
      <w:numFmt w:val="lowerRoman"/>
      <w:start w:val="1"/>
    </w:lvl>
  </w:abstractNum>
  <w:abstractNum w:abstractNumId="87">
    <w:nsid w:val="26F324BA"/>
    <w:multiLevelType w:val="hybridMultilevel"/>
    <w:lvl w:ilvl="0">
      <w:lvlJc w:val="left"/>
      <w:lvlText w:val="(%1)"/>
      <w:numFmt w:val="decimal"/>
      <w:start w:val="1"/>
    </w:lvl>
  </w:abstractNum>
  <w:abstractNum w:abstractNumId="88">
    <w:nsid w:val="7F01579B"/>
    <w:multiLevelType w:val="hybridMultilevel"/>
    <w:lvl w:ilvl="0">
      <w:lvlJc w:val="left"/>
      <w:lvlText w:val="(%1)"/>
      <w:numFmt w:val="decimal"/>
      <w:start w:val="6"/>
    </w:lvl>
  </w:abstractNum>
  <w:abstractNum w:abstractNumId="89">
    <w:nsid w:val="49DA307D"/>
    <w:multiLevelType w:val="hybridMultilevel"/>
    <w:lvl w:ilvl="0">
      <w:lvlJc w:val="left"/>
      <w:lvlText w:val="(%1)"/>
      <w:numFmt w:val="lowerRoman"/>
      <w:start w:val="1"/>
    </w:lvl>
  </w:abstractNum>
  <w:abstractNum w:abstractNumId="90">
    <w:nsid w:val="7055A5F5"/>
    <w:multiLevelType w:val="hybridMultilevel"/>
    <w:lvl w:ilvl="0">
      <w:lvlJc w:val="left"/>
      <w:lvlText w:val="(%1)"/>
      <w:numFmt w:val="lowerRoman"/>
      <w:start w:val="3"/>
    </w:lvl>
  </w:abstractNum>
  <w:abstractNum w:abstractNumId="91">
    <w:nsid w:val="5FB8370B"/>
    <w:multiLevelType w:val="hybridMultilevel"/>
    <w:lvl w:ilvl="0">
      <w:lvlJc w:val="left"/>
      <w:lvlText w:val="(%1)"/>
      <w:numFmt w:val="decimal"/>
      <w:start w:val="7"/>
    </w:lvl>
  </w:abstractNum>
  <w:abstractNum w:abstractNumId="92">
    <w:nsid w:val="50801EE1"/>
    <w:multiLevelType w:val="hybridMultilevel"/>
    <w:lvl w:ilvl="0">
      <w:lvlJc w:val="left"/>
      <w:lvlText w:val="(%1)"/>
      <w:numFmt w:val="decimal"/>
      <w:start w:val="11"/>
    </w:lvl>
  </w:abstractNum>
  <w:abstractNum w:abstractNumId="93">
    <w:nsid w:val="488AC1A"/>
    <w:multiLevelType w:val="hybridMultilevel"/>
    <w:lvl w:ilvl="0">
      <w:lvlJc w:val="left"/>
      <w:lvlText w:val="(%1)"/>
      <w:numFmt w:val="decimal"/>
      <w:start w:val="1"/>
    </w:lvl>
  </w:abstractNum>
  <w:abstractNum w:abstractNumId="94">
    <w:nsid w:val="5FB8011C"/>
    <w:multiLevelType w:val="hybridMultilevel"/>
    <w:lvl w:ilvl="0">
      <w:lvlJc w:val="left"/>
      <w:lvlText w:val="(%1)"/>
      <w:numFmt w:val="decimal"/>
      <w:start w:val="2"/>
    </w:lvl>
  </w:abstractNum>
  <w:abstractNum w:abstractNumId="95">
    <w:nsid w:val="6AA78F7F"/>
    <w:multiLevelType w:val="hybridMultilevel"/>
    <w:lvl w:ilvl="0">
      <w:lvlJc w:val="left"/>
      <w:lvlText w:val="(%1)"/>
      <w:numFmt w:val="decimal"/>
      <w:start w:val="6"/>
    </w:lvl>
  </w:abstractNum>
  <w:abstractNum w:abstractNumId="96">
    <w:nsid w:val="7672BD23"/>
    <w:multiLevelType w:val="hybridMultilevel"/>
    <w:lvl w:ilvl="0">
      <w:lvlJc w:val="left"/>
      <w:lvlText w:val="(%1)"/>
      <w:numFmt w:val="lowerRoman"/>
      <w:start w:val="1"/>
    </w:lvl>
  </w:abstractNum>
  <w:abstractNum w:abstractNumId="97">
    <w:nsid w:val="6FC75AF8"/>
    <w:multiLevelType w:val="hybridMultilevel"/>
    <w:lvl w:ilvl="0">
      <w:lvlJc w:val="left"/>
      <w:lvlText w:val="(%1)"/>
      <w:numFmt w:val="decimal"/>
      <w:start w:val="7"/>
    </w:lvl>
  </w:abstractNum>
  <w:abstractNum w:abstractNumId="98">
    <w:nsid w:val="6A5F7029"/>
    <w:multiLevelType w:val="hybridMultilevel"/>
    <w:lvl w:ilvl="0">
      <w:lvlJc w:val="left"/>
      <w:lvlText w:val="(%1)"/>
      <w:numFmt w:val="decimal"/>
      <w:start w:val="8"/>
    </w:lvl>
  </w:abstractNum>
  <w:abstractNum w:abstractNumId="99">
    <w:nsid w:val="7D5E18F8"/>
    <w:multiLevelType w:val="hybridMultilevel"/>
    <w:lvl w:ilvl="0">
      <w:lvlJc w:val="left"/>
      <w:lvlText w:val="(%1)"/>
      <w:numFmt w:val="lowerRoman"/>
      <w:start w:val="5"/>
    </w:lvl>
  </w:abstractNum>
  <w:abstractNum w:abstractNumId="100">
    <w:nsid w:val="5F3534A4"/>
    <w:multiLevelType w:val="hybridMultilevel"/>
    <w:lvl w:ilvl="0">
      <w:lvlJc w:val="left"/>
      <w:lvlText w:val="(%1)"/>
      <w:numFmt w:val="lowerRoman"/>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image" Target="media/image37.png"/><Relationship Id="rId46" Type="http://schemas.openxmlformats.org/officeDocument/2006/relationships/image" Target="media/image38.png"/><Relationship Id="rId47" Type="http://schemas.openxmlformats.org/officeDocument/2006/relationships/image" Target="media/image39.png"/><Relationship Id="rId48" Type="http://schemas.openxmlformats.org/officeDocument/2006/relationships/image" Target="media/image40.png"/><Relationship Id="rId49" Type="http://schemas.openxmlformats.org/officeDocument/2006/relationships/image" Target="media/image41.png"/><Relationship Id="rId50" Type="http://schemas.openxmlformats.org/officeDocument/2006/relationships/image" Target="media/image42.png"/><Relationship Id="rId51" Type="http://schemas.openxmlformats.org/officeDocument/2006/relationships/image" Target="media/image43.png"/><Relationship Id="rId52" Type="http://schemas.openxmlformats.org/officeDocument/2006/relationships/image" Target="media/image44.png"/><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image" Target="media/image53.png"/><Relationship Id="rId62" Type="http://schemas.openxmlformats.org/officeDocument/2006/relationships/image" Target="media/image54.png"/><Relationship Id="rId63" Type="http://schemas.openxmlformats.org/officeDocument/2006/relationships/image" Target="media/image55.png"/><Relationship Id="rId64" Type="http://schemas.openxmlformats.org/officeDocument/2006/relationships/image" Target="media/image56.png"/><Relationship Id="rId65" Type="http://schemas.openxmlformats.org/officeDocument/2006/relationships/image" Target="media/image57.png"/><Relationship Id="rId66" Type="http://schemas.openxmlformats.org/officeDocument/2006/relationships/image" Target="media/image58.png"/><Relationship Id="rId67" Type="http://schemas.openxmlformats.org/officeDocument/2006/relationships/image" Target="media/image59.png"/><Relationship Id="rId68" Type="http://schemas.openxmlformats.org/officeDocument/2006/relationships/image" Target="media/image60.png"/><Relationship Id="rId69" Type="http://schemas.openxmlformats.org/officeDocument/2006/relationships/image" Target="media/image61.png"/><Relationship Id="rId70" Type="http://schemas.openxmlformats.org/officeDocument/2006/relationships/image" Target="media/image62.png"/><Relationship Id="rId71" Type="http://schemas.openxmlformats.org/officeDocument/2006/relationships/image" Target="media/image63.png"/><Relationship Id="rId72" Type="http://schemas.openxmlformats.org/officeDocument/2006/relationships/image" Target="media/image64.png"/><Relationship Id="rId73" Type="http://schemas.openxmlformats.org/officeDocument/2006/relationships/image" Target="media/image65.png"/><Relationship Id="rId74" Type="http://schemas.openxmlformats.org/officeDocument/2006/relationships/image" Target="media/image66.png"/><Relationship Id="rId75" Type="http://schemas.openxmlformats.org/officeDocument/2006/relationships/image" Target="media/image67.png"/><Relationship Id="rId76" Type="http://schemas.openxmlformats.org/officeDocument/2006/relationships/image" Target="media/image68.png"/><Relationship Id="rId77" Type="http://schemas.openxmlformats.org/officeDocument/2006/relationships/image" Target="media/image69.png"/><Relationship Id="rId78" Type="http://schemas.openxmlformats.org/officeDocument/2006/relationships/image" Target="media/image70.png"/><Relationship Id="rId79" Type="http://schemas.openxmlformats.org/officeDocument/2006/relationships/image" Target="media/image71.png"/><Relationship Id="rId80" Type="http://schemas.openxmlformats.org/officeDocument/2006/relationships/image" Target="media/image72.png"/><Relationship Id="rId81" Type="http://schemas.openxmlformats.org/officeDocument/2006/relationships/image" Target="media/image73.png"/><Relationship Id="rId82" Type="http://schemas.openxmlformats.org/officeDocument/2006/relationships/image" Target="media/image74.png"/><Relationship Id="rId83" Type="http://schemas.openxmlformats.org/officeDocument/2006/relationships/image" Target="media/image75.png"/><Relationship Id="rId84" Type="http://schemas.openxmlformats.org/officeDocument/2006/relationships/image" Target="media/image76.png"/><Relationship Id="rId85" Type="http://schemas.openxmlformats.org/officeDocument/2006/relationships/image" Target="media/image77.png"/><Relationship Id="rId86" Type="http://schemas.openxmlformats.org/officeDocument/2006/relationships/image" Target="media/image78.png"/><Relationship Id="rId87" Type="http://schemas.openxmlformats.org/officeDocument/2006/relationships/image" Target="media/image79.png"/><Relationship Id="rId88" Type="http://schemas.openxmlformats.org/officeDocument/2006/relationships/image" Target="media/image80.png"/><Relationship Id="rId89" Type="http://schemas.openxmlformats.org/officeDocument/2006/relationships/image" Target="media/image81.png"/><Relationship Id="rId90" Type="http://schemas.openxmlformats.org/officeDocument/2006/relationships/image" Target="media/image82.png"/><Relationship Id="rId91" Type="http://schemas.openxmlformats.org/officeDocument/2006/relationships/image" Target="media/image83.png"/><Relationship Id="rId92" Type="http://schemas.openxmlformats.org/officeDocument/2006/relationships/image" Target="media/image84.png"/><Relationship Id="rId93" Type="http://schemas.openxmlformats.org/officeDocument/2006/relationships/image" Target="media/image85.png"/><Relationship Id="rId94" Type="http://schemas.openxmlformats.org/officeDocument/2006/relationships/image" Target="media/image86.png"/><Relationship Id="rId95" Type="http://schemas.openxmlformats.org/officeDocument/2006/relationships/image" Target="media/image87.png"/><Relationship Id="rId96" Type="http://schemas.openxmlformats.org/officeDocument/2006/relationships/image" Target="media/image88.png"/><Relationship Id="rId97" Type="http://schemas.openxmlformats.org/officeDocument/2006/relationships/image" Target="media/image89.png"/><Relationship Id="rId98" Type="http://schemas.openxmlformats.org/officeDocument/2006/relationships/image" Target="media/image90.png"/><Relationship Id="rId99" Type="http://schemas.openxmlformats.org/officeDocument/2006/relationships/image" Target="media/image91.png"/><Relationship Id="rId100" Type="http://schemas.openxmlformats.org/officeDocument/2006/relationships/image" Target="media/image92.png"/><Relationship Id="rId101" Type="http://schemas.openxmlformats.org/officeDocument/2006/relationships/image" Target="media/image93.png"/><Relationship Id="rId102" Type="http://schemas.openxmlformats.org/officeDocument/2006/relationships/image" Target="media/image94.png"/><Relationship Id="rId103" Type="http://schemas.openxmlformats.org/officeDocument/2006/relationships/image" Target="media/image95.png"/><Relationship Id="rId104" Type="http://schemas.openxmlformats.org/officeDocument/2006/relationships/image" Target="media/image96.png"/><Relationship Id="rId105" Type="http://schemas.openxmlformats.org/officeDocument/2006/relationships/image" Target="media/image97.png"/><Relationship Id="rId106" Type="http://schemas.openxmlformats.org/officeDocument/2006/relationships/image" Target="media/image98.png"/><Relationship Id="rId107" Type="http://schemas.openxmlformats.org/officeDocument/2006/relationships/image" Target="media/image99.png"/><Relationship Id="rId108" Type="http://schemas.openxmlformats.org/officeDocument/2006/relationships/image" Target="media/image100.png"/><Relationship Id="rId109" Type="http://schemas.openxmlformats.org/officeDocument/2006/relationships/image" Target="media/image101.png"/><Relationship Id="rId110" Type="http://schemas.openxmlformats.org/officeDocument/2006/relationships/image" Target="media/image102.png"/><Relationship Id="rId111" Type="http://schemas.openxmlformats.org/officeDocument/2006/relationships/image" Target="media/image103.png"/><Relationship Id="rId112" Type="http://schemas.openxmlformats.org/officeDocument/2006/relationships/image" Target="media/image104.png"/><Relationship Id="rId113" Type="http://schemas.openxmlformats.org/officeDocument/2006/relationships/image" Target="media/image105.png"/><Relationship Id="rId114" Type="http://schemas.openxmlformats.org/officeDocument/2006/relationships/image" Target="media/image106.png"/><Relationship Id="rId115" Type="http://schemas.openxmlformats.org/officeDocument/2006/relationships/image" Target="media/image107.png"/><Relationship Id="rId116" Type="http://schemas.openxmlformats.org/officeDocument/2006/relationships/image" Target="media/image108.png"/><Relationship Id="rId117" Type="http://schemas.openxmlformats.org/officeDocument/2006/relationships/image" Target="media/image109.png"/><Relationship Id="rId118" Type="http://schemas.openxmlformats.org/officeDocument/2006/relationships/image" Target="media/image110.png"/><Relationship Id="rId119" Type="http://schemas.openxmlformats.org/officeDocument/2006/relationships/image" Target="media/image111.png"/><Relationship Id="rId120" Type="http://schemas.openxmlformats.org/officeDocument/2006/relationships/image" Target="media/image112.png"/><Relationship Id="rId121" Type="http://schemas.openxmlformats.org/officeDocument/2006/relationships/image" Target="media/image113.png"/><Relationship Id="rId122" Type="http://schemas.openxmlformats.org/officeDocument/2006/relationships/image" Target="media/image114.png"/><Relationship Id="rId123" Type="http://schemas.openxmlformats.org/officeDocument/2006/relationships/image" Target="media/image115.png"/><Relationship Id="rId124" Type="http://schemas.openxmlformats.org/officeDocument/2006/relationships/image" Target="media/image116.png"/><Relationship Id="rId125" Type="http://schemas.openxmlformats.org/officeDocument/2006/relationships/image" Target="media/image117.png"/><Relationship Id="rId126" Type="http://schemas.openxmlformats.org/officeDocument/2006/relationships/image" Target="media/image118.png"/><Relationship Id="rId127" Type="http://schemas.openxmlformats.org/officeDocument/2006/relationships/image" Target="media/image119.png"/><Relationship Id="rId128" Type="http://schemas.openxmlformats.org/officeDocument/2006/relationships/image" Target="media/image120.png"/><Relationship Id="rId129" Type="http://schemas.openxmlformats.org/officeDocument/2006/relationships/image" Target="media/image121.png"/><Relationship Id="rId130" Type="http://schemas.openxmlformats.org/officeDocument/2006/relationships/image" Target="media/image122.jpeg"/><Relationship Id="rId131" Type="http://schemas.openxmlformats.org/officeDocument/2006/relationships/image" Target="media/image123.png"/><Relationship Id="rId18" Type="http://schemas.openxmlformats.org/officeDocument/2006/relationships/hyperlink" Target="http://www.sec.gov/Archives/edgar/data/1058057/000119312521113298/d124916dex4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2023-09-18T15:58:59Z</dcterms:created>
  <dcterms:modified xsi:type="dcterms:W3CDTF">2023-09-18T15:58:59Z</dcterms:modified>
</cp:coreProperties>
</file>